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DA" w:rsidRPr="00EF20B6" w:rsidRDefault="00EF20B6" w:rsidP="00582D6E">
      <w:pPr>
        <w:spacing w:after="0" w:line="480" w:lineRule="auto"/>
        <w:jc w:val="center"/>
        <w:rPr>
          <w:rFonts w:ascii="Times New Roman"/>
          <w:b/>
          <w:noProof/>
          <w:sz w:val="28"/>
          <w:szCs w:val="28"/>
        </w:rPr>
      </w:pPr>
      <w:r w:rsidRPr="00EF20B6">
        <w:rPr>
          <w:rFonts w:ascii="Times New Roman"/>
          <w:b/>
          <w:noProof/>
          <w:sz w:val="28"/>
          <w:szCs w:val="28"/>
        </w:rPr>
        <w:t xml:space="preserve">Supplementary </w:t>
      </w:r>
      <w:r w:rsidR="00242DDD">
        <w:rPr>
          <w:rFonts w:ascii="Times New Roman"/>
          <w:b/>
          <w:noProof/>
          <w:sz w:val="28"/>
          <w:szCs w:val="28"/>
        </w:rPr>
        <w:t>M</w:t>
      </w:r>
      <w:r w:rsidRPr="00EF20B6">
        <w:rPr>
          <w:rFonts w:ascii="Times New Roman"/>
          <w:b/>
          <w:noProof/>
          <w:sz w:val="28"/>
          <w:szCs w:val="28"/>
        </w:rPr>
        <w:t>aterial</w:t>
      </w:r>
    </w:p>
    <w:p w:rsidR="00582D6E" w:rsidRDefault="00582D6E" w:rsidP="00582D6E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Temporal shifts in intraguild predation pressure between beluga whales and Greenland halibut in a changing Arctic</w:t>
      </w:r>
    </w:p>
    <w:p w:rsidR="00582D6E" w:rsidRPr="00612AF3" w:rsidRDefault="00582D6E" w:rsidP="00582D6E">
      <w:pPr>
        <w:spacing w:after="0" w:line="48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David J. Yurkowski, Nigel E. Hussey, Aaron T. Fisk, Kendra L. </w:t>
      </w:r>
      <w:proofErr w:type="spellStart"/>
      <w:r>
        <w:rPr>
          <w:rFonts w:ascii="Times New Roman"/>
          <w:sz w:val="24"/>
          <w:szCs w:val="24"/>
        </w:rPr>
        <w:t>Imrie</w:t>
      </w:r>
      <w:proofErr w:type="spellEnd"/>
      <w:r>
        <w:rPr>
          <w:rFonts w:ascii="Times New Roman"/>
          <w:sz w:val="24"/>
          <w:szCs w:val="24"/>
        </w:rPr>
        <w:t>, Ross F. Tallman, Steven H. Ferguson</w:t>
      </w:r>
    </w:p>
    <w:p w:rsidR="00EF20B6" w:rsidRDefault="00EF20B6" w:rsidP="00EF20B6">
      <w:pPr>
        <w:spacing w:after="0" w:line="480" w:lineRule="auto"/>
        <w:rPr>
          <w:rFonts w:ascii="Times New Roman"/>
          <w:b/>
          <w:noProof/>
          <w:sz w:val="24"/>
          <w:szCs w:val="24"/>
        </w:rPr>
      </w:pPr>
      <w:r>
        <w:rPr>
          <w:rFonts w:ascii="Times New Roman"/>
          <w:b/>
          <w:noProof/>
          <w:sz w:val="24"/>
          <w:szCs w:val="24"/>
        </w:rPr>
        <w:t>Materials and methods</w:t>
      </w:r>
    </w:p>
    <w:p w:rsidR="00EF20B6" w:rsidRPr="003308E7" w:rsidRDefault="00EF20B6" w:rsidP="00EF20B6">
      <w:pPr>
        <w:spacing w:after="0" w:line="480" w:lineRule="auto"/>
        <w:rPr>
          <w:rFonts w:ascii="Times New Roman"/>
          <w:b/>
          <w:noProof/>
          <w:sz w:val="24"/>
          <w:szCs w:val="24"/>
        </w:rPr>
      </w:pPr>
      <w:r w:rsidRPr="003308E7">
        <w:rPr>
          <w:rFonts w:ascii="Times New Roman"/>
          <w:b/>
          <w:noProof/>
          <w:sz w:val="24"/>
          <w:szCs w:val="24"/>
        </w:rPr>
        <w:t>Sample collections</w:t>
      </w:r>
      <w:r w:rsidR="00825EF0">
        <w:rPr>
          <w:rFonts w:ascii="Times New Roman"/>
          <w:b/>
          <w:noProof/>
          <w:sz w:val="24"/>
          <w:szCs w:val="24"/>
        </w:rPr>
        <w:t xml:space="preserve"> and stable isotope analysis</w:t>
      </w:r>
    </w:p>
    <w:p w:rsidR="00EF20B6" w:rsidRDefault="008255A6" w:rsidP="00654104">
      <w:pPr>
        <w:spacing w:after="0" w:line="480" w:lineRule="auto"/>
        <w:rPr>
          <w:rFonts w:ascii="Times New Roman"/>
          <w:sz w:val="24"/>
          <w:szCs w:val="24"/>
        </w:rPr>
      </w:pPr>
      <w:r w:rsidRPr="00527E28">
        <w:rPr>
          <w:rFonts w:ascii="Times New Roman"/>
          <w:sz w:val="24"/>
          <w:szCs w:val="24"/>
        </w:rPr>
        <w:t xml:space="preserve">Beluga </w:t>
      </w:r>
      <w:r w:rsidR="00A05070">
        <w:rPr>
          <w:rFonts w:ascii="Times New Roman"/>
          <w:sz w:val="24"/>
          <w:szCs w:val="24"/>
        </w:rPr>
        <w:t>(</w:t>
      </w:r>
      <w:r w:rsidR="00A05070" w:rsidRPr="00326B7D">
        <w:rPr>
          <w:rFonts w:ascii="Times New Roman"/>
          <w:i/>
          <w:sz w:val="24"/>
          <w:szCs w:val="24"/>
        </w:rPr>
        <w:t>Delphinapterus leucas</w:t>
      </w:r>
      <w:r w:rsidR="00A05070">
        <w:rPr>
          <w:rFonts w:ascii="Times New Roman"/>
          <w:sz w:val="24"/>
          <w:szCs w:val="24"/>
        </w:rPr>
        <w:t xml:space="preserve">) </w:t>
      </w:r>
      <w:r w:rsidRPr="00527E28">
        <w:rPr>
          <w:rFonts w:ascii="Times New Roman"/>
          <w:sz w:val="24"/>
          <w:szCs w:val="24"/>
        </w:rPr>
        <w:t xml:space="preserve">muscle </w:t>
      </w:r>
      <w:r>
        <w:rPr>
          <w:rFonts w:ascii="Times New Roman"/>
          <w:sz w:val="24"/>
          <w:szCs w:val="24"/>
        </w:rPr>
        <w:t xml:space="preserve">and skin </w:t>
      </w:r>
      <w:r w:rsidRPr="00527E28">
        <w:rPr>
          <w:rFonts w:ascii="Times New Roman"/>
          <w:sz w:val="24"/>
          <w:szCs w:val="24"/>
        </w:rPr>
        <w:t xml:space="preserve">samples were collected </w:t>
      </w:r>
      <w:r w:rsidR="00234446">
        <w:rPr>
          <w:rFonts w:ascii="Times New Roman"/>
          <w:sz w:val="24"/>
          <w:szCs w:val="24"/>
        </w:rPr>
        <w:t xml:space="preserve">from 1982 to 2009 </w:t>
      </w:r>
      <w:r>
        <w:rPr>
          <w:rFonts w:ascii="Times New Roman"/>
          <w:sz w:val="24"/>
          <w:szCs w:val="24"/>
        </w:rPr>
        <w:t>through Inuit subsistence harvests</w:t>
      </w:r>
      <w:r w:rsidRPr="00527E28">
        <w:rPr>
          <w:rFonts w:ascii="Times New Roman"/>
          <w:sz w:val="24"/>
          <w:szCs w:val="24"/>
        </w:rPr>
        <w:t xml:space="preserve"> in Cumberland Sound</w:t>
      </w:r>
      <w:r>
        <w:rPr>
          <w:rFonts w:ascii="Times New Roman"/>
          <w:sz w:val="24"/>
          <w:szCs w:val="24"/>
        </w:rPr>
        <w:t xml:space="preserve">, Nunavut, </w:t>
      </w:r>
      <w:r w:rsidRPr="00743569">
        <w:rPr>
          <w:rFonts w:ascii="Times New Roman"/>
          <w:sz w:val="24"/>
          <w:szCs w:val="24"/>
        </w:rPr>
        <w:t>Canada (</w:t>
      </w:r>
      <w:r>
        <w:rPr>
          <w:rFonts w:ascii="Times New Roman"/>
          <w:sz w:val="24"/>
          <w:szCs w:val="24"/>
        </w:rPr>
        <w:t>65°13′</w:t>
      </w:r>
      <w:r w:rsidRPr="00743569">
        <w:rPr>
          <w:rFonts w:ascii="Times New Roman"/>
          <w:sz w:val="24"/>
          <w:szCs w:val="24"/>
        </w:rPr>
        <w:t xml:space="preserve">0″N, </w:t>
      </w:r>
      <w:r w:rsidR="00067B60">
        <w:rPr>
          <w:rFonts w:ascii="Times New Roman"/>
          <w:sz w:val="24"/>
          <w:szCs w:val="24"/>
        </w:rPr>
        <w:t>65°45′0″W</w:t>
      </w:r>
      <w:r w:rsidRPr="00527E28">
        <w:rPr>
          <w:rFonts w:ascii="Times New Roman"/>
          <w:sz w:val="24"/>
          <w:szCs w:val="24"/>
        </w:rPr>
        <w:t xml:space="preserve">). Greenland halibut </w:t>
      </w:r>
      <w:r w:rsidR="00A05070">
        <w:rPr>
          <w:rFonts w:ascii="Times New Roman"/>
          <w:sz w:val="24"/>
          <w:szCs w:val="24"/>
        </w:rPr>
        <w:t>(</w:t>
      </w:r>
      <w:proofErr w:type="spellStart"/>
      <w:r w:rsidR="00A05070" w:rsidRPr="00B84854">
        <w:rPr>
          <w:rFonts w:ascii="Times New Roman"/>
          <w:i/>
          <w:iCs/>
          <w:color w:val="000000"/>
          <w:sz w:val="24"/>
          <w:szCs w:val="24"/>
        </w:rPr>
        <w:t>Reinhardtius</w:t>
      </w:r>
      <w:proofErr w:type="spellEnd"/>
      <w:r w:rsidR="00A05070" w:rsidRPr="00B84854">
        <w:rPr>
          <w:rFonts w:asci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05070" w:rsidRPr="00B84854">
        <w:rPr>
          <w:rFonts w:ascii="Times New Roman"/>
          <w:i/>
          <w:iCs/>
          <w:color w:val="000000"/>
          <w:sz w:val="24"/>
          <w:szCs w:val="24"/>
        </w:rPr>
        <w:t>hippoglossoides</w:t>
      </w:r>
      <w:proofErr w:type="spellEnd"/>
      <w:r w:rsidR="00A05070" w:rsidRPr="00A05070">
        <w:rPr>
          <w:rFonts w:ascii="Times New Roman"/>
          <w:iCs/>
          <w:color w:val="000000"/>
          <w:sz w:val="24"/>
          <w:szCs w:val="24"/>
        </w:rPr>
        <w:t>)</w:t>
      </w:r>
      <w:r w:rsidR="00A05070" w:rsidRPr="00527E28">
        <w:rPr>
          <w:rFonts w:ascii="Times New Roman"/>
          <w:sz w:val="24"/>
          <w:szCs w:val="24"/>
        </w:rPr>
        <w:t xml:space="preserve"> </w:t>
      </w:r>
      <w:r w:rsidRPr="00527E28">
        <w:rPr>
          <w:rFonts w:ascii="Times New Roman"/>
          <w:sz w:val="24"/>
          <w:szCs w:val="24"/>
        </w:rPr>
        <w:t xml:space="preserve">were captured from bottom longlines </w:t>
      </w:r>
      <w:r>
        <w:rPr>
          <w:rFonts w:ascii="Times New Roman"/>
          <w:sz w:val="24"/>
          <w:szCs w:val="24"/>
        </w:rPr>
        <w:t xml:space="preserve">and subsampled for muscle </w:t>
      </w:r>
      <w:r w:rsidRPr="00527E28">
        <w:rPr>
          <w:rFonts w:ascii="Times New Roman"/>
          <w:sz w:val="24"/>
          <w:szCs w:val="24"/>
        </w:rPr>
        <w:t xml:space="preserve">in September 1996 and </w:t>
      </w:r>
      <w:r>
        <w:rPr>
          <w:rFonts w:ascii="Times New Roman"/>
          <w:sz w:val="24"/>
          <w:szCs w:val="24"/>
        </w:rPr>
        <w:t>both muscle and liver</w:t>
      </w:r>
      <w:r w:rsidRPr="00527E28">
        <w:rPr>
          <w:rFonts w:ascii="Times New Roman"/>
          <w:sz w:val="24"/>
          <w:szCs w:val="24"/>
        </w:rPr>
        <w:t xml:space="preserve"> during August 2012. Prey samples included </w:t>
      </w:r>
      <w:r w:rsidRPr="00527E28">
        <w:rPr>
          <w:rFonts w:ascii="Times New Roman"/>
          <w:i/>
          <w:sz w:val="24"/>
          <w:szCs w:val="24"/>
        </w:rPr>
        <w:t>Gonatid</w:t>
      </w:r>
      <w:r w:rsidRPr="00527E28">
        <w:rPr>
          <w:rFonts w:ascii="Times New Roman"/>
          <w:sz w:val="24"/>
          <w:szCs w:val="24"/>
        </w:rPr>
        <w:t xml:space="preserve"> squid from September-October in 2001 and 2011, shrimp (</w:t>
      </w:r>
      <w:proofErr w:type="spellStart"/>
      <w:r w:rsidRPr="00527E28">
        <w:rPr>
          <w:rFonts w:ascii="Times New Roman"/>
          <w:i/>
          <w:sz w:val="24"/>
          <w:szCs w:val="24"/>
        </w:rPr>
        <w:t>Pandalus</w:t>
      </w:r>
      <w:proofErr w:type="spellEnd"/>
      <w:r w:rsidRPr="00527E28">
        <w:rPr>
          <w:rFonts w:ascii="Times New Roman"/>
          <w:i/>
          <w:sz w:val="24"/>
          <w:szCs w:val="24"/>
        </w:rPr>
        <w:t xml:space="preserve"> borealis</w:t>
      </w:r>
      <w:r w:rsidRPr="00527E28">
        <w:rPr>
          <w:rFonts w:ascii="Times New Roman"/>
          <w:sz w:val="24"/>
          <w:szCs w:val="24"/>
        </w:rPr>
        <w:t xml:space="preserve">) and Arctic cod </w:t>
      </w:r>
      <w:r w:rsidR="00BA45FA">
        <w:rPr>
          <w:rFonts w:ascii="Times New Roman"/>
          <w:sz w:val="24"/>
          <w:szCs w:val="24"/>
        </w:rPr>
        <w:t>(</w:t>
      </w:r>
      <w:proofErr w:type="spellStart"/>
      <w:r w:rsidR="00BA45FA" w:rsidRPr="00BA45FA">
        <w:rPr>
          <w:rFonts w:ascii="Times New Roman"/>
          <w:i/>
          <w:sz w:val="24"/>
          <w:szCs w:val="24"/>
        </w:rPr>
        <w:t>Boreogadus</w:t>
      </w:r>
      <w:proofErr w:type="spellEnd"/>
      <w:r w:rsidR="00BA45FA" w:rsidRPr="00BA45FA">
        <w:rPr>
          <w:rFonts w:ascii="Times New Roman"/>
          <w:i/>
          <w:sz w:val="24"/>
          <w:szCs w:val="24"/>
        </w:rPr>
        <w:t xml:space="preserve"> </w:t>
      </w:r>
      <w:proofErr w:type="spellStart"/>
      <w:r w:rsidR="00BA45FA" w:rsidRPr="00BA45FA">
        <w:rPr>
          <w:rFonts w:ascii="Times New Roman"/>
          <w:i/>
          <w:sz w:val="24"/>
          <w:szCs w:val="24"/>
        </w:rPr>
        <w:t>saida</w:t>
      </w:r>
      <w:proofErr w:type="spellEnd"/>
      <w:r w:rsidR="00BA45FA">
        <w:rPr>
          <w:rFonts w:ascii="Times New Roman"/>
          <w:sz w:val="24"/>
          <w:szCs w:val="24"/>
        </w:rPr>
        <w:t xml:space="preserve">) </w:t>
      </w:r>
      <w:r>
        <w:rPr>
          <w:rFonts w:ascii="Times New Roman"/>
          <w:sz w:val="24"/>
          <w:szCs w:val="24"/>
        </w:rPr>
        <w:t>from</w:t>
      </w:r>
      <w:r w:rsidRPr="00527E28">
        <w:rPr>
          <w:rFonts w:ascii="Times New Roman"/>
          <w:sz w:val="24"/>
          <w:szCs w:val="24"/>
        </w:rPr>
        <w:t xml:space="preserve"> October 2000</w:t>
      </w:r>
      <w:r>
        <w:rPr>
          <w:rFonts w:ascii="Times New Roman"/>
          <w:sz w:val="24"/>
          <w:szCs w:val="24"/>
        </w:rPr>
        <w:t>, 2001, 2004</w:t>
      </w:r>
      <w:r w:rsidRPr="00527E28">
        <w:rPr>
          <w:rFonts w:ascii="Times New Roman"/>
          <w:sz w:val="24"/>
          <w:szCs w:val="24"/>
        </w:rPr>
        <w:t xml:space="preserve"> and 20</w:t>
      </w:r>
      <w:r>
        <w:rPr>
          <w:rFonts w:ascii="Times New Roman"/>
          <w:sz w:val="24"/>
          <w:szCs w:val="24"/>
        </w:rPr>
        <w:t>1</w:t>
      </w:r>
      <w:r w:rsidRPr="00527E28">
        <w:rPr>
          <w:rFonts w:ascii="Times New Roman"/>
          <w:sz w:val="24"/>
          <w:szCs w:val="24"/>
        </w:rPr>
        <w:t xml:space="preserve">1 from fishing trawls </w:t>
      </w:r>
      <w:r>
        <w:rPr>
          <w:rFonts w:ascii="Times New Roman"/>
          <w:sz w:val="24"/>
          <w:szCs w:val="24"/>
        </w:rPr>
        <w:t>near the entrance to Cumberland Sound</w:t>
      </w:r>
      <w:r w:rsidRPr="00527E28">
        <w:rPr>
          <w:rFonts w:ascii="Times New Roman"/>
          <w:sz w:val="24"/>
          <w:szCs w:val="24"/>
        </w:rPr>
        <w:t>. Shrimp (</w:t>
      </w:r>
      <w:proofErr w:type="spellStart"/>
      <w:r w:rsidRPr="00527E28">
        <w:rPr>
          <w:rFonts w:ascii="Times New Roman"/>
          <w:i/>
          <w:sz w:val="24"/>
          <w:szCs w:val="24"/>
        </w:rPr>
        <w:t>Lebbeus</w:t>
      </w:r>
      <w:proofErr w:type="spellEnd"/>
      <w:r w:rsidRPr="00527E2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27E28">
        <w:rPr>
          <w:rFonts w:ascii="Times New Roman"/>
          <w:i/>
          <w:sz w:val="24"/>
          <w:szCs w:val="24"/>
        </w:rPr>
        <w:t>polaris</w:t>
      </w:r>
      <w:proofErr w:type="spellEnd"/>
      <w:r w:rsidRPr="00527E28">
        <w:rPr>
          <w:rFonts w:ascii="Times New Roman"/>
          <w:sz w:val="24"/>
          <w:szCs w:val="24"/>
        </w:rPr>
        <w:t xml:space="preserve">) and </w:t>
      </w:r>
      <w:r>
        <w:rPr>
          <w:rFonts w:ascii="Times New Roman"/>
          <w:sz w:val="24"/>
          <w:szCs w:val="24"/>
        </w:rPr>
        <w:t>c</w:t>
      </w:r>
      <w:r w:rsidRPr="00527E28">
        <w:rPr>
          <w:rFonts w:ascii="Times New Roman"/>
          <w:sz w:val="24"/>
          <w:szCs w:val="24"/>
        </w:rPr>
        <w:t xml:space="preserve">apelin </w:t>
      </w:r>
      <w:r w:rsidR="00BA45FA">
        <w:rPr>
          <w:rFonts w:ascii="Times New Roman"/>
          <w:sz w:val="24"/>
          <w:szCs w:val="24"/>
        </w:rPr>
        <w:t>(</w:t>
      </w:r>
      <w:proofErr w:type="spellStart"/>
      <w:r w:rsidR="00BA45FA" w:rsidRPr="00BA45FA">
        <w:rPr>
          <w:rFonts w:ascii="Times New Roman"/>
          <w:i/>
          <w:sz w:val="24"/>
          <w:szCs w:val="24"/>
        </w:rPr>
        <w:t>Mallotus</w:t>
      </w:r>
      <w:proofErr w:type="spellEnd"/>
      <w:r w:rsidR="00BA45FA" w:rsidRPr="00BA45FA">
        <w:rPr>
          <w:rFonts w:ascii="Times New Roman"/>
          <w:i/>
          <w:sz w:val="24"/>
          <w:szCs w:val="24"/>
        </w:rPr>
        <w:t xml:space="preserve"> </w:t>
      </w:r>
      <w:proofErr w:type="spellStart"/>
      <w:r w:rsidR="00BA45FA" w:rsidRPr="00BA45FA">
        <w:rPr>
          <w:rFonts w:ascii="Times New Roman"/>
          <w:i/>
          <w:sz w:val="24"/>
          <w:szCs w:val="24"/>
        </w:rPr>
        <w:t>villosus</w:t>
      </w:r>
      <w:proofErr w:type="spellEnd"/>
      <w:r w:rsidR="00BA45FA">
        <w:rPr>
          <w:rFonts w:ascii="Times New Roman"/>
          <w:sz w:val="24"/>
          <w:szCs w:val="24"/>
        </w:rPr>
        <w:t xml:space="preserve">) </w:t>
      </w:r>
      <w:r w:rsidRPr="00527E28">
        <w:rPr>
          <w:rFonts w:ascii="Times New Roman"/>
          <w:sz w:val="24"/>
          <w:szCs w:val="24"/>
        </w:rPr>
        <w:t xml:space="preserve">were collected in August 2007-2009. All samples were stored at -20°C prior to analysis. </w:t>
      </w:r>
      <w:r w:rsidR="0089776B">
        <w:rPr>
          <w:rFonts w:ascii="Times New Roman"/>
          <w:sz w:val="24"/>
          <w:szCs w:val="24"/>
        </w:rPr>
        <w:t xml:space="preserve">Stable isotope data for both </w:t>
      </w:r>
      <w:r w:rsidR="0089776B" w:rsidRPr="00654104">
        <w:rPr>
          <w:rFonts w:ascii="Times New Roman"/>
          <w:sz w:val="24"/>
          <w:szCs w:val="24"/>
        </w:rPr>
        <w:t xml:space="preserve">shrimp species, Arctic cod during the 1982-2002 time-period and capelin during the 2004-2012 time-period were </w:t>
      </w:r>
      <w:r w:rsidR="00EB6712">
        <w:rPr>
          <w:rFonts w:ascii="Times New Roman"/>
          <w:sz w:val="24"/>
          <w:szCs w:val="24"/>
        </w:rPr>
        <w:t>obtain</w:t>
      </w:r>
      <w:r w:rsidR="0089776B" w:rsidRPr="00654104">
        <w:rPr>
          <w:rFonts w:ascii="Times New Roman"/>
          <w:sz w:val="24"/>
          <w:szCs w:val="24"/>
        </w:rPr>
        <w:t>ed from [2</w:t>
      </w:r>
      <w:r w:rsidR="00C06363" w:rsidRPr="00654104">
        <w:rPr>
          <w:rFonts w:ascii="Times New Roman"/>
          <w:sz w:val="24"/>
          <w:szCs w:val="24"/>
        </w:rPr>
        <w:t>1</w:t>
      </w:r>
      <w:r w:rsidR="0089776B" w:rsidRPr="00654104">
        <w:rPr>
          <w:rFonts w:ascii="Times New Roman"/>
          <w:sz w:val="24"/>
          <w:szCs w:val="24"/>
        </w:rPr>
        <w:t>] and [2</w:t>
      </w:r>
      <w:r w:rsidR="00C06363" w:rsidRPr="00654104">
        <w:rPr>
          <w:rFonts w:ascii="Times New Roman"/>
          <w:sz w:val="24"/>
          <w:szCs w:val="24"/>
        </w:rPr>
        <w:t>2</w:t>
      </w:r>
      <w:r w:rsidR="0089776B" w:rsidRPr="00654104">
        <w:rPr>
          <w:rFonts w:ascii="Times New Roman"/>
          <w:sz w:val="24"/>
          <w:szCs w:val="24"/>
        </w:rPr>
        <w:t xml:space="preserve">]. </w:t>
      </w:r>
    </w:p>
    <w:p w:rsidR="00825EF0" w:rsidRPr="00654104" w:rsidRDefault="00240A8E" w:rsidP="00825EF0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527E28">
        <w:rPr>
          <w:rFonts w:ascii="Times New Roman"/>
          <w:sz w:val="24"/>
          <w:szCs w:val="24"/>
        </w:rPr>
        <w:t xml:space="preserve">Frozen tissue samples were </w:t>
      </w:r>
      <w:r>
        <w:rPr>
          <w:rFonts w:ascii="Times New Roman"/>
          <w:sz w:val="24"/>
          <w:szCs w:val="24"/>
        </w:rPr>
        <w:t>freeze-dried,</w:t>
      </w:r>
      <w:r w:rsidRPr="00527E28">
        <w:rPr>
          <w:rFonts w:ascii="Times New Roman"/>
          <w:sz w:val="24"/>
          <w:szCs w:val="24"/>
        </w:rPr>
        <w:t xml:space="preserve"> homogenized and lipid-extracted using a 2:1 </w:t>
      </w:r>
      <w:proofErr w:type="spellStart"/>
      <w:proofErr w:type="gramStart"/>
      <w:r w:rsidRPr="00527E28">
        <w:rPr>
          <w:rFonts w:ascii="Times New Roman"/>
          <w:sz w:val="24"/>
          <w:szCs w:val="24"/>
        </w:rPr>
        <w:t>chloroform:methanol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solvent</w:t>
      </w:r>
      <w:r w:rsidRPr="00527E28">
        <w:rPr>
          <w:rFonts w:ascii="Times New Roman"/>
          <w:sz w:val="24"/>
          <w:szCs w:val="24"/>
        </w:rPr>
        <w:t xml:space="preserve">. </w:t>
      </w:r>
      <w:r w:rsidR="00EB6712">
        <w:rPr>
          <w:rFonts w:ascii="Times New Roman"/>
          <w:sz w:val="24"/>
          <w:szCs w:val="24"/>
        </w:rPr>
        <w:t>Capelin and Arctic cod are part of the same functional group and have similar δ</w:t>
      </w:r>
      <w:r w:rsidR="00EB6712">
        <w:rPr>
          <w:rFonts w:ascii="Times New Roman"/>
          <w:sz w:val="24"/>
          <w:szCs w:val="24"/>
          <w:vertAlign w:val="superscript"/>
        </w:rPr>
        <w:t>13</w:t>
      </w:r>
      <w:r w:rsidR="00EB6712">
        <w:rPr>
          <w:rFonts w:ascii="Times New Roman"/>
          <w:sz w:val="24"/>
          <w:szCs w:val="24"/>
        </w:rPr>
        <w:t>C and δ</w:t>
      </w:r>
      <w:r w:rsidR="00EB6712">
        <w:rPr>
          <w:rFonts w:ascii="Times New Roman"/>
          <w:sz w:val="24"/>
          <w:szCs w:val="24"/>
          <w:vertAlign w:val="superscript"/>
        </w:rPr>
        <w:t>15</w:t>
      </w:r>
      <w:r w:rsidR="00EB6712">
        <w:rPr>
          <w:rFonts w:ascii="Times New Roman"/>
          <w:sz w:val="24"/>
          <w:szCs w:val="24"/>
        </w:rPr>
        <w:t xml:space="preserve">N values and thus were grouped as forage fish and isotope values averaged. </w:t>
      </w:r>
      <w:r w:rsidR="00825EF0">
        <w:rPr>
          <w:rFonts w:ascii="Times New Roman"/>
          <w:sz w:val="24"/>
          <w:szCs w:val="24"/>
        </w:rPr>
        <w:t>The</w:t>
      </w:r>
      <w:r w:rsidR="00825EF0" w:rsidRPr="00527E28">
        <w:rPr>
          <w:rFonts w:ascii="Times New Roman"/>
          <w:sz w:val="24"/>
          <w:szCs w:val="24"/>
        </w:rPr>
        <w:t xml:space="preserve"> δ</w:t>
      </w:r>
      <w:r w:rsidR="00825EF0" w:rsidRPr="00527E28">
        <w:rPr>
          <w:rFonts w:ascii="Times New Roman"/>
          <w:sz w:val="24"/>
          <w:szCs w:val="24"/>
          <w:vertAlign w:val="superscript"/>
        </w:rPr>
        <w:t>13</w:t>
      </w:r>
      <w:r w:rsidR="00825EF0" w:rsidRPr="00527E28">
        <w:rPr>
          <w:rFonts w:ascii="Times New Roman"/>
          <w:sz w:val="24"/>
          <w:szCs w:val="24"/>
        </w:rPr>
        <w:t>C and δ</w:t>
      </w:r>
      <w:r w:rsidR="00825EF0" w:rsidRPr="00527E28">
        <w:rPr>
          <w:rFonts w:ascii="Times New Roman"/>
          <w:sz w:val="24"/>
          <w:szCs w:val="24"/>
          <w:vertAlign w:val="superscript"/>
        </w:rPr>
        <w:t>15</w:t>
      </w:r>
      <w:r w:rsidR="00825EF0" w:rsidRPr="00527E28">
        <w:rPr>
          <w:rFonts w:ascii="Times New Roman"/>
          <w:sz w:val="24"/>
          <w:szCs w:val="24"/>
        </w:rPr>
        <w:t>N values are expressed in per mil (‰) in delta (δ) notation</w:t>
      </w:r>
      <w:r w:rsidR="00825EF0">
        <w:rPr>
          <w:rFonts w:ascii="Times New Roman"/>
          <w:sz w:val="24"/>
          <w:szCs w:val="24"/>
        </w:rPr>
        <w:t xml:space="preserve"> and were </w:t>
      </w:r>
      <w:r w:rsidR="00825EF0" w:rsidRPr="00527E28">
        <w:rPr>
          <w:rFonts w:ascii="Times New Roman"/>
          <w:sz w:val="24"/>
          <w:szCs w:val="24"/>
        </w:rPr>
        <w:t xml:space="preserve">measured by a </w:t>
      </w:r>
      <w:proofErr w:type="spellStart"/>
      <w:r w:rsidR="00825EF0" w:rsidRPr="00527E28">
        <w:rPr>
          <w:rFonts w:ascii="Times New Roman"/>
          <w:sz w:val="24"/>
          <w:szCs w:val="24"/>
        </w:rPr>
        <w:t>Thermo</w:t>
      </w:r>
      <w:proofErr w:type="spellEnd"/>
      <w:r w:rsidR="00825EF0" w:rsidRPr="00527E28">
        <w:rPr>
          <w:rFonts w:ascii="Times New Roman"/>
          <w:sz w:val="24"/>
          <w:szCs w:val="24"/>
        </w:rPr>
        <w:t xml:space="preserve"> Finnigan </w:t>
      </w:r>
      <w:proofErr w:type="spellStart"/>
      <w:r w:rsidR="00825EF0" w:rsidRPr="00527E28">
        <w:rPr>
          <w:rFonts w:ascii="Times New Roman"/>
          <w:sz w:val="24"/>
          <w:szCs w:val="24"/>
        </w:rPr>
        <w:t>DeltaPlus</w:t>
      </w:r>
      <w:proofErr w:type="spellEnd"/>
      <w:r w:rsidR="00825EF0" w:rsidRPr="00527E28">
        <w:rPr>
          <w:rFonts w:ascii="Times New Roman"/>
          <w:sz w:val="24"/>
          <w:szCs w:val="24"/>
        </w:rPr>
        <w:t xml:space="preserve"> mass-spectrometer (</w:t>
      </w:r>
      <w:proofErr w:type="spellStart"/>
      <w:r w:rsidR="00825EF0" w:rsidRPr="00527E28">
        <w:rPr>
          <w:rFonts w:ascii="Times New Roman"/>
          <w:sz w:val="24"/>
          <w:szCs w:val="24"/>
        </w:rPr>
        <w:t>Thermo</w:t>
      </w:r>
      <w:proofErr w:type="spellEnd"/>
      <w:r w:rsidR="00825EF0" w:rsidRPr="00527E28">
        <w:rPr>
          <w:rFonts w:ascii="Times New Roman"/>
          <w:sz w:val="24"/>
          <w:szCs w:val="24"/>
        </w:rPr>
        <w:t xml:space="preserve"> Finnigan, San Jose, </w:t>
      </w:r>
      <w:r w:rsidR="00825EF0" w:rsidRPr="00527E28">
        <w:rPr>
          <w:rFonts w:ascii="Times New Roman"/>
          <w:sz w:val="24"/>
          <w:szCs w:val="24"/>
        </w:rPr>
        <w:lastRenderedPageBreak/>
        <w:t>USA) coupled with an elemental analyzer (</w:t>
      </w:r>
      <w:proofErr w:type="spellStart"/>
      <w:r w:rsidR="00825EF0" w:rsidRPr="00527E28">
        <w:rPr>
          <w:rFonts w:ascii="Times New Roman"/>
          <w:sz w:val="24"/>
          <w:szCs w:val="24"/>
        </w:rPr>
        <w:t>Costech</w:t>
      </w:r>
      <w:proofErr w:type="spellEnd"/>
      <w:r w:rsidR="00825EF0" w:rsidRPr="00527E28">
        <w:rPr>
          <w:rFonts w:ascii="Times New Roman"/>
          <w:sz w:val="24"/>
          <w:szCs w:val="24"/>
        </w:rPr>
        <w:t>, Valencia, USA)</w:t>
      </w:r>
      <w:r w:rsidR="009973F4">
        <w:rPr>
          <w:rFonts w:ascii="Times New Roman"/>
          <w:sz w:val="24"/>
          <w:szCs w:val="24"/>
        </w:rPr>
        <w:t xml:space="preserve"> in the Chemical Tracers Lab at the University of Windsor, Windsor, Ontario, Canada</w:t>
      </w:r>
      <w:r w:rsidR="00825EF0" w:rsidRPr="00527E28">
        <w:rPr>
          <w:rFonts w:ascii="Times New Roman"/>
          <w:sz w:val="24"/>
          <w:szCs w:val="24"/>
        </w:rPr>
        <w:t>. The standard reference material was Pee Dee Belemnite carbonate for CO</w:t>
      </w:r>
      <w:r w:rsidR="00825EF0" w:rsidRPr="00527E28">
        <w:rPr>
          <w:rFonts w:ascii="Times New Roman"/>
          <w:sz w:val="24"/>
          <w:szCs w:val="24"/>
          <w:vertAlign w:val="subscript"/>
        </w:rPr>
        <w:t>2</w:t>
      </w:r>
      <w:r w:rsidR="00825EF0" w:rsidRPr="00527E28">
        <w:rPr>
          <w:rFonts w:ascii="Times New Roman"/>
          <w:sz w:val="24"/>
          <w:szCs w:val="24"/>
        </w:rPr>
        <w:t xml:space="preserve"> and atmospheric nitrogen N</w:t>
      </w:r>
      <w:r w:rsidR="00825EF0" w:rsidRPr="00527E28">
        <w:rPr>
          <w:rFonts w:ascii="Times New Roman"/>
          <w:sz w:val="24"/>
          <w:szCs w:val="24"/>
          <w:vertAlign w:val="subscript"/>
        </w:rPr>
        <w:t>2</w:t>
      </w:r>
      <w:r w:rsidR="00825EF0" w:rsidRPr="00527E28">
        <w:rPr>
          <w:rFonts w:ascii="Times New Roman"/>
          <w:sz w:val="24"/>
          <w:szCs w:val="24"/>
        </w:rPr>
        <w:t xml:space="preserve">. </w:t>
      </w:r>
      <w:r w:rsidR="00825EF0">
        <w:rPr>
          <w:rFonts w:ascii="Times New Roman"/>
          <w:sz w:val="24"/>
          <w:szCs w:val="24"/>
        </w:rPr>
        <w:t xml:space="preserve">The </w:t>
      </w:r>
      <w:r w:rsidR="00825EF0" w:rsidRPr="00527E28">
        <w:rPr>
          <w:rFonts w:ascii="Times New Roman"/>
          <w:sz w:val="24"/>
          <w:szCs w:val="24"/>
        </w:rPr>
        <w:t>NIST standards 8573, 8547 and 8548 for δ</w:t>
      </w:r>
      <w:r w:rsidR="00825EF0" w:rsidRPr="00527E28">
        <w:rPr>
          <w:rFonts w:ascii="Times New Roman"/>
          <w:sz w:val="24"/>
          <w:szCs w:val="24"/>
          <w:vertAlign w:val="superscript"/>
        </w:rPr>
        <w:t>15</w:t>
      </w:r>
      <w:r w:rsidR="00825EF0" w:rsidRPr="00527E28">
        <w:rPr>
          <w:rFonts w:ascii="Times New Roman"/>
          <w:sz w:val="24"/>
          <w:szCs w:val="24"/>
        </w:rPr>
        <w:t>N and 8542, 8573, 8574 for δ</w:t>
      </w:r>
      <w:r w:rsidR="00825EF0" w:rsidRPr="00527E28">
        <w:rPr>
          <w:rFonts w:ascii="Times New Roman"/>
          <w:sz w:val="24"/>
          <w:szCs w:val="24"/>
          <w:vertAlign w:val="superscript"/>
        </w:rPr>
        <w:t>13</w:t>
      </w:r>
      <w:r w:rsidR="00825EF0" w:rsidRPr="00527E28">
        <w:rPr>
          <w:rFonts w:ascii="Times New Roman"/>
          <w:sz w:val="24"/>
          <w:szCs w:val="24"/>
        </w:rPr>
        <w:t>C (</w:t>
      </w:r>
      <w:r w:rsidR="00825EF0" w:rsidRPr="00031B4A">
        <w:rPr>
          <w:rFonts w:ascii="Times New Roman"/>
          <w:sz w:val="24"/>
          <w:szCs w:val="24"/>
        </w:rPr>
        <w:t>n = 55 for all</w:t>
      </w:r>
      <w:r w:rsidR="00825EF0" w:rsidRPr="00527E28">
        <w:rPr>
          <w:rFonts w:ascii="Times New Roman"/>
          <w:sz w:val="24"/>
          <w:szCs w:val="24"/>
        </w:rPr>
        <w:t>)</w:t>
      </w:r>
      <w:r w:rsidR="00825EF0">
        <w:rPr>
          <w:rFonts w:ascii="Times New Roman"/>
          <w:sz w:val="24"/>
          <w:szCs w:val="24"/>
        </w:rPr>
        <w:t xml:space="preserve"> were </w:t>
      </w:r>
      <w:r w:rsidR="00825EF0" w:rsidRPr="00031B4A">
        <w:rPr>
          <w:rFonts w:ascii="Times New Roman"/>
          <w:sz w:val="24"/>
          <w:szCs w:val="24"/>
        </w:rPr>
        <w:t>≤ 0.1</w:t>
      </w:r>
      <w:r w:rsidR="00825EF0" w:rsidRPr="00031B4A">
        <w:rPr>
          <w:rFonts w:ascii="Times New Roman"/>
          <w:i/>
          <w:iCs/>
          <w:sz w:val="24"/>
          <w:szCs w:val="24"/>
        </w:rPr>
        <w:t xml:space="preserve">‰ </w:t>
      </w:r>
      <w:r w:rsidR="00825EF0" w:rsidRPr="00031B4A">
        <w:rPr>
          <w:rFonts w:ascii="Times New Roman"/>
          <w:sz w:val="24"/>
          <w:szCs w:val="24"/>
        </w:rPr>
        <w:t>for δ</w:t>
      </w:r>
      <w:r w:rsidR="00825EF0" w:rsidRPr="00031B4A">
        <w:rPr>
          <w:rFonts w:ascii="Times New Roman"/>
          <w:sz w:val="24"/>
          <w:szCs w:val="24"/>
          <w:vertAlign w:val="superscript"/>
        </w:rPr>
        <w:t>15</w:t>
      </w:r>
      <w:r w:rsidR="00825EF0" w:rsidRPr="00031B4A">
        <w:rPr>
          <w:rFonts w:ascii="Times New Roman"/>
          <w:sz w:val="24"/>
          <w:szCs w:val="24"/>
        </w:rPr>
        <w:t>N and ≤ 0.1</w:t>
      </w:r>
      <w:r w:rsidR="00825EF0" w:rsidRPr="00031B4A">
        <w:rPr>
          <w:rFonts w:ascii="Times New Roman"/>
          <w:i/>
          <w:iCs/>
          <w:sz w:val="24"/>
          <w:szCs w:val="24"/>
        </w:rPr>
        <w:t>‰</w:t>
      </w:r>
      <w:r w:rsidR="00825EF0" w:rsidRPr="00B013AC">
        <w:rPr>
          <w:rFonts w:ascii="Times New Roman"/>
          <w:i/>
          <w:iCs/>
          <w:sz w:val="24"/>
          <w:szCs w:val="24"/>
        </w:rPr>
        <w:t xml:space="preserve"> </w:t>
      </w:r>
      <w:r w:rsidR="00825EF0" w:rsidRPr="00B013AC">
        <w:rPr>
          <w:rFonts w:ascii="Times New Roman"/>
          <w:sz w:val="24"/>
          <w:szCs w:val="24"/>
        </w:rPr>
        <w:t>for δ</w:t>
      </w:r>
      <w:r w:rsidR="00825EF0" w:rsidRPr="00B013AC">
        <w:rPr>
          <w:rFonts w:ascii="Times New Roman"/>
          <w:sz w:val="24"/>
          <w:szCs w:val="24"/>
          <w:vertAlign w:val="superscript"/>
        </w:rPr>
        <w:t>13</w:t>
      </w:r>
      <w:r w:rsidR="00825EF0" w:rsidRPr="00B013AC">
        <w:rPr>
          <w:rFonts w:ascii="Times New Roman"/>
          <w:sz w:val="24"/>
          <w:szCs w:val="24"/>
        </w:rPr>
        <w:t>C from the certified values.</w:t>
      </w:r>
    </w:p>
    <w:p w:rsidR="00D947A5" w:rsidRPr="00654104" w:rsidRDefault="00155D2E" w:rsidP="00654104">
      <w:pPr>
        <w:spacing w:after="0" w:line="480" w:lineRule="auto"/>
        <w:rPr>
          <w:rFonts w:ascii="Times New Roman"/>
          <w:b/>
          <w:noProof/>
          <w:sz w:val="24"/>
          <w:szCs w:val="24"/>
        </w:rPr>
      </w:pPr>
      <w:r w:rsidRPr="00654104">
        <w:rPr>
          <w:rFonts w:ascii="Times New Roman"/>
          <w:b/>
          <w:noProof/>
          <w:sz w:val="24"/>
          <w:szCs w:val="24"/>
        </w:rPr>
        <w:t>Arctic char s</w:t>
      </w:r>
      <w:r w:rsidR="00D947A5" w:rsidRPr="00654104">
        <w:rPr>
          <w:rFonts w:ascii="Times New Roman"/>
          <w:b/>
          <w:noProof/>
          <w:sz w:val="24"/>
          <w:szCs w:val="24"/>
        </w:rPr>
        <w:t>tomach content analysis</w:t>
      </w:r>
    </w:p>
    <w:p w:rsidR="00D947A5" w:rsidRPr="00654104" w:rsidRDefault="00CE5403" w:rsidP="00654104">
      <w:pPr>
        <w:pStyle w:val="Default"/>
        <w:spacing w:line="480" w:lineRule="auto"/>
        <w:rPr>
          <w:noProof/>
        </w:rPr>
      </w:pPr>
      <w:r w:rsidRPr="00654104">
        <w:t xml:space="preserve">We sampled and analyzed non-empty Arctic char </w:t>
      </w:r>
      <w:r w:rsidR="0003655D">
        <w:t>(</w:t>
      </w:r>
      <w:proofErr w:type="spellStart"/>
      <w:r w:rsidR="0003655D" w:rsidRPr="0003655D">
        <w:rPr>
          <w:i/>
        </w:rPr>
        <w:t>Salvelinus</w:t>
      </w:r>
      <w:proofErr w:type="spellEnd"/>
      <w:r w:rsidR="0003655D" w:rsidRPr="0003655D">
        <w:rPr>
          <w:i/>
        </w:rPr>
        <w:t xml:space="preserve"> </w:t>
      </w:r>
      <w:proofErr w:type="spellStart"/>
      <w:r w:rsidR="0003655D" w:rsidRPr="0003655D">
        <w:rPr>
          <w:i/>
        </w:rPr>
        <w:t>alpinus</w:t>
      </w:r>
      <w:proofErr w:type="spellEnd"/>
      <w:r w:rsidR="0003655D">
        <w:t xml:space="preserve">) </w:t>
      </w:r>
      <w:r w:rsidRPr="00654104">
        <w:t xml:space="preserve">stomachs from </w:t>
      </w:r>
      <w:proofErr w:type="spellStart"/>
      <w:r w:rsidRPr="00654104">
        <w:t>Kipisa</w:t>
      </w:r>
      <w:proofErr w:type="spellEnd"/>
      <w:r w:rsidRPr="00654104">
        <w:t xml:space="preserve"> (total = 84; 2002 – 27; 2003 – 14; 2004 – 18; 2011 – 25) and </w:t>
      </w:r>
      <w:proofErr w:type="spellStart"/>
      <w:r w:rsidRPr="00654104">
        <w:t>Isuituq</w:t>
      </w:r>
      <w:proofErr w:type="spellEnd"/>
      <w:r w:rsidRPr="00654104">
        <w:t xml:space="preserve"> (total = 96; 2002 – 28; 2003 – 14; 2004 – 11; 2011 – 43)</w:t>
      </w:r>
      <w:r w:rsidR="009206D6">
        <w:t xml:space="preserve"> in Cumberland Sound</w:t>
      </w:r>
      <w:r w:rsidRPr="00654104">
        <w:t>. S</w:t>
      </w:r>
      <w:r w:rsidR="005D0653" w:rsidRPr="00654104">
        <w:t xml:space="preserve">tomachs </w:t>
      </w:r>
      <w:r w:rsidRPr="00654104">
        <w:t xml:space="preserve">were </w:t>
      </w:r>
      <w:r w:rsidR="005D0653" w:rsidRPr="00654104">
        <w:t>cut from the oesophagus to the pyloric sphincter</w:t>
      </w:r>
      <w:r w:rsidRPr="00654104">
        <w:t xml:space="preserve"> and</w:t>
      </w:r>
      <w:r w:rsidR="005D0653" w:rsidRPr="00654104">
        <w:t xml:space="preserve"> contents</w:t>
      </w:r>
      <w:r w:rsidRPr="00654104">
        <w:t xml:space="preserve"> were emptied into a petri dish to then identify</w:t>
      </w:r>
      <w:r w:rsidR="005D0653" w:rsidRPr="00654104">
        <w:t xml:space="preserve"> prey items to the closest taxon possible. Prey were counted based on identifiable hard p</w:t>
      </w:r>
      <w:r w:rsidRPr="00654104">
        <w:t xml:space="preserve">arts (e.g. amphipod carapaces) </w:t>
      </w:r>
      <w:r w:rsidR="005D0653" w:rsidRPr="00654104">
        <w:t>and weighed to the closest 0.1 g. Representative specimens of prey items were separated, rinsed, and placed in 95% ethanol in labelled scintillation vials for reference and identification.</w:t>
      </w:r>
      <w:r w:rsidRPr="00654104">
        <w:t xml:space="preserve"> </w:t>
      </w:r>
      <w:r w:rsidR="00D954D8" w:rsidRPr="00654104">
        <w:t xml:space="preserve">Frequency of occurrence (%O - </w:t>
      </w:r>
      <w:r w:rsidRPr="00654104">
        <w:t xml:space="preserve">percentage of prey-containing stomachs </w:t>
      </w:r>
      <w:r w:rsidR="00D954D8" w:rsidRPr="00654104">
        <w:t>with</w:t>
      </w:r>
      <w:r w:rsidRPr="00654104">
        <w:t xml:space="preserve"> a particular prey type</w:t>
      </w:r>
      <w:r w:rsidR="00D954D8" w:rsidRPr="00654104">
        <w:t xml:space="preserve">) and </w:t>
      </w:r>
      <w:r w:rsidRPr="00654104">
        <w:t>two abundance calculations</w:t>
      </w:r>
      <w:r w:rsidR="00D954D8" w:rsidRPr="00654104">
        <w:t xml:space="preserve"> (</w:t>
      </w:r>
      <w:r w:rsidRPr="00654104">
        <w:t>percentage by weight (%W) and percentage by numbers (%N)</w:t>
      </w:r>
      <w:r w:rsidR="00D954D8" w:rsidRPr="00654104">
        <w:t>) were recorded</w:t>
      </w:r>
      <w:r w:rsidRPr="00654104">
        <w:t xml:space="preserve"> </w:t>
      </w:r>
      <w:r w:rsidR="0097332C">
        <w:t>[23]</w:t>
      </w:r>
      <w:r w:rsidRPr="00654104">
        <w:t xml:space="preserve">. </w:t>
      </w:r>
      <w:r w:rsidR="00D954D8" w:rsidRPr="00654104">
        <w:t>The %W and %N</w:t>
      </w:r>
      <w:r w:rsidRPr="00654104">
        <w:t xml:space="preserve"> were calculated using the abundance (weight or number) of a </w:t>
      </w:r>
      <w:r w:rsidR="00654104">
        <w:t>specific</w:t>
      </w:r>
      <w:r w:rsidRPr="00654104">
        <w:t xml:space="preserve"> prey item compared to total </w:t>
      </w:r>
      <w:r w:rsidR="00654104">
        <w:t xml:space="preserve">prey </w:t>
      </w:r>
      <w:r w:rsidRPr="00654104">
        <w:t>abundance (weight or number).</w:t>
      </w:r>
      <w:r w:rsidR="00654104" w:rsidRPr="00654104">
        <w:t xml:space="preserve"> The importance of each main diet item category was assessed with the Index of Relative Importance (IRI) using the following equation: IRI = %O * (%N + %W). We converted the IRI of each diet category to a percentage of the total </w:t>
      </w:r>
      <w:r w:rsidR="009206D6">
        <w:t>[24]</w:t>
      </w:r>
      <w:r w:rsidR="00654104" w:rsidRPr="00654104">
        <w:rPr>
          <w:color w:val="auto"/>
        </w:rPr>
        <w:t xml:space="preserve"> </w:t>
      </w:r>
      <w:r w:rsidR="00654104">
        <w:rPr>
          <w:color w:val="auto"/>
        </w:rPr>
        <w:t>to identify</w:t>
      </w:r>
      <w:r w:rsidR="00654104" w:rsidRPr="00654104">
        <w:rPr>
          <w:color w:val="auto"/>
        </w:rPr>
        <w:t xml:space="preserve"> changes in the relative importance of different prey items </w:t>
      </w:r>
      <w:r w:rsidR="00654104">
        <w:rPr>
          <w:color w:val="auto"/>
        </w:rPr>
        <w:t>from 2002-2011.</w:t>
      </w:r>
      <w:r w:rsidR="00654104" w:rsidRPr="00654104">
        <w:rPr>
          <w:color w:val="auto"/>
        </w:rPr>
        <w:t xml:space="preserve"> </w:t>
      </w:r>
      <w:r w:rsidR="00633300">
        <w:rPr>
          <w:color w:val="auto"/>
        </w:rPr>
        <w:t>The IRI of capelin in Arctic char diet increased over time (Kruskal-Wallis test, χ</w:t>
      </w:r>
      <w:r w:rsidR="00633300" w:rsidRPr="002C3ABD">
        <w:rPr>
          <w:color w:val="auto"/>
          <w:vertAlign w:val="superscript"/>
        </w:rPr>
        <w:t>2</w:t>
      </w:r>
      <w:r w:rsidR="00633300">
        <w:rPr>
          <w:color w:val="auto"/>
        </w:rPr>
        <w:t xml:space="preserve"> = 6.86, </w:t>
      </w:r>
      <w:r w:rsidR="00633300" w:rsidRPr="002C3ABD">
        <w:rPr>
          <w:i/>
          <w:color w:val="auto"/>
        </w:rPr>
        <w:t>p</w:t>
      </w:r>
      <w:r w:rsidR="00633300">
        <w:rPr>
          <w:color w:val="auto"/>
        </w:rPr>
        <w:t xml:space="preserve"> = 0.077). </w:t>
      </w:r>
      <w:r w:rsidR="00633300">
        <w:t>Due to small samples sizes (</w:t>
      </w:r>
      <w:r w:rsidR="000E4F84">
        <w:t xml:space="preserve">2 locations and </w:t>
      </w:r>
      <w:bookmarkStart w:id="0" w:name="_GoBack"/>
      <w:bookmarkEnd w:id="0"/>
      <w:r w:rsidR="00633300">
        <w:t xml:space="preserve">4 years of sampling), we considered a p &lt; 0.1 to be statistically significant. </w:t>
      </w:r>
    </w:p>
    <w:p w:rsidR="00EF20B6" w:rsidRPr="00654104" w:rsidRDefault="000F15DC" w:rsidP="00654104">
      <w:pPr>
        <w:spacing w:after="0" w:line="480" w:lineRule="auto"/>
        <w:rPr>
          <w:rFonts w:ascii="Times New Roman"/>
          <w:b/>
          <w:noProof/>
          <w:sz w:val="24"/>
          <w:szCs w:val="24"/>
        </w:rPr>
      </w:pPr>
      <w:r>
        <w:rPr>
          <w:rFonts w:ascii="Times New Roman"/>
          <w:b/>
          <w:noProof/>
          <w:sz w:val="24"/>
          <w:szCs w:val="24"/>
        </w:rPr>
        <w:lastRenderedPageBreak/>
        <w:t>Diet-tissue discrimination factors</w:t>
      </w:r>
      <w:r w:rsidR="00EF20B6" w:rsidRPr="00654104">
        <w:rPr>
          <w:rFonts w:ascii="Times New Roman"/>
          <w:b/>
          <w:noProof/>
          <w:sz w:val="24"/>
          <w:szCs w:val="24"/>
        </w:rPr>
        <w:t xml:space="preserve"> </w:t>
      </w:r>
      <w:r w:rsidR="00F35681">
        <w:rPr>
          <w:rFonts w:ascii="Times New Roman"/>
          <w:b/>
          <w:noProof/>
          <w:sz w:val="24"/>
          <w:szCs w:val="24"/>
        </w:rPr>
        <w:t>and turnover rates</w:t>
      </w:r>
    </w:p>
    <w:p w:rsidR="00B808CA" w:rsidRDefault="00EF20B6" w:rsidP="00B808C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newroman"/>
          <w:sz w:val="24"/>
          <w:szCs w:val="24"/>
        </w:rPr>
      </w:pPr>
      <w:r w:rsidRPr="00B013AC">
        <w:rPr>
          <w:rFonts w:ascii="Times New Roman"/>
          <w:sz w:val="24"/>
          <w:szCs w:val="24"/>
        </w:rPr>
        <w:t xml:space="preserve">To quantify prey contributions to beluga and Greenland halibut diet </w:t>
      </w:r>
      <w:r>
        <w:rPr>
          <w:rFonts w:ascii="Times New Roman"/>
          <w:sz w:val="24"/>
          <w:szCs w:val="24"/>
        </w:rPr>
        <w:t>by season and decades</w:t>
      </w:r>
      <w:r w:rsidR="00B808CA">
        <w:rPr>
          <w:rFonts w:ascii="Times New Roman"/>
          <w:sz w:val="24"/>
          <w:szCs w:val="24"/>
        </w:rPr>
        <w:t>, we used known diet-</w:t>
      </w:r>
      <w:r w:rsidR="00B808CA" w:rsidRPr="00B013AC">
        <w:rPr>
          <w:rFonts w:ascii="Times New Roman"/>
          <w:sz w:val="24"/>
          <w:szCs w:val="24"/>
        </w:rPr>
        <w:t>tissue discrimination factors (DTDF) of cetacean muscle and skin (</w:t>
      </w:r>
      <w:r w:rsidR="00B808CA" w:rsidRPr="00B013AC">
        <w:rPr>
          <w:rFonts w:ascii="Times New Roman"/>
          <w:sz w:val="24"/>
          <w:szCs w:val="24"/>
        </w:rPr>
        <w:sym w:font="Symbol" w:char="F044"/>
      </w:r>
      <w:r w:rsidR="00B808CA" w:rsidRPr="00B013AC">
        <w:rPr>
          <w:rFonts w:ascii="Times New Roman"/>
          <w:sz w:val="24"/>
          <w:szCs w:val="24"/>
          <w:vertAlign w:val="superscript"/>
        </w:rPr>
        <w:t>13</w:t>
      </w:r>
      <w:r w:rsidR="00B808CA" w:rsidRPr="00B013AC">
        <w:rPr>
          <w:rFonts w:ascii="Times New Roman"/>
          <w:sz w:val="24"/>
          <w:szCs w:val="24"/>
        </w:rPr>
        <w:t xml:space="preserve">C: 1.3 and 2.4‰, </w:t>
      </w:r>
      <w:r w:rsidR="00B808CA" w:rsidRPr="00B013AC">
        <w:rPr>
          <w:rFonts w:ascii="Times New Roman"/>
          <w:sz w:val="24"/>
          <w:szCs w:val="24"/>
        </w:rPr>
        <w:sym w:font="Symbol" w:char="F044"/>
      </w:r>
      <w:r w:rsidR="00B808CA" w:rsidRPr="00B013AC">
        <w:rPr>
          <w:rFonts w:ascii="Times New Roman"/>
          <w:sz w:val="24"/>
          <w:szCs w:val="24"/>
          <w:vertAlign w:val="superscript"/>
        </w:rPr>
        <w:t>15</w:t>
      </w:r>
      <w:r w:rsidR="00B808CA">
        <w:rPr>
          <w:rFonts w:ascii="Times New Roman"/>
          <w:sz w:val="24"/>
          <w:szCs w:val="24"/>
        </w:rPr>
        <w:t>N: 1.2 and 3.2‰, respectively) [</w:t>
      </w:r>
      <w:r w:rsidR="00F75EF5">
        <w:rPr>
          <w:rFonts w:ascii="Times New Roman"/>
          <w:sz w:val="24"/>
          <w:szCs w:val="24"/>
        </w:rPr>
        <w:t>25</w:t>
      </w:r>
      <w:r w:rsidR="00B808CA">
        <w:rPr>
          <w:rFonts w:ascii="Times New Roman"/>
          <w:sz w:val="24"/>
          <w:szCs w:val="24"/>
        </w:rPr>
        <w:t>]</w:t>
      </w:r>
      <w:r w:rsidR="00B808CA" w:rsidRPr="00B013AC">
        <w:rPr>
          <w:rFonts w:ascii="Times New Roman"/>
          <w:sz w:val="24"/>
          <w:szCs w:val="24"/>
        </w:rPr>
        <w:t>. We estimated the DTDF</w:t>
      </w:r>
      <w:r w:rsidR="00B808CA">
        <w:rPr>
          <w:rFonts w:ascii="Times New Roman"/>
          <w:sz w:val="24"/>
          <w:szCs w:val="24"/>
        </w:rPr>
        <w:t>s</w:t>
      </w:r>
      <w:r w:rsidR="00B808CA" w:rsidRPr="00B013AC">
        <w:rPr>
          <w:rFonts w:ascii="Times New Roman"/>
          <w:sz w:val="24"/>
          <w:szCs w:val="24"/>
        </w:rPr>
        <w:t xml:space="preserve"> for Greenland halibut muscle and liver using a linear model (</w:t>
      </w:r>
      <w:r w:rsidR="00B808CA">
        <w:rPr>
          <w:rFonts w:ascii="Times New Roman"/>
          <w:sz w:val="24"/>
          <w:szCs w:val="24"/>
        </w:rPr>
        <w:t xml:space="preserve">muscle </w:t>
      </w:r>
      <w:r w:rsidR="00B808CA" w:rsidRPr="00B013AC">
        <w:rPr>
          <w:rFonts w:ascii="Times New Roman"/>
          <w:sz w:val="24"/>
          <w:szCs w:val="24"/>
        </w:rPr>
        <w:sym w:font="Symbol" w:char="F044"/>
      </w:r>
      <w:r w:rsidR="00B808CA" w:rsidRPr="00B013AC">
        <w:rPr>
          <w:rFonts w:ascii="Times New Roman"/>
          <w:sz w:val="24"/>
          <w:szCs w:val="24"/>
          <w:vertAlign w:val="superscript"/>
        </w:rPr>
        <w:t>13</w:t>
      </w:r>
      <w:r w:rsidR="00B808CA" w:rsidRPr="00B013AC">
        <w:rPr>
          <w:rFonts w:ascii="Times New Roman"/>
          <w:sz w:val="24"/>
          <w:szCs w:val="24"/>
        </w:rPr>
        <w:t xml:space="preserve">C: 1.3 and 0.8‰, respectively, </w:t>
      </w:r>
      <w:r w:rsidR="00B808CA" w:rsidRPr="00B013AC">
        <w:rPr>
          <w:rFonts w:ascii="Times New Roman"/>
          <w:sz w:val="24"/>
          <w:szCs w:val="24"/>
        </w:rPr>
        <w:sym w:font="Symbol" w:char="F044"/>
      </w:r>
      <w:r w:rsidR="00B808CA" w:rsidRPr="00B013AC">
        <w:rPr>
          <w:rFonts w:ascii="Times New Roman"/>
          <w:sz w:val="24"/>
          <w:szCs w:val="24"/>
          <w:vertAlign w:val="superscript"/>
        </w:rPr>
        <w:t>15</w:t>
      </w:r>
      <w:r w:rsidR="00B808CA" w:rsidRPr="00B013AC">
        <w:rPr>
          <w:rFonts w:ascii="Times New Roman"/>
          <w:sz w:val="24"/>
          <w:szCs w:val="24"/>
        </w:rPr>
        <w:t>N liver: 1.</w:t>
      </w:r>
      <w:r w:rsidR="00B808CA">
        <w:rPr>
          <w:rFonts w:ascii="Times New Roman"/>
          <w:sz w:val="24"/>
          <w:szCs w:val="24"/>
        </w:rPr>
        <w:t>7‰) [</w:t>
      </w:r>
      <w:r w:rsidR="00F75EF5">
        <w:rPr>
          <w:rFonts w:ascii="Times New Roman"/>
          <w:sz w:val="24"/>
          <w:szCs w:val="24"/>
        </w:rPr>
        <w:t>26</w:t>
      </w:r>
      <w:r w:rsidR="00B808CA">
        <w:rPr>
          <w:rFonts w:ascii="Times New Roman"/>
          <w:sz w:val="24"/>
          <w:szCs w:val="24"/>
        </w:rPr>
        <w:t>]</w:t>
      </w:r>
      <w:r w:rsidR="00B808CA" w:rsidRPr="00B013AC">
        <w:rPr>
          <w:rFonts w:ascii="Times New Roman"/>
          <w:sz w:val="24"/>
          <w:szCs w:val="24"/>
        </w:rPr>
        <w:t xml:space="preserve">, and a scaled </w:t>
      </w:r>
      <w:r w:rsidR="00B808CA" w:rsidRPr="00B013AC">
        <w:rPr>
          <w:rFonts w:ascii="Times New Roman"/>
          <w:sz w:val="24"/>
          <w:szCs w:val="24"/>
        </w:rPr>
        <w:sym w:font="Symbol" w:char="F044"/>
      </w:r>
      <w:r w:rsidR="00B808CA" w:rsidRPr="00B013AC">
        <w:rPr>
          <w:rFonts w:ascii="Times New Roman"/>
          <w:sz w:val="24"/>
          <w:szCs w:val="24"/>
          <w:vertAlign w:val="superscript"/>
        </w:rPr>
        <w:t>15</w:t>
      </w:r>
      <w:r w:rsidR="00B808CA">
        <w:rPr>
          <w:rFonts w:ascii="Times New Roman"/>
          <w:sz w:val="24"/>
          <w:szCs w:val="24"/>
        </w:rPr>
        <w:t>N for muscle (2.1‰) [</w:t>
      </w:r>
      <w:r w:rsidR="00F75EF5">
        <w:rPr>
          <w:rFonts w:ascii="Times New Roman"/>
          <w:sz w:val="24"/>
          <w:szCs w:val="24"/>
        </w:rPr>
        <w:t>27</w:t>
      </w:r>
      <w:r w:rsidR="00B808CA">
        <w:rPr>
          <w:rFonts w:ascii="Times New Roman"/>
          <w:sz w:val="24"/>
          <w:szCs w:val="24"/>
        </w:rPr>
        <w:t>]</w:t>
      </w:r>
      <w:r w:rsidR="00B808CA" w:rsidRPr="00B013AC">
        <w:rPr>
          <w:rFonts w:ascii="Times New Roman"/>
          <w:sz w:val="24"/>
          <w:szCs w:val="24"/>
        </w:rPr>
        <w:t>.</w:t>
      </w:r>
      <w:r w:rsidR="00B808CA">
        <w:rPr>
          <w:rFonts w:ascii="Times New Roman" w:eastAsia="timesnewroman"/>
          <w:sz w:val="24"/>
          <w:szCs w:val="24"/>
        </w:rPr>
        <w:t xml:space="preserve">  </w:t>
      </w:r>
      <w:r w:rsidR="00F35681">
        <w:rPr>
          <w:rFonts w:ascii="Times New Roman"/>
          <w:sz w:val="24"/>
          <w:szCs w:val="24"/>
        </w:rPr>
        <w:t xml:space="preserve">The half-lives for </w:t>
      </w:r>
      <w:r w:rsidR="00F35681" w:rsidRPr="00527E28">
        <w:rPr>
          <w:rFonts w:ascii="Times New Roman"/>
          <w:sz w:val="24"/>
          <w:szCs w:val="24"/>
        </w:rPr>
        <w:t>δ</w:t>
      </w:r>
      <w:r w:rsidR="00F35681" w:rsidRPr="00527E28">
        <w:rPr>
          <w:rFonts w:ascii="Times New Roman"/>
          <w:sz w:val="24"/>
          <w:szCs w:val="24"/>
          <w:vertAlign w:val="superscript"/>
        </w:rPr>
        <w:t>13</w:t>
      </w:r>
      <w:r w:rsidR="00F35681" w:rsidRPr="00527E28">
        <w:rPr>
          <w:rFonts w:ascii="Times New Roman"/>
          <w:sz w:val="24"/>
          <w:szCs w:val="24"/>
        </w:rPr>
        <w:t>C and δ</w:t>
      </w:r>
      <w:r w:rsidR="00F35681" w:rsidRPr="00527E28">
        <w:rPr>
          <w:rFonts w:ascii="Times New Roman"/>
          <w:sz w:val="24"/>
          <w:szCs w:val="24"/>
          <w:vertAlign w:val="superscript"/>
        </w:rPr>
        <w:t>15</w:t>
      </w:r>
      <w:r w:rsidR="00F35681" w:rsidRPr="00527E28">
        <w:rPr>
          <w:rFonts w:ascii="Times New Roman"/>
          <w:sz w:val="24"/>
          <w:szCs w:val="24"/>
        </w:rPr>
        <w:t xml:space="preserve">N </w:t>
      </w:r>
      <w:r w:rsidR="00F35681">
        <w:rPr>
          <w:rFonts w:ascii="Times New Roman"/>
          <w:sz w:val="24"/>
          <w:szCs w:val="24"/>
        </w:rPr>
        <w:t xml:space="preserve">of cetacean skin are 14-17 days [9], whereas for an average cetacean weighing 1000kg, the half-life for muscle is ~190 days based on turnover rates relative to body mass [11]. Beluga skin consequently represents prey consumed during the summer whereas muscle, represents averaged dietary contributions over the summer to winter period. </w:t>
      </w:r>
    </w:p>
    <w:p w:rsidR="0089776B" w:rsidRDefault="0089776B" w:rsidP="00EF20B6">
      <w:pPr>
        <w:spacing w:after="0" w:line="480" w:lineRule="auto"/>
        <w:rPr>
          <w:rFonts w:ascii="Times New Roman"/>
          <w:b/>
          <w:sz w:val="24"/>
          <w:szCs w:val="24"/>
        </w:rPr>
      </w:pPr>
      <w:r w:rsidRPr="0089776B">
        <w:rPr>
          <w:rFonts w:ascii="Times New Roman"/>
          <w:b/>
          <w:sz w:val="24"/>
          <w:szCs w:val="24"/>
        </w:rPr>
        <w:t>References</w:t>
      </w:r>
    </w:p>
    <w:p w:rsidR="00C06363" w:rsidRPr="0097332C" w:rsidRDefault="00CB224E" w:rsidP="007009E5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/>
          <w:noProof/>
          <w:sz w:val="24"/>
          <w:szCs w:val="24"/>
        </w:rPr>
      </w:pPr>
      <w:r w:rsidRPr="0097332C">
        <w:rPr>
          <w:rFonts w:ascii="Times New Roman"/>
          <w:noProof/>
          <w:sz w:val="24"/>
          <w:szCs w:val="24"/>
        </w:rPr>
        <w:t xml:space="preserve">Tomy GT, Budakowski W, Halldorsson T, Helm PA, Stern GA, Friesen K, Pepper K, Tittlemier SA, Fisk AT. 2004 Fluorinated organic compounds in an Eastern Arctic marine food web. </w:t>
      </w:r>
      <w:r w:rsidRPr="0097332C">
        <w:rPr>
          <w:rFonts w:ascii="Times New Roman"/>
          <w:i/>
          <w:noProof/>
          <w:sz w:val="24"/>
          <w:szCs w:val="24"/>
        </w:rPr>
        <w:t>Environ. Sci. Technol.</w:t>
      </w:r>
      <w:r w:rsidRPr="0097332C">
        <w:rPr>
          <w:rFonts w:ascii="Times New Roman"/>
          <w:noProof/>
          <w:sz w:val="24"/>
          <w:szCs w:val="24"/>
        </w:rPr>
        <w:t xml:space="preserve"> </w:t>
      </w:r>
      <w:r w:rsidRPr="0097332C">
        <w:rPr>
          <w:rFonts w:ascii="Times New Roman"/>
          <w:b/>
          <w:noProof/>
          <w:sz w:val="24"/>
          <w:szCs w:val="24"/>
        </w:rPr>
        <w:t>38</w:t>
      </w:r>
      <w:r w:rsidRPr="0097332C">
        <w:rPr>
          <w:rFonts w:ascii="Times New Roman"/>
          <w:noProof/>
          <w:sz w:val="24"/>
          <w:szCs w:val="24"/>
        </w:rPr>
        <w:t>, 6475–6481.</w:t>
      </w:r>
    </w:p>
    <w:p w:rsidR="00067B60" w:rsidRPr="0097332C" w:rsidRDefault="00CB224E" w:rsidP="007009E5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/>
          <w:sz w:val="24"/>
          <w:szCs w:val="24"/>
        </w:rPr>
      </w:pPr>
      <w:r w:rsidRPr="0097332C">
        <w:rPr>
          <w:rFonts w:ascii="Times New Roman"/>
          <w:noProof/>
          <w:sz w:val="24"/>
          <w:szCs w:val="24"/>
        </w:rPr>
        <w:t xml:space="preserve">Marcoux MM, McMeans BC, Fisk AT, Ferguson SH. 2012 Composition and temporal variation in the diet of beluga whales, derived from stable isotopes. </w:t>
      </w:r>
      <w:r w:rsidRPr="0097332C">
        <w:rPr>
          <w:rFonts w:ascii="Times New Roman"/>
          <w:i/>
          <w:noProof/>
          <w:sz w:val="24"/>
          <w:szCs w:val="24"/>
        </w:rPr>
        <w:t>Mar. Ecol. Prog. Ser.</w:t>
      </w:r>
      <w:r w:rsidRPr="0097332C">
        <w:rPr>
          <w:rFonts w:ascii="Times New Roman"/>
          <w:noProof/>
          <w:sz w:val="24"/>
          <w:szCs w:val="24"/>
        </w:rPr>
        <w:t xml:space="preserve"> </w:t>
      </w:r>
      <w:r w:rsidRPr="0097332C">
        <w:rPr>
          <w:rFonts w:ascii="Times New Roman"/>
          <w:b/>
          <w:noProof/>
          <w:sz w:val="24"/>
          <w:szCs w:val="24"/>
        </w:rPr>
        <w:t>471</w:t>
      </w:r>
      <w:r w:rsidRPr="0097332C">
        <w:rPr>
          <w:rFonts w:ascii="Times New Roman"/>
          <w:noProof/>
          <w:sz w:val="24"/>
          <w:szCs w:val="24"/>
        </w:rPr>
        <w:t>, 283–291.</w:t>
      </w:r>
    </w:p>
    <w:p w:rsidR="00654104" w:rsidRPr="0097332C" w:rsidRDefault="00654104" w:rsidP="007009E5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/>
          <w:sz w:val="24"/>
          <w:szCs w:val="24"/>
        </w:rPr>
      </w:pPr>
      <w:r w:rsidRPr="0097332C">
        <w:rPr>
          <w:rFonts w:ascii="Times New Roman"/>
          <w:sz w:val="24"/>
          <w:szCs w:val="24"/>
        </w:rPr>
        <w:t>Corté</w:t>
      </w:r>
      <w:r w:rsidR="0097332C">
        <w:rPr>
          <w:rFonts w:ascii="Times New Roman"/>
          <w:sz w:val="24"/>
          <w:szCs w:val="24"/>
        </w:rPr>
        <w:t>s, E. 1997</w:t>
      </w:r>
      <w:r w:rsidRPr="0097332C">
        <w:rPr>
          <w:rFonts w:ascii="Times New Roman"/>
          <w:sz w:val="24"/>
          <w:szCs w:val="24"/>
        </w:rPr>
        <w:t xml:space="preserve"> A critical review of methods of studying fish feeding based on analysis of stomach contents: Application to elasmobranch fishes. </w:t>
      </w:r>
      <w:r w:rsidRPr="0097332C">
        <w:rPr>
          <w:rFonts w:ascii="Times New Roman"/>
          <w:i/>
          <w:sz w:val="24"/>
          <w:szCs w:val="24"/>
        </w:rPr>
        <w:t xml:space="preserve">Can. J. Fish. </w:t>
      </w:r>
      <w:proofErr w:type="spellStart"/>
      <w:r w:rsidRPr="0097332C">
        <w:rPr>
          <w:rFonts w:ascii="Times New Roman"/>
          <w:i/>
          <w:sz w:val="24"/>
          <w:szCs w:val="24"/>
        </w:rPr>
        <w:t>Aquat</w:t>
      </w:r>
      <w:proofErr w:type="spellEnd"/>
      <w:r w:rsidRPr="0097332C">
        <w:rPr>
          <w:rFonts w:ascii="Times New Roman"/>
          <w:i/>
          <w:sz w:val="24"/>
          <w:szCs w:val="24"/>
        </w:rPr>
        <w:t>. Sci.</w:t>
      </w:r>
      <w:r w:rsidRPr="0097332C">
        <w:rPr>
          <w:rFonts w:ascii="Times New Roman"/>
          <w:sz w:val="24"/>
          <w:szCs w:val="24"/>
        </w:rPr>
        <w:t xml:space="preserve"> </w:t>
      </w:r>
      <w:r w:rsidR="0097332C">
        <w:rPr>
          <w:rFonts w:ascii="Times New Roman"/>
          <w:b/>
          <w:bCs/>
          <w:sz w:val="24"/>
          <w:szCs w:val="24"/>
        </w:rPr>
        <w:t>54</w:t>
      </w:r>
      <w:r w:rsidR="0097332C" w:rsidRPr="0097332C">
        <w:rPr>
          <w:rFonts w:ascii="Times New Roman"/>
          <w:bCs/>
          <w:sz w:val="24"/>
          <w:szCs w:val="24"/>
        </w:rPr>
        <w:t>,</w:t>
      </w:r>
      <w:r w:rsidR="0097332C">
        <w:rPr>
          <w:rFonts w:ascii="Times New Roman"/>
          <w:b/>
          <w:bCs/>
          <w:sz w:val="24"/>
          <w:szCs w:val="24"/>
        </w:rPr>
        <w:t xml:space="preserve"> </w:t>
      </w:r>
      <w:r w:rsidRPr="0097332C">
        <w:rPr>
          <w:rFonts w:ascii="Times New Roman"/>
          <w:sz w:val="24"/>
          <w:szCs w:val="24"/>
        </w:rPr>
        <w:t>726-738.</w:t>
      </w:r>
    </w:p>
    <w:p w:rsidR="0097332C" w:rsidRPr="0097332C" w:rsidRDefault="0097332C" w:rsidP="007009E5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Grimaldo</w:t>
      </w:r>
      <w:proofErr w:type="spellEnd"/>
      <w:r>
        <w:rPr>
          <w:rFonts w:ascii="Times New Roman"/>
          <w:sz w:val="24"/>
          <w:szCs w:val="24"/>
        </w:rPr>
        <w:t>, L</w:t>
      </w:r>
      <w:r w:rsidRPr="0097332C">
        <w:rPr>
          <w:rFonts w:ascii="Times New Roman"/>
          <w:sz w:val="24"/>
          <w:szCs w:val="24"/>
        </w:rPr>
        <w:t>F, Stewa</w:t>
      </w:r>
      <w:r>
        <w:rPr>
          <w:rFonts w:ascii="Times New Roman"/>
          <w:sz w:val="24"/>
          <w:szCs w:val="24"/>
        </w:rPr>
        <w:t>rt AR, Kimmerer W. 2009</w:t>
      </w:r>
      <w:r w:rsidRPr="0097332C">
        <w:rPr>
          <w:rFonts w:ascii="Times New Roman"/>
          <w:sz w:val="24"/>
          <w:szCs w:val="24"/>
        </w:rPr>
        <w:t xml:space="preserve"> Dietary segregation of pelagic and littoral fish assemblages in a highly modified tidal freshwa</w:t>
      </w:r>
      <w:r>
        <w:rPr>
          <w:rFonts w:ascii="Times New Roman"/>
          <w:sz w:val="24"/>
          <w:szCs w:val="24"/>
        </w:rPr>
        <w:t xml:space="preserve">ter estuary. </w:t>
      </w:r>
      <w:r w:rsidRPr="0097332C">
        <w:rPr>
          <w:rFonts w:ascii="Times New Roman"/>
          <w:i/>
          <w:sz w:val="24"/>
          <w:szCs w:val="24"/>
        </w:rPr>
        <w:t xml:space="preserve">Mar. Coast. Fish. </w:t>
      </w:r>
      <w:proofErr w:type="spellStart"/>
      <w:r w:rsidRPr="0097332C">
        <w:rPr>
          <w:rFonts w:ascii="Times New Roman"/>
          <w:i/>
          <w:sz w:val="24"/>
          <w:szCs w:val="24"/>
        </w:rPr>
        <w:t>Dynam</w:t>
      </w:r>
      <w:proofErr w:type="spellEnd"/>
      <w:r w:rsidRPr="0097332C">
        <w:rPr>
          <w:rFonts w:ascii="Times New Roman"/>
          <w:i/>
          <w:sz w:val="24"/>
          <w:szCs w:val="24"/>
        </w:rPr>
        <w:t xml:space="preserve">. </w:t>
      </w:r>
      <w:proofErr w:type="spellStart"/>
      <w:r w:rsidRPr="0097332C">
        <w:rPr>
          <w:rFonts w:ascii="Times New Roman"/>
          <w:i/>
          <w:sz w:val="24"/>
          <w:szCs w:val="24"/>
        </w:rPr>
        <w:t>Manag</w:t>
      </w:r>
      <w:proofErr w:type="spellEnd"/>
      <w:r w:rsidRPr="0097332C">
        <w:rPr>
          <w:rFonts w:ascii="Times New Roman"/>
          <w:i/>
          <w:sz w:val="24"/>
          <w:szCs w:val="24"/>
        </w:rPr>
        <w:t xml:space="preserve">. </w:t>
      </w:r>
      <w:proofErr w:type="spellStart"/>
      <w:r w:rsidRPr="0097332C">
        <w:rPr>
          <w:rFonts w:ascii="Times New Roman"/>
          <w:i/>
          <w:sz w:val="24"/>
          <w:szCs w:val="24"/>
        </w:rPr>
        <w:t>Ecosys</w:t>
      </w:r>
      <w:proofErr w:type="spellEnd"/>
      <w:r w:rsidRPr="0097332C">
        <w:rPr>
          <w:rFonts w:ascii="Times New Roman"/>
          <w:i/>
          <w:sz w:val="24"/>
          <w:szCs w:val="24"/>
        </w:rPr>
        <w:t>. Sci.</w:t>
      </w:r>
      <w:r w:rsidRPr="0097332C">
        <w:rPr>
          <w:rFonts w:ascii="Times New Roman"/>
          <w:sz w:val="24"/>
          <w:szCs w:val="24"/>
        </w:rPr>
        <w:t xml:space="preserve"> </w:t>
      </w:r>
      <w:r w:rsidRPr="0097332C">
        <w:rPr>
          <w:rFonts w:ascii="Times New Roman"/>
          <w:b/>
          <w:bCs/>
          <w:sz w:val="24"/>
          <w:szCs w:val="24"/>
        </w:rPr>
        <w:t>1</w:t>
      </w:r>
      <w:r>
        <w:rPr>
          <w:rFonts w:ascii="Times New Roman"/>
          <w:sz w:val="24"/>
          <w:szCs w:val="24"/>
        </w:rPr>
        <w:t xml:space="preserve">, </w:t>
      </w:r>
      <w:r w:rsidRPr="0097332C">
        <w:rPr>
          <w:rFonts w:ascii="Times New Roman"/>
          <w:sz w:val="24"/>
          <w:szCs w:val="24"/>
        </w:rPr>
        <w:t>200-217.</w:t>
      </w:r>
    </w:p>
    <w:p w:rsidR="00B808CA" w:rsidRPr="0097332C" w:rsidRDefault="00B808CA" w:rsidP="00B808CA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/>
          <w:sz w:val="24"/>
          <w:szCs w:val="24"/>
        </w:rPr>
      </w:pPr>
      <w:proofErr w:type="spellStart"/>
      <w:r w:rsidRPr="0097332C">
        <w:rPr>
          <w:rFonts w:ascii="Times New Roman"/>
          <w:sz w:val="24"/>
          <w:szCs w:val="24"/>
        </w:rPr>
        <w:t>Caut</w:t>
      </w:r>
      <w:proofErr w:type="spellEnd"/>
      <w:r w:rsidRPr="0097332C">
        <w:rPr>
          <w:rFonts w:ascii="Times New Roman"/>
          <w:sz w:val="24"/>
          <w:szCs w:val="24"/>
        </w:rPr>
        <w:t xml:space="preserve"> S, </w:t>
      </w:r>
      <w:proofErr w:type="spellStart"/>
      <w:r w:rsidRPr="0097332C">
        <w:rPr>
          <w:rFonts w:ascii="Times New Roman"/>
          <w:sz w:val="24"/>
          <w:szCs w:val="24"/>
        </w:rPr>
        <w:t>Laran</w:t>
      </w:r>
      <w:proofErr w:type="spellEnd"/>
      <w:r w:rsidRPr="0097332C">
        <w:rPr>
          <w:rFonts w:ascii="Times New Roman"/>
          <w:sz w:val="24"/>
          <w:szCs w:val="24"/>
        </w:rPr>
        <w:t xml:space="preserve"> S, Garcia-Hartmann E, Das K. 2011 Stable isotopes of captive cetaceans (killer whales and bottlenose dolphins). </w:t>
      </w:r>
      <w:r w:rsidRPr="0097332C">
        <w:rPr>
          <w:rFonts w:ascii="Times New Roman"/>
          <w:i/>
          <w:sz w:val="24"/>
          <w:szCs w:val="24"/>
        </w:rPr>
        <w:t>J. Exp. Biol.</w:t>
      </w:r>
      <w:r w:rsidRPr="0097332C">
        <w:rPr>
          <w:rFonts w:ascii="Times New Roman"/>
          <w:sz w:val="24"/>
          <w:szCs w:val="24"/>
        </w:rPr>
        <w:t xml:space="preserve"> </w:t>
      </w:r>
      <w:r w:rsidRPr="0097332C">
        <w:rPr>
          <w:rFonts w:ascii="Times New Roman"/>
          <w:b/>
          <w:sz w:val="24"/>
          <w:szCs w:val="24"/>
        </w:rPr>
        <w:t>214</w:t>
      </w:r>
      <w:r w:rsidRPr="0097332C">
        <w:rPr>
          <w:rFonts w:ascii="Times New Roman"/>
          <w:sz w:val="24"/>
          <w:szCs w:val="24"/>
        </w:rPr>
        <w:t>, 538–545.</w:t>
      </w:r>
    </w:p>
    <w:p w:rsidR="00B808CA" w:rsidRPr="0097332C" w:rsidRDefault="00B808CA" w:rsidP="00E92D55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/>
          <w:sz w:val="24"/>
          <w:szCs w:val="24"/>
        </w:rPr>
      </w:pPr>
      <w:proofErr w:type="spellStart"/>
      <w:r w:rsidRPr="0097332C">
        <w:rPr>
          <w:rFonts w:ascii="Times New Roman"/>
          <w:sz w:val="24"/>
          <w:szCs w:val="24"/>
        </w:rPr>
        <w:t>Caut</w:t>
      </w:r>
      <w:proofErr w:type="spellEnd"/>
      <w:r w:rsidRPr="0097332C">
        <w:rPr>
          <w:rFonts w:ascii="Times New Roman"/>
          <w:sz w:val="24"/>
          <w:szCs w:val="24"/>
        </w:rPr>
        <w:t xml:space="preserve"> S, Angulo E, </w:t>
      </w:r>
      <w:proofErr w:type="spellStart"/>
      <w:r w:rsidRPr="0097332C">
        <w:rPr>
          <w:rFonts w:ascii="Times New Roman"/>
          <w:sz w:val="24"/>
          <w:szCs w:val="24"/>
        </w:rPr>
        <w:t>Courchamp</w:t>
      </w:r>
      <w:proofErr w:type="spellEnd"/>
      <w:r w:rsidRPr="0097332C">
        <w:rPr>
          <w:rFonts w:ascii="Times New Roman"/>
          <w:sz w:val="24"/>
          <w:szCs w:val="24"/>
        </w:rPr>
        <w:t xml:space="preserve"> F. 2009 Variation in discrimination factors (Δ</w:t>
      </w:r>
      <w:r w:rsidRPr="0097332C">
        <w:rPr>
          <w:rFonts w:ascii="Times New Roman"/>
          <w:sz w:val="24"/>
          <w:szCs w:val="24"/>
          <w:vertAlign w:val="superscript"/>
        </w:rPr>
        <w:t>15</w:t>
      </w:r>
      <w:r w:rsidRPr="0097332C">
        <w:rPr>
          <w:rFonts w:ascii="Times New Roman"/>
          <w:sz w:val="24"/>
          <w:szCs w:val="24"/>
        </w:rPr>
        <w:t>N and Δ</w:t>
      </w:r>
      <w:r w:rsidRPr="0097332C">
        <w:rPr>
          <w:rFonts w:ascii="Times New Roman"/>
          <w:sz w:val="24"/>
          <w:szCs w:val="24"/>
          <w:vertAlign w:val="superscript"/>
        </w:rPr>
        <w:t>13</w:t>
      </w:r>
      <w:r w:rsidRPr="0097332C">
        <w:rPr>
          <w:rFonts w:ascii="Times New Roman"/>
          <w:sz w:val="24"/>
          <w:szCs w:val="24"/>
        </w:rPr>
        <w:t xml:space="preserve">C): the effect of diet isotopic values and applications for diet reconstruction. </w:t>
      </w:r>
      <w:r w:rsidRPr="0097332C">
        <w:rPr>
          <w:rFonts w:ascii="Times New Roman"/>
          <w:i/>
          <w:sz w:val="24"/>
          <w:szCs w:val="24"/>
        </w:rPr>
        <w:t>J. Appl. Ecol.</w:t>
      </w:r>
      <w:r w:rsidRPr="0097332C">
        <w:rPr>
          <w:rFonts w:ascii="Times New Roman"/>
          <w:sz w:val="24"/>
          <w:szCs w:val="24"/>
        </w:rPr>
        <w:t xml:space="preserve"> </w:t>
      </w:r>
      <w:r w:rsidRPr="0097332C">
        <w:rPr>
          <w:rFonts w:ascii="Times New Roman"/>
          <w:b/>
          <w:sz w:val="24"/>
          <w:szCs w:val="24"/>
        </w:rPr>
        <w:t>46</w:t>
      </w:r>
      <w:r w:rsidRPr="0097332C">
        <w:rPr>
          <w:rFonts w:ascii="Times New Roman"/>
          <w:sz w:val="24"/>
          <w:szCs w:val="24"/>
        </w:rPr>
        <w:t>, 443–453.</w:t>
      </w:r>
    </w:p>
    <w:p w:rsidR="00B808CA" w:rsidRPr="00070189" w:rsidRDefault="00B808CA" w:rsidP="00E92D55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/>
          <w:sz w:val="24"/>
          <w:szCs w:val="24"/>
        </w:rPr>
      </w:pPr>
      <w:r w:rsidRPr="0097332C">
        <w:rPr>
          <w:rFonts w:ascii="Times New Roman"/>
          <w:sz w:val="24"/>
          <w:szCs w:val="24"/>
        </w:rPr>
        <w:t xml:space="preserve">Hussey NE </w:t>
      </w:r>
      <w:r w:rsidRPr="0097332C">
        <w:rPr>
          <w:rFonts w:ascii="Times New Roman"/>
          <w:i/>
          <w:sz w:val="24"/>
          <w:szCs w:val="24"/>
        </w:rPr>
        <w:t>et al.</w:t>
      </w:r>
      <w:r w:rsidRPr="0097332C">
        <w:rPr>
          <w:rFonts w:ascii="Times New Roman"/>
          <w:sz w:val="24"/>
          <w:szCs w:val="24"/>
        </w:rPr>
        <w:t xml:space="preserve"> 2014 Rescaling the trophic structure of marine food webs. </w:t>
      </w:r>
      <w:r w:rsidRPr="0097332C">
        <w:rPr>
          <w:rFonts w:ascii="Times New Roman"/>
          <w:i/>
          <w:sz w:val="24"/>
          <w:szCs w:val="24"/>
        </w:rPr>
        <w:t xml:space="preserve">Ecol. Lett. </w:t>
      </w:r>
      <w:r w:rsidRPr="0097332C">
        <w:rPr>
          <w:rFonts w:ascii="Times New Roman"/>
          <w:b/>
          <w:sz w:val="24"/>
          <w:szCs w:val="24"/>
        </w:rPr>
        <w:t>17</w:t>
      </w:r>
      <w:r w:rsidRPr="0097332C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 w:rsidRPr="007A5573">
        <w:rPr>
          <w:rFonts w:ascii="Times New Roman"/>
          <w:sz w:val="24"/>
          <w:szCs w:val="24"/>
        </w:rPr>
        <w:t>239</w:t>
      </w:r>
      <w:r w:rsidRPr="00C31BBB"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2</w:t>
      </w:r>
      <w:r w:rsidRPr="007A5573">
        <w:rPr>
          <w:rFonts w:ascii="Times New Roman"/>
          <w:sz w:val="24"/>
          <w:szCs w:val="24"/>
        </w:rPr>
        <w:t>50.</w:t>
      </w:r>
    </w:p>
    <w:p w:rsidR="00CB224E" w:rsidRDefault="00CB224E" w:rsidP="00CB224E">
      <w:pPr>
        <w:spacing w:after="0" w:line="480" w:lineRule="auto"/>
        <w:rPr>
          <w:rFonts w:ascii="Times New Roman"/>
          <w:noProof/>
          <w:sz w:val="24"/>
          <w:szCs w:val="24"/>
        </w:rPr>
      </w:pPr>
    </w:p>
    <w:p w:rsidR="00CB224E" w:rsidRDefault="00CB224E" w:rsidP="00CB224E">
      <w:pPr>
        <w:spacing w:after="0" w:line="480" w:lineRule="auto"/>
        <w:rPr>
          <w:rFonts w:ascii="Times New Roman"/>
          <w:noProof/>
          <w:sz w:val="24"/>
          <w:szCs w:val="24"/>
        </w:rPr>
      </w:pPr>
    </w:p>
    <w:p w:rsidR="00726ADB" w:rsidRDefault="00726ADB" w:rsidP="00CB224E">
      <w:pPr>
        <w:spacing w:after="0" w:line="480" w:lineRule="auto"/>
        <w:rPr>
          <w:rFonts w:ascii="Times New Roman"/>
          <w:noProof/>
          <w:sz w:val="24"/>
          <w:szCs w:val="24"/>
        </w:rPr>
      </w:pPr>
    </w:p>
    <w:p w:rsidR="00726ADB" w:rsidRDefault="00726ADB" w:rsidP="00CB224E">
      <w:pPr>
        <w:spacing w:after="0" w:line="480" w:lineRule="auto"/>
        <w:rPr>
          <w:rFonts w:ascii="Times New Roman"/>
          <w:noProof/>
          <w:sz w:val="24"/>
          <w:szCs w:val="24"/>
        </w:rPr>
      </w:pPr>
    </w:p>
    <w:p w:rsidR="00726ADB" w:rsidRDefault="00726ADB" w:rsidP="00CB224E">
      <w:pPr>
        <w:spacing w:after="0" w:line="480" w:lineRule="auto"/>
        <w:rPr>
          <w:rFonts w:ascii="Times New Roman"/>
          <w:noProof/>
          <w:sz w:val="24"/>
          <w:szCs w:val="24"/>
        </w:rPr>
      </w:pPr>
      <w:r w:rsidRPr="00726ADB">
        <w:rPr>
          <w:rFonts w:ascii="Times New Roman"/>
          <w:noProof/>
          <w:sz w:val="24"/>
          <w:szCs w:val="24"/>
        </w:rPr>
        <w:drawing>
          <wp:inline distT="0" distB="0" distL="0" distR="0">
            <wp:extent cx="6153150" cy="4615584"/>
            <wp:effectExtent l="0" t="0" r="0" b="0"/>
            <wp:docPr id="2" name="Picture 2" descr="C:\Users\Steve\AppData\Local\Temp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Temp\IMG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07" cy="46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DB" w:rsidRDefault="00726ADB" w:rsidP="00726ADB">
      <w:r w:rsidRPr="008130F2">
        <w:rPr>
          <w:rFonts w:ascii="Times New Roman"/>
          <w:b/>
          <w:sz w:val="24"/>
          <w:szCs w:val="24"/>
        </w:rPr>
        <w:t xml:space="preserve">Figure </w:t>
      </w:r>
      <w:r>
        <w:rPr>
          <w:rFonts w:ascii="Times New Roman"/>
          <w:b/>
          <w:sz w:val="24"/>
          <w:szCs w:val="24"/>
        </w:rPr>
        <w:t>S1</w:t>
      </w:r>
      <w:r w:rsidRPr="008130F2">
        <w:rPr>
          <w:rFonts w:ascii="Times New Roman"/>
          <w:b/>
          <w:sz w:val="24"/>
          <w:szCs w:val="24"/>
        </w:rPr>
        <w:t>.</w:t>
      </w:r>
      <w:r w:rsidRPr="008130F2">
        <w:rPr>
          <w:rFonts w:ascii="Times New Roman"/>
          <w:sz w:val="24"/>
          <w:szCs w:val="24"/>
        </w:rPr>
        <w:t xml:space="preserve"> Photograph </w:t>
      </w:r>
      <w:r>
        <w:rPr>
          <w:rFonts w:ascii="Times New Roman"/>
          <w:sz w:val="24"/>
          <w:szCs w:val="24"/>
        </w:rPr>
        <w:t>of capelin (</w:t>
      </w:r>
      <w:proofErr w:type="spellStart"/>
      <w:r w:rsidRPr="00426DEE">
        <w:rPr>
          <w:rFonts w:ascii="Times New Roman"/>
          <w:i/>
          <w:sz w:val="24"/>
          <w:szCs w:val="24"/>
        </w:rPr>
        <w:t>Mallotus</w:t>
      </w:r>
      <w:proofErr w:type="spellEnd"/>
      <w:r w:rsidRPr="00426DEE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26DEE">
        <w:rPr>
          <w:rFonts w:ascii="Times New Roman"/>
          <w:i/>
          <w:sz w:val="24"/>
          <w:szCs w:val="24"/>
        </w:rPr>
        <w:t>villosus</w:t>
      </w:r>
      <w:proofErr w:type="spellEnd"/>
      <w:r>
        <w:rPr>
          <w:rFonts w:ascii="Times New Roman"/>
          <w:sz w:val="24"/>
          <w:szCs w:val="24"/>
        </w:rPr>
        <w:t>) remains from the stomach contents of a</w:t>
      </w:r>
      <w:r w:rsidR="00102E3E"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 Arctic char (</w:t>
      </w:r>
      <w:proofErr w:type="spellStart"/>
      <w:r w:rsidRPr="00726ADB">
        <w:rPr>
          <w:rFonts w:ascii="Times New Roman"/>
          <w:i/>
          <w:sz w:val="24"/>
          <w:szCs w:val="24"/>
        </w:rPr>
        <w:t>Salvelinus</w:t>
      </w:r>
      <w:proofErr w:type="spellEnd"/>
      <w:r w:rsidRPr="00726AD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726ADB">
        <w:rPr>
          <w:rFonts w:ascii="Times New Roman"/>
          <w:i/>
          <w:sz w:val="24"/>
          <w:szCs w:val="24"/>
        </w:rPr>
        <w:t>alpinus</w:t>
      </w:r>
      <w:proofErr w:type="spellEnd"/>
      <w:r>
        <w:rPr>
          <w:rFonts w:ascii="Times New Roman"/>
          <w:sz w:val="24"/>
          <w:szCs w:val="24"/>
        </w:rPr>
        <w:t>) harvested in Cumberland Sound, Nunavut, Canada</w:t>
      </w:r>
      <w:r w:rsidR="00E30621">
        <w:rPr>
          <w:rFonts w:ascii="Times New Roman"/>
          <w:sz w:val="24"/>
          <w:szCs w:val="24"/>
        </w:rPr>
        <w:t xml:space="preserve"> in</w:t>
      </w:r>
      <w:r>
        <w:rPr>
          <w:rFonts w:ascii="Times New Roman"/>
          <w:sz w:val="24"/>
          <w:szCs w:val="24"/>
        </w:rPr>
        <w:t xml:space="preserve"> 2011. </w:t>
      </w:r>
    </w:p>
    <w:p w:rsidR="00726ADB" w:rsidRPr="00CB224E" w:rsidRDefault="00726ADB" w:rsidP="00CB224E">
      <w:pPr>
        <w:spacing w:after="0" w:line="480" w:lineRule="auto"/>
        <w:rPr>
          <w:rFonts w:ascii="Times New Roman"/>
          <w:noProof/>
          <w:sz w:val="24"/>
          <w:szCs w:val="24"/>
        </w:rPr>
        <w:sectPr w:rsidR="00726ADB" w:rsidRPr="00CB224E" w:rsidSect="00785AD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0064" w:rsidRDefault="007C0064" w:rsidP="00277D36">
      <w:pPr>
        <w:jc w:val="center"/>
      </w:pPr>
      <w:r>
        <w:rPr>
          <w:noProof/>
        </w:rPr>
        <w:lastRenderedPageBreak/>
        <w:drawing>
          <wp:inline distT="0" distB="0" distL="0" distR="0" wp14:anchorId="11B70BC8">
            <wp:extent cx="7019925" cy="499663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23" cy="500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DE4" w:rsidRPr="00810DE4" w:rsidRDefault="00810DE4">
      <w:pPr>
        <w:rPr>
          <w:rFonts w:ascii="Times New Roman"/>
          <w:sz w:val="24"/>
          <w:szCs w:val="24"/>
        </w:rPr>
      </w:pPr>
      <w:r w:rsidRPr="00810DE4">
        <w:rPr>
          <w:rFonts w:ascii="Times New Roman"/>
          <w:b/>
          <w:sz w:val="24"/>
          <w:szCs w:val="24"/>
        </w:rPr>
        <w:t>Figure S</w:t>
      </w:r>
      <w:r w:rsidR="004277A5">
        <w:rPr>
          <w:rFonts w:ascii="Times New Roman"/>
          <w:b/>
          <w:sz w:val="24"/>
          <w:szCs w:val="24"/>
        </w:rPr>
        <w:t>2</w:t>
      </w:r>
      <w:r w:rsidRPr="00810DE4">
        <w:rPr>
          <w:rFonts w:ascii="Times New Roman"/>
          <w:b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 xml:space="preserve"> Relative importance (% wet weight) of prey items from stomach contents of Arctic char captured from </w:t>
      </w:r>
      <w:proofErr w:type="spellStart"/>
      <w:r w:rsidR="00927E71">
        <w:rPr>
          <w:rFonts w:ascii="Times New Roman"/>
          <w:sz w:val="24"/>
          <w:szCs w:val="24"/>
        </w:rPr>
        <w:t>Kipisa</w:t>
      </w:r>
      <w:proofErr w:type="spellEnd"/>
      <w:r w:rsidR="00E94C1B">
        <w:rPr>
          <w:rFonts w:ascii="Times New Roman"/>
          <w:sz w:val="24"/>
          <w:szCs w:val="24"/>
        </w:rPr>
        <w:t>, Cumberland Sound, Nunavut, Canada</w:t>
      </w:r>
      <w:r w:rsidR="00927E71">
        <w:rPr>
          <w:rFonts w:ascii="Times New Roman"/>
          <w:sz w:val="24"/>
          <w:szCs w:val="24"/>
        </w:rPr>
        <w:t xml:space="preserve"> (66°29’50.</w:t>
      </w:r>
      <w:proofErr w:type="gramStart"/>
      <w:r w:rsidR="00927E71">
        <w:rPr>
          <w:rFonts w:ascii="Times New Roman"/>
          <w:sz w:val="24"/>
          <w:szCs w:val="24"/>
        </w:rPr>
        <w:t>27”N</w:t>
      </w:r>
      <w:proofErr w:type="gramEnd"/>
      <w:r w:rsidR="00927E71">
        <w:rPr>
          <w:rFonts w:ascii="Times New Roman"/>
          <w:sz w:val="24"/>
          <w:szCs w:val="24"/>
        </w:rPr>
        <w:t xml:space="preserve">, 67°51’36.85”W). </w:t>
      </w:r>
      <w:r>
        <w:rPr>
          <w:rFonts w:ascii="Times New Roman"/>
          <w:sz w:val="24"/>
          <w:szCs w:val="24"/>
        </w:rPr>
        <w:t>Samples sizes (n): 200</w:t>
      </w:r>
      <w:r w:rsidR="00927E71">
        <w:rPr>
          <w:rFonts w:ascii="Times New Roman"/>
          <w:sz w:val="24"/>
          <w:szCs w:val="24"/>
        </w:rPr>
        <w:t>2 = 27</w:t>
      </w:r>
      <w:r>
        <w:rPr>
          <w:rFonts w:ascii="Times New Roman"/>
          <w:sz w:val="24"/>
          <w:szCs w:val="24"/>
        </w:rPr>
        <w:t>, 2003 = 14, 2004=1</w:t>
      </w:r>
      <w:r w:rsidR="00927E71">
        <w:rPr>
          <w:rFonts w:ascii="Times New Roman"/>
          <w:sz w:val="24"/>
          <w:szCs w:val="24"/>
        </w:rPr>
        <w:t>8</w:t>
      </w:r>
      <w:r>
        <w:rPr>
          <w:rFonts w:ascii="Times New Roman"/>
          <w:sz w:val="24"/>
          <w:szCs w:val="24"/>
        </w:rPr>
        <w:t xml:space="preserve"> and 2011=</w:t>
      </w:r>
      <w:r w:rsidR="00927E71">
        <w:rPr>
          <w:rFonts w:ascii="Times New Roman"/>
          <w:sz w:val="24"/>
          <w:szCs w:val="24"/>
        </w:rPr>
        <w:t>25</w:t>
      </w:r>
      <w:r>
        <w:rPr>
          <w:rFonts w:ascii="Times New Roman"/>
          <w:sz w:val="24"/>
          <w:szCs w:val="24"/>
        </w:rPr>
        <w:t>.</w:t>
      </w:r>
    </w:p>
    <w:p w:rsidR="00785ADA" w:rsidRDefault="00827948" w:rsidP="00277D36">
      <w:pPr>
        <w:jc w:val="center"/>
      </w:pPr>
      <w:r>
        <w:rPr>
          <w:noProof/>
        </w:rPr>
        <w:lastRenderedPageBreak/>
        <w:drawing>
          <wp:inline distT="0" distB="0" distL="0" distR="0" wp14:anchorId="60D89120">
            <wp:extent cx="7022592" cy="4992624"/>
            <wp:effectExtent l="0" t="0" r="0" b="0"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92" cy="4992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5F7" w:rsidRPr="00785ADA" w:rsidRDefault="00827948" w:rsidP="00827948">
      <w:pPr>
        <w:sectPr w:rsidR="008A15F7" w:rsidRPr="00785ADA" w:rsidSect="00810DE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10DE4">
        <w:rPr>
          <w:rFonts w:ascii="Times New Roman"/>
          <w:b/>
          <w:sz w:val="24"/>
          <w:szCs w:val="24"/>
        </w:rPr>
        <w:t>Figure S</w:t>
      </w:r>
      <w:r w:rsidR="004277A5">
        <w:rPr>
          <w:rFonts w:ascii="Times New Roman"/>
          <w:b/>
          <w:sz w:val="24"/>
          <w:szCs w:val="24"/>
        </w:rPr>
        <w:t>3</w:t>
      </w:r>
      <w:r w:rsidRPr="00810DE4">
        <w:rPr>
          <w:rFonts w:ascii="Times New Roman"/>
          <w:b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 xml:space="preserve"> Relative importance (% wet weight) of prey items from stomach contents of Arctic char captured from </w:t>
      </w:r>
      <w:proofErr w:type="spellStart"/>
      <w:r w:rsidR="00927E71">
        <w:rPr>
          <w:rFonts w:ascii="Times New Roman"/>
          <w:sz w:val="24"/>
          <w:szCs w:val="24"/>
        </w:rPr>
        <w:t>Isuituq</w:t>
      </w:r>
      <w:proofErr w:type="spellEnd"/>
      <w:r w:rsidR="00E94C1B">
        <w:rPr>
          <w:rFonts w:ascii="Times New Roman"/>
          <w:sz w:val="24"/>
          <w:szCs w:val="24"/>
        </w:rPr>
        <w:t>, Cumberland Sound, Nunavut, Canada</w:t>
      </w:r>
      <w:r w:rsidR="00927E71">
        <w:rPr>
          <w:rFonts w:ascii="Times New Roman"/>
          <w:sz w:val="24"/>
          <w:szCs w:val="24"/>
        </w:rPr>
        <w:t xml:space="preserve"> (66°36’50.</w:t>
      </w:r>
      <w:proofErr w:type="gramStart"/>
      <w:r w:rsidR="00927E71">
        <w:rPr>
          <w:rFonts w:ascii="Times New Roman"/>
          <w:sz w:val="24"/>
          <w:szCs w:val="24"/>
        </w:rPr>
        <w:t>15”N</w:t>
      </w:r>
      <w:proofErr w:type="gramEnd"/>
      <w:r w:rsidR="00927E71">
        <w:rPr>
          <w:rFonts w:ascii="Times New Roman"/>
          <w:sz w:val="24"/>
          <w:szCs w:val="24"/>
        </w:rPr>
        <w:t>, 67°52’31.02”W).</w:t>
      </w:r>
      <w:r w:rsidR="00155731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Samples sizes (n): 2002 = 33,</w:t>
      </w:r>
      <w:r w:rsidR="008A15F7">
        <w:rPr>
          <w:rFonts w:ascii="Times New Roman"/>
          <w:sz w:val="24"/>
          <w:szCs w:val="24"/>
        </w:rPr>
        <w:t xml:space="preserve"> 2003 = 14, 2004=11 and 2011=43</w:t>
      </w:r>
    </w:p>
    <w:p w:rsidR="007C0064" w:rsidRDefault="007C0064">
      <w:pPr>
        <w:rPr>
          <w:rFonts w:ascii="Times New Roman"/>
          <w:b/>
          <w:sz w:val="24"/>
          <w:szCs w:val="24"/>
        </w:rPr>
      </w:pPr>
    </w:p>
    <w:p w:rsidR="007C0064" w:rsidRDefault="007C0064" w:rsidP="00277D36">
      <w:pPr>
        <w:jc w:val="center"/>
        <w:rPr>
          <w:rFonts w:ascii="Times New Roman"/>
          <w:b/>
          <w:sz w:val="24"/>
          <w:szCs w:val="24"/>
        </w:rPr>
      </w:pPr>
      <w:r w:rsidRPr="0025574D">
        <w:rPr>
          <w:noProof/>
        </w:rPr>
        <w:drawing>
          <wp:inline distT="0" distB="0" distL="0" distR="0" wp14:anchorId="54B390EE" wp14:editId="07CBE683">
            <wp:extent cx="5943600" cy="4140142"/>
            <wp:effectExtent l="0" t="0" r="0" b="0"/>
            <wp:docPr id="1" name="Picture 1" descr="C:\Users\Steve\Desktop\BEL-SUPP-Biol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BEL-SUPP-BiolLet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A1" w:rsidRDefault="00B163A1">
      <w:r w:rsidRPr="00D83F57">
        <w:rPr>
          <w:rFonts w:ascii="Times New Roman"/>
          <w:b/>
          <w:sz w:val="24"/>
          <w:szCs w:val="24"/>
        </w:rPr>
        <w:t>Figure S</w:t>
      </w:r>
      <w:r w:rsidR="004277A5">
        <w:rPr>
          <w:rFonts w:ascii="Times New Roman"/>
          <w:b/>
          <w:sz w:val="24"/>
          <w:szCs w:val="24"/>
        </w:rPr>
        <w:t>4</w:t>
      </w:r>
      <w:r w:rsidRPr="00D83F57">
        <w:rPr>
          <w:rFonts w:ascii="Times New Roman"/>
          <w:b/>
          <w:sz w:val="24"/>
          <w:szCs w:val="24"/>
        </w:rPr>
        <w:t>.</w:t>
      </w:r>
      <w:r w:rsidRPr="00C97B8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Stable isotope bi-plot of prey sources from </w:t>
      </w:r>
      <w:r w:rsidR="00E15AF0">
        <w:rPr>
          <w:rFonts w:ascii="Times New Roman"/>
          <w:sz w:val="24"/>
          <w:szCs w:val="24"/>
        </w:rPr>
        <w:t xml:space="preserve">stable isotope </w:t>
      </w:r>
      <w:r>
        <w:rPr>
          <w:rFonts w:ascii="Times New Roman"/>
          <w:sz w:val="24"/>
          <w:szCs w:val="24"/>
        </w:rPr>
        <w:t>mixing model analysis (mean ± SD) relative to isotopic values of beluga muscle (a, b) and skin (c, d) corrected by diet-tissue discrimination factors for the 1982-2002 (a, c) and 2004-2012 (b, d) time period in Cumberland Sound</w:t>
      </w:r>
      <w:r w:rsidR="00E94C1B">
        <w:rPr>
          <w:rFonts w:ascii="Times New Roman"/>
          <w:sz w:val="24"/>
          <w:szCs w:val="24"/>
        </w:rPr>
        <w:t>, Nunavut, Canada</w:t>
      </w:r>
      <w:r>
        <w:rPr>
          <w:rFonts w:ascii="Times New Roman"/>
          <w:sz w:val="24"/>
          <w:szCs w:val="24"/>
        </w:rPr>
        <w:t>.</w:t>
      </w:r>
      <w:r w:rsidR="009B29FA">
        <w:rPr>
          <w:rFonts w:ascii="Times New Roman"/>
          <w:sz w:val="24"/>
          <w:szCs w:val="24"/>
        </w:rPr>
        <w:t xml:space="preserve"> </w:t>
      </w:r>
      <w:proofErr w:type="spellStart"/>
      <w:r w:rsidR="009B29FA">
        <w:rPr>
          <w:rFonts w:ascii="Times New Roman"/>
          <w:sz w:val="24"/>
          <w:szCs w:val="24"/>
        </w:rPr>
        <w:t>Codcap</w:t>
      </w:r>
      <w:proofErr w:type="spellEnd"/>
      <w:r w:rsidR="009B29FA">
        <w:rPr>
          <w:rFonts w:ascii="Times New Roman"/>
          <w:sz w:val="24"/>
          <w:szCs w:val="24"/>
        </w:rPr>
        <w:t>: Arctic cod/</w:t>
      </w:r>
      <w:r w:rsidR="007B2E7D">
        <w:rPr>
          <w:rFonts w:ascii="Times New Roman"/>
          <w:sz w:val="24"/>
          <w:szCs w:val="24"/>
        </w:rPr>
        <w:t>c</w:t>
      </w:r>
      <w:r w:rsidR="009B29FA">
        <w:rPr>
          <w:rFonts w:ascii="Times New Roman"/>
          <w:sz w:val="24"/>
          <w:szCs w:val="24"/>
        </w:rPr>
        <w:t>apelin</w:t>
      </w:r>
    </w:p>
    <w:p w:rsidR="0025574D" w:rsidRDefault="0025574D"/>
    <w:p w:rsidR="0025574D" w:rsidRDefault="0025574D"/>
    <w:p w:rsidR="0025574D" w:rsidRDefault="0025574D"/>
    <w:p w:rsidR="0025574D" w:rsidRDefault="0025574D"/>
    <w:p w:rsidR="0025574D" w:rsidRDefault="001A4C6C" w:rsidP="00277D36">
      <w:pPr>
        <w:jc w:val="center"/>
      </w:pPr>
      <w:r w:rsidRPr="001A4C6C">
        <w:rPr>
          <w:noProof/>
        </w:rPr>
        <w:lastRenderedPageBreak/>
        <w:drawing>
          <wp:inline distT="0" distB="0" distL="0" distR="0">
            <wp:extent cx="5943600" cy="4544181"/>
            <wp:effectExtent l="0" t="0" r="0" b="8890"/>
            <wp:docPr id="3" name="Picture 3" descr="C:\Users\Steve\Desktop\BiolLett-SUPP\SUPP\GH-SUPP-BiolLe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BiolLett-SUPP\SUPP\GH-SUPP-BiolLet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A1" w:rsidRDefault="00B163A1" w:rsidP="00B163A1">
      <w:r w:rsidRPr="00D83F57">
        <w:rPr>
          <w:rFonts w:ascii="Times New Roman"/>
          <w:b/>
          <w:sz w:val="24"/>
          <w:szCs w:val="24"/>
        </w:rPr>
        <w:t>Figure S</w:t>
      </w:r>
      <w:r w:rsidR="004277A5">
        <w:rPr>
          <w:rFonts w:ascii="Times New Roman"/>
          <w:b/>
          <w:sz w:val="24"/>
          <w:szCs w:val="24"/>
        </w:rPr>
        <w:t>5</w:t>
      </w:r>
      <w:r w:rsidRPr="00D83F57">
        <w:rPr>
          <w:rFonts w:ascii="Times New Roman"/>
          <w:b/>
          <w:sz w:val="24"/>
          <w:szCs w:val="24"/>
        </w:rPr>
        <w:t>.</w:t>
      </w:r>
      <w:r w:rsidRPr="00C97B8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Stable isotope bi-plot of prey sources from </w:t>
      </w:r>
      <w:r w:rsidR="00E15AF0">
        <w:rPr>
          <w:rFonts w:ascii="Times New Roman"/>
          <w:sz w:val="24"/>
          <w:szCs w:val="24"/>
        </w:rPr>
        <w:t xml:space="preserve">stable isotope </w:t>
      </w:r>
      <w:r>
        <w:rPr>
          <w:rFonts w:ascii="Times New Roman"/>
          <w:sz w:val="24"/>
          <w:szCs w:val="24"/>
        </w:rPr>
        <w:t>mixing model analysis (mean ± SD) relative to isotopic values of Greenland halib</w:t>
      </w:r>
      <w:r w:rsidR="00C3059E">
        <w:rPr>
          <w:rFonts w:ascii="Times New Roman"/>
          <w:sz w:val="24"/>
          <w:szCs w:val="24"/>
        </w:rPr>
        <w:t>ut muscle (a, b) and liver (c</w:t>
      </w:r>
      <w:r>
        <w:rPr>
          <w:rFonts w:ascii="Times New Roman"/>
          <w:sz w:val="24"/>
          <w:szCs w:val="24"/>
        </w:rPr>
        <w:t>) corrected by diet-tissue discriminati</w:t>
      </w:r>
      <w:r w:rsidR="00C3059E">
        <w:rPr>
          <w:rFonts w:ascii="Times New Roman"/>
          <w:sz w:val="24"/>
          <w:szCs w:val="24"/>
        </w:rPr>
        <w:t>on factors for the 1982-2002 (a</w:t>
      </w:r>
      <w:r>
        <w:rPr>
          <w:rFonts w:ascii="Times New Roman"/>
          <w:sz w:val="24"/>
          <w:szCs w:val="24"/>
        </w:rPr>
        <w:t xml:space="preserve">) and 2004-2012 (b, </w:t>
      </w:r>
      <w:r w:rsidR="00C3059E"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) time period in Cumberland Sound</w:t>
      </w:r>
      <w:r w:rsidR="00E94C1B">
        <w:rPr>
          <w:rFonts w:ascii="Times New Roman"/>
          <w:sz w:val="24"/>
          <w:szCs w:val="24"/>
        </w:rPr>
        <w:t>, Nunavut, Canada</w:t>
      </w:r>
      <w:r>
        <w:rPr>
          <w:rFonts w:ascii="Times New Roman"/>
          <w:sz w:val="24"/>
          <w:szCs w:val="24"/>
        </w:rPr>
        <w:t>.</w:t>
      </w:r>
      <w:r w:rsidR="009B29FA" w:rsidRPr="009B29FA">
        <w:rPr>
          <w:rFonts w:ascii="Times New Roman"/>
          <w:sz w:val="24"/>
          <w:szCs w:val="24"/>
        </w:rPr>
        <w:t xml:space="preserve"> </w:t>
      </w:r>
      <w:proofErr w:type="spellStart"/>
      <w:r w:rsidR="009B29FA">
        <w:rPr>
          <w:rFonts w:ascii="Times New Roman"/>
          <w:sz w:val="24"/>
          <w:szCs w:val="24"/>
        </w:rPr>
        <w:t>Codcap</w:t>
      </w:r>
      <w:proofErr w:type="spellEnd"/>
      <w:r w:rsidR="009B29FA">
        <w:rPr>
          <w:rFonts w:ascii="Times New Roman"/>
          <w:sz w:val="24"/>
          <w:szCs w:val="24"/>
        </w:rPr>
        <w:t>: Arctic cod/</w:t>
      </w:r>
      <w:r w:rsidR="007B2E7D">
        <w:rPr>
          <w:rFonts w:ascii="Times New Roman"/>
          <w:sz w:val="24"/>
          <w:szCs w:val="24"/>
        </w:rPr>
        <w:t>c</w:t>
      </w:r>
      <w:r w:rsidR="009B29FA">
        <w:rPr>
          <w:rFonts w:ascii="Times New Roman"/>
          <w:sz w:val="24"/>
          <w:szCs w:val="24"/>
        </w:rPr>
        <w:t>apelin</w:t>
      </w:r>
    </w:p>
    <w:p w:rsidR="00B163A1" w:rsidRDefault="00B163A1"/>
    <w:sectPr w:rsidR="00B163A1" w:rsidSect="008A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95" w:rsidRDefault="001F0B95" w:rsidP="007C0064">
      <w:pPr>
        <w:spacing w:after="0" w:line="240" w:lineRule="auto"/>
      </w:pPr>
      <w:r>
        <w:separator/>
      </w:r>
    </w:p>
  </w:endnote>
  <w:endnote w:type="continuationSeparator" w:id="0">
    <w:p w:rsidR="001F0B95" w:rsidRDefault="001F0B95" w:rsidP="007C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17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D36" w:rsidRDefault="0027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F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7D36" w:rsidRDefault="0027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95" w:rsidRDefault="001F0B95" w:rsidP="007C0064">
      <w:pPr>
        <w:spacing w:after="0" w:line="240" w:lineRule="auto"/>
      </w:pPr>
      <w:r>
        <w:separator/>
      </w:r>
    </w:p>
  </w:footnote>
  <w:footnote w:type="continuationSeparator" w:id="0">
    <w:p w:rsidR="001F0B95" w:rsidRDefault="001F0B95" w:rsidP="007C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A2F"/>
    <w:multiLevelType w:val="hybridMultilevel"/>
    <w:tmpl w:val="19AAEE64"/>
    <w:lvl w:ilvl="0" w:tplc="6E9267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C81"/>
    <w:multiLevelType w:val="hybridMultilevel"/>
    <w:tmpl w:val="B77225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4D"/>
    <w:rsid w:val="000333CA"/>
    <w:rsid w:val="0003655D"/>
    <w:rsid w:val="00046508"/>
    <w:rsid w:val="00067B60"/>
    <w:rsid w:val="00083A98"/>
    <w:rsid w:val="000D296F"/>
    <w:rsid w:val="000E4F84"/>
    <w:rsid w:val="000F15DC"/>
    <w:rsid w:val="00102E3E"/>
    <w:rsid w:val="00117FEB"/>
    <w:rsid w:val="001455CE"/>
    <w:rsid w:val="00155731"/>
    <w:rsid w:val="00155D2E"/>
    <w:rsid w:val="001A4C6C"/>
    <w:rsid w:val="001A664A"/>
    <w:rsid w:val="001E4077"/>
    <w:rsid w:val="001F0B95"/>
    <w:rsid w:val="0020235E"/>
    <w:rsid w:val="00215C1F"/>
    <w:rsid w:val="00226988"/>
    <w:rsid w:val="00234446"/>
    <w:rsid w:val="00240A8E"/>
    <w:rsid w:val="00242DDD"/>
    <w:rsid w:val="0025574D"/>
    <w:rsid w:val="00277D36"/>
    <w:rsid w:val="002C3ABD"/>
    <w:rsid w:val="002D542A"/>
    <w:rsid w:val="00323DFC"/>
    <w:rsid w:val="00326B7D"/>
    <w:rsid w:val="003308E7"/>
    <w:rsid w:val="0033259F"/>
    <w:rsid w:val="003473C1"/>
    <w:rsid w:val="003638B2"/>
    <w:rsid w:val="00366327"/>
    <w:rsid w:val="00372FCF"/>
    <w:rsid w:val="00373E75"/>
    <w:rsid w:val="00375F94"/>
    <w:rsid w:val="003C4D98"/>
    <w:rsid w:val="004277A5"/>
    <w:rsid w:val="004424E6"/>
    <w:rsid w:val="004510EB"/>
    <w:rsid w:val="0050395F"/>
    <w:rsid w:val="00582D6E"/>
    <w:rsid w:val="005D0653"/>
    <w:rsid w:val="005D412E"/>
    <w:rsid w:val="00633300"/>
    <w:rsid w:val="00654104"/>
    <w:rsid w:val="00683A6D"/>
    <w:rsid w:val="007009E5"/>
    <w:rsid w:val="00726ADB"/>
    <w:rsid w:val="00785ADA"/>
    <w:rsid w:val="0079716F"/>
    <w:rsid w:val="0079792A"/>
    <w:rsid w:val="007B2E7D"/>
    <w:rsid w:val="007C0064"/>
    <w:rsid w:val="00810DE4"/>
    <w:rsid w:val="008255A6"/>
    <w:rsid w:val="00825EF0"/>
    <w:rsid w:val="00827948"/>
    <w:rsid w:val="00885CA8"/>
    <w:rsid w:val="0089776B"/>
    <w:rsid w:val="008A15F7"/>
    <w:rsid w:val="008A3C24"/>
    <w:rsid w:val="008A5E22"/>
    <w:rsid w:val="009206D6"/>
    <w:rsid w:val="00927E71"/>
    <w:rsid w:val="0093351F"/>
    <w:rsid w:val="0097332C"/>
    <w:rsid w:val="009973F4"/>
    <w:rsid w:val="009B29FA"/>
    <w:rsid w:val="009B7A97"/>
    <w:rsid w:val="009C57FF"/>
    <w:rsid w:val="009D0D68"/>
    <w:rsid w:val="009F2386"/>
    <w:rsid w:val="00A05070"/>
    <w:rsid w:val="00A62121"/>
    <w:rsid w:val="00A71FDE"/>
    <w:rsid w:val="00AA25C0"/>
    <w:rsid w:val="00AE6E4D"/>
    <w:rsid w:val="00B133EF"/>
    <w:rsid w:val="00B163A1"/>
    <w:rsid w:val="00B55B22"/>
    <w:rsid w:val="00B808CA"/>
    <w:rsid w:val="00B82639"/>
    <w:rsid w:val="00B84A4A"/>
    <w:rsid w:val="00BA45FA"/>
    <w:rsid w:val="00C06363"/>
    <w:rsid w:val="00C3059E"/>
    <w:rsid w:val="00CB0F93"/>
    <w:rsid w:val="00CB224E"/>
    <w:rsid w:val="00CC649C"/>
    <w:rsid w:val="00CE5403"/>
    <w:rsid w:val="00D522E9"/>
    <w:rsid w:val="00D947A5"/>
    <w:rsid w:val="00D954D8"/>
    <w:rsid w:val="00DA407B"/>
    <w:rsid w:val="00DA6165"/>
    <w:rsid w:val="00E04577"/>
    <w:rsid w:val="00E04644"/>
    <w:rsid w:val="00E15AF0"/>
    <w:rsid w:val="00E30621"/>
    <w:rsid w:val="00E61837"/>
    <w:rsid w:val="00E81919"/>
    <w:rsid w:val="00E92D55"/>
    <w:rsid w:val="00E94C1B"/>
    <w:rsid w:val="00EB6712"/>
    <w:rsid w:val="00EF20B6"/>
    <w:rsid w:val="00F35681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1618"/>
  <w15:chartTrackingRefBased/>
  <w15:docId w15:val="{79781486-0031-4427-9E1D-1963BB6C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64"/>
  </w:style>
  <w:style w:type="paragraph" w:styleId="Footer">
    <w:name w:val="footer"/>
    <w:basedOn w:val="Normal"/>
    <w:link w:val="FooterChar"/>
    <w:uiPriority w:val="99"/>
    <w:unhideWhenUsed/>
    <w:rsid w:val="007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64"/>
  </w:style>
  <w:style w:type="paragraph" w:styleId="ListParagraph">
    <w:name w:val="List Paragraph"/>
    <w:basedOn w:val="Normal"/>
    <w:uiPriority w:val="34"/>
    <w:qFormat/>
    <w:rsid w:val="00C06363"/>
    <w:pPr>
      <w:ind w:left="720"/>
      <w:contextualSpacing/>
    </w:pPr>
  </w:style>
  <w:style w:type="paragraph" w:customStyle="1" w:styleId="Default">
    <w:name w:val="Default"/>
    <w:rsid w:val="00654104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5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81"/>
    <w:pPr>
      <w:spacing w:line="240" w:lineRule="auto"/>
    </w:pPr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81"/>
    <w:rPr>
      <w:rFonts w:eastAsiaTheme="minorHAnsi" w:hAnsiTheme="minorHAnsi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Yurkowski</dc:creator>
  <cp:keywords/>
  <dc:description/>
  <cp:lastModifiedBy>David Yurkowski</cp:lastModifiedBy>
  <cp:revision>5</cp:revision>
  <dcterms:created xsi:type="dcterms:W3CDTF">2017-09-25T16:02:00Z</dcterms:created>
  <dcterms:modified xsi:type="dcterms:W3CDTF">2017-09-30T14:48:00Z</dcterms:modified>
</cp:coreProperties>
</file>