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987E" w14:textId="77777777" w:rsidR="006652BF" w:rsidRDefault="006652BF" w:rsidP="001D544A">
      <w:pPr>
        <w:rPr>
          <w:b/>
          <w:color w:val="000000" w:themeColor="text1"/>
        </w:rPr>
      </w:pPr>
    </w:p>
    <w:p w14:paraId="2593E17B" w14:textId="360A02B0" w:rsidR="006652BF" w:rsidRDefault="00214957" w:rsidP="006652BF">
      <w:pPr>
        <w:rPr>
          <w:b/>
          <w:color w:val="000000" w:themeColor="text1"/>
        </w:rPr>
      </w:pPr>
      <w:r>
        <w:rPr>
          <w:b/>
          <w:color w:val="000000" w:themeColor="text1"/>
        </w:rPr>
        <w:t xml:space="preserve">ELECTRONIC </w:t>
      </w:r>
      <w:r w:rsidR="006652BF">
        <w:rPr>
          <w:b/>
          <w:color w:val="000000" w:themeColor="text1"/>
        </w:rPr>
        <w:t>SUPPLEMENTARY MATERIAL</w:t>
      </w:r>
    </w:p>
    <w:p w14:paraId="353DFF01" w14:textId="77777777" w:rsidR="006652BF" w:rsidRDefault="006652BF" w:rsidP="006652BF">
      <w:pPr>
        <w:rPr>
          <w:color w:val="0000FF"/>
        </w:rPr>
      </w:pPr>
    </w:p>
    <w:p w14:paraId="266CA29B" w14:textId="77777777" w:rsidR="006652BF" w:rsidRPr="00DD233A" w:rsidRDefault="006652BF" w:rsidP="006652BF">
      <w:pPr>
        <w:rPr>
          <w:b/>
        </w:rPr>
      </w:pPr>
      <w:r w:rsidRPr="00DD233A">
        <w:rPr>
          <w:b/>
        </w:rPr>
        <w:t>Methods: Experimental Protocol</w:t>
      </w:r>
    </w:p>
    <w:p w14:paraId="30A6D499" w14:textId="77777777" w:rsidR="006652BF" w:rsidRDefault="006652BF" w:rsidP="006652BF">
      <w:pPr>
        <w:rPr>
          <w:color w:val="000000" w:themeColor="text1"/>
        </w:rPr>
      </w:pPr>
      <w:r w:rsidRPr="1CE99639">
        <w:rPr>
          <w:color w:val="000000" w:themeColor="text1"/>
        </w:rPr>
        <w:t xml:space="preserve">Intermediate stages of the </w:t>
      </w:r>
      <w:r w:rsidR="00373CE3">
        <w:rPr>
          <w:color w:val="000000" w:themeColor="text1"/>
        </w:rPr>
        <w:t xml:space="preserve">MA </w:t>
      </w:r>
      <w:r w:rsidRPr="1CE99639">
        <w:rPr>
          <w:color w:val="000000" w:themeColor="text1"/>
        </w:rPr>
        <w:t>experiment were archived at -80</w:t>
      </w:r>
      <w:r w:rsidRPr="1CE99639">
        <w:rPr>
          <w:rFonts w:ascii="Calibri" w:eastAsia="Calibri" w:hAnsi="Calibri" w:cs="Calibri"/>
          <w:color w:val="000000" w:themeColor="text1"/>
        </w:rPr>
        <w:t>°</w:t>
      </w:r>
      <w:r w:rsidRPr="1CE99639">
        <w:rPr>
          <w:color w:val="000000" w:themeColor="text1"/>
        </w:rPr>
        <w:t xml:space="preserve"> C in 15% glycerol every 5 days. If colony growth was not visible after 24 h for a given population during its propagation, then we incubated the population for another 24 hours; if no growth was visible at 48 hours, the population was provisionally considered to have gone extinct and was restarted from its previously frozen time point. After three consecutive failed restarts, no further attempt was made to propagate the population and it was considered to have gone extinct. Populations that did not go extinct were propagated for a total of 50 daily transfers, corresponding to approximately 1250 generations of binary fission based on daily growth from 1 to ~3 x 10</w:t>
      </w:r>
      <w:r w:rsidRPr="1CE99639">
        <w:rPr>
          <w:color w:val="000000" w:themeColor="text1"/>
          <w:vertAlign w:val="superscript"/>
        </w:rPr>
        <w:t>7</w:t>
      </w:r>
      <w:r w:rsidRPr="1CE99639">
        <w:rPr>
          <w:color w:val="000000" w:themeColor="text1"/>
        </w:rPr>
        <w:t xml:space="preserve"> cells.</w:t>
      </w:r>
    </w:p>
    <w:p w14:paraId="0B36C595" w14:textId="77777777" w:rsidR="006652BF" w:rsidRDefault="006652BF" w:rsidP="006652BF">
      <w:pPr>
        <w:rPr>
          <w:color w:val="0000FF"/>
        </w:rPr>
      </w:pPr>
    </w:p>
    <w:p w14:paraId="4F4689FE" w14:textId="77777777" w:rsidR="006652BF" w:rsidRPr="00DD233A" w:rsidRDefault="006652BF" w:rsidP="006652BF">
      <w:pPr>
        <w:rPr>
          <w:b/>
        </w:rPr>
      </w:pPr>
      <w:r w:rsidRPr="00DD233A">
        <w:rPr>
          <w:b/>
        </w:rPr>
        <w:t>Methods: Fitness Measurement</w:t>
      </w:r>
    </w:p>
    <w:p w14:paraId="6028BD33" w14:textId="47F8A07A" w:rsidR="006652BF" w:rsidRDefault="006652BF" w:rsidP="006652BF">
      <w:pPr>
        <w:rPr>
          <w:color w:val="000000" w:themeColor="text1"/>
        </w:rPr>
      </w:pPr>
      <w:r w:rsidRPr="1CE99639">
        <w:rPr>
          <w:color w:val="000000" w:themeColor="text1"/>
        </w:rPr>
        <w:t>Plates were incubated at 37</w:t>
      </w:r>
      <w:r w:rsidRPr="1CE99639">
        <w:rPr>
          <w:rFonts w:ascii="Calibri" w:eastAsia="Calibri" w:hAnsi="Calibri" w:cs="Calibri"/>
          <w:color w:val="000000" w:themeColor="text1"/>
        </w:rPr>
        <w:t>°</w:t>
      </w:r>
      <w:r w:rsidRPr="1CE99639">
        <w:rPr>
          <w:color w:val="000000" w:themeColor="text1"/>
        </w:rPr>
        <w:t xml:space="preserve"> C with shaking over a 24-hour period in an automated plate reader (Thermo-Fisher Multiskan-GO); every 2 min during this incubation, absorbance at 600 nm was estimated by the plate reader as a proxy for cell density. </w:t>
      </w:r>
      <w:r>
        <w:t>As an additional assay of fitness at the end of the MA experiment, we carried out dilution and plating of 24 h liquid cultures of the ancestral strain and the endpoint MA populations (grown in LB or DM broth) in order to estimate viable cell densities via counts of colony-forming units (CFUs).</w:t>
      </w:r>
      <w:r w:rsidR="00870E04" w:rsidRPr="1CE99639" w:rsidDel="00870E04">
        <w:rPr>
          <w:color w:val="0000FF"/>
        </w:rPr>
        <w:t xml:space="preserve"> </w:t>
      </w:r>
    </w:p>
    <w:p w14:paraId="15EF24E6" w14:textId="77777777" w:rsidR="006652BF" w:rsidRDefault="006652BF" w:rsidP="006652BF">
      <w:pPr>
        <w:rPr>
          <w:color w:val="000000" w:themeColor="text1"/>
        </w:rPr>
      </w:pPr>
    </w:p>
    <w:p w14:paraId="12673717" w14:textId="77777777" w:rsidR="006652BF" w:rsidRPr="00DD233A" w:rsidRDefault="006652BF" w:rsidP="006652BF">
      <w:pPr>
        <w:rPr>
          <w:b/>
          <w:color w:val="000000" w:themeColor="text1"/>
        </w:rPr>
      </w:pPr>
      <w:r w:rsidRPr="00DD233A">
        <w:rPr>
          <w:b/>
          <w:color w:val="000000" w:themeColor="text1"/>
        </w:rPr>
        <w:t xml:space="preserve">Methods: Mutation Rates </w:t>
      </w:r>
    </w:p>
    <w:p w14:paraId="1CB9354A" w14:textId="769A3E2A" w:rsidR="006652BF" w:rsidRDefault="006652BF" w:rsidP="006652BF">
      <w:pPr>
        <w:rPr>
          <w:color w:val="000000" w:themeColor="text1"/>
        </w:rPr>
      </w:pPr>
      <w:r>
        <w:rPr>
          <w:color w:val="000000" w:themeColor="text1"/>
        </w:rPr>
        <w:t xml:space="preserve">Description of fluctuation assay: </w:t>
      </w:r>
      <w:r w:rsidR="00321FAA">
        <w:rPr>
          <w:color w:val="000000" w:themeColor="text1"/>
        </w:rPr>
        <w:t xml:space="preserve">We used a derived form of the fluctuation assay, first carried out by Luria and </w:t>
      </w:r>
      <w:proofErr w:type="spellStart"/>
      <w:r w:rsidR="00321FAA">
        <w:rPr>
          <w:color w:val="000000" w:themeColor="text1"/>
        </w:rPr>
        <w:t>Delbr</w:t>
      </w:r>
      <w:r w:rsidR="00321FAA" w:rsidRPr="004B0C88">
        <w:rPr>
          <w:rFonts w:ascii="Lucida Grande" w:hAnsi="Lucida Grande" w:cs="Lucida Grande"/>
          <w:color w:val="000000"/>
        </w:rPr>
        <w:t>ü</w:t>
      </w:r>
      <w:r w:rsidR="00321FAA">
        <w:rPr>
          <w:color w:val="000000" w:themeColor="text1"/>
        </w:rPr>
        <w:t>ck</w:t>
      </w:r>
      <w:proofErr w:type="spellEnd"/>
      <w:r w:rsidR="00321FAA">
        <w:rPr>
          <w:color w:val="000000" w:themeColor="text1"/>
        </w:rPr>
        <w:t xml:space="preserve"> </w:t>
      </w:r>
      <w:r w:rsidR="00321FAA">
        <w:rPr>
          <w:color w:val="000000" w:themeColor="text1"/>
        </w:rPr>
        <w:fldChar w:fldCharType="begin" w:fldLock="1"/>
      </w:r>
      <w:r w:rsidR="00321FAA">
        <w:rPr>
          <w:color w:val="000000" w:themeColor="text1"/>
        </w:rPr>
        <w:instrText>ADDIN CSL_CITATION { "citationItems" : [ { "id" : "ITEM-1", "itemData" : { "DOI" : "10.1038/nature10260", "ISBN" : "0016-6731", "ISSN" : "0016-6731", "PMID" : "17247100", "abstract" : "Page 1. OF FROM TO S. E. LURIAS AND M. DELBROCK Indiana University, Bloomingion", "author" : [ { "dropping-particle" : "", "family" : "Luria", "given" : "S E", "non-dropping-particle" : "", "parse-names" : false, "suffix" : "" }, { "dropping-particle" : "", "family" : "Delbr\u00fcck", "given" : "M", "non-dropping-particle" : "", "parse-names" : false, "suffix" : "" } ], "container-title" : "Genetics", "id" : "ITEM-1", "issue" : "6", "issued" : { "date-parts" : [ [ "1943" ] ] }, "page" : "491-511", "title" : "Mutations of Bacteria from Virus Sensitivity to Virus Resistance.", "type" : "article-journal", "volume" : "28" }, "uris" : [ "http://www.mendeley.com/documents/?uuid=0cb496e2-5049-4b0f-b7f3-133615ac3c95" ] } ], "mendeley" : { "formattedCitation" : "(1)", "plainTextFormattedCitation" : "(1)", "previouslyFormattedCitation" : "(1)" }, "properties" : { "noteIndex" : 0 }, "schema" : "https://github.com/citation-style-language/schema/raw/master/csl-citation.json" }</w:instrText>
      </w:r>
      <w:r w:rsidR="00321FAA">
        <w:rPr>
          <w:color w:val="000000" w:themeColor="text1"/>
        </w:rPr>
        <w:fldChar w:fldCharType="separate"/>
      </w:r>
      <w:r w:rsidR="00321FAA" w:rsidRPr="00321FAA">
        <w:rPr>
          <w:noProof/>
          <w:color w:val="000000" w:themeColor="text1"/>
        </w:rPr>
        <w:t>(1)</w:t>
      </w:r>
      <w:r w:rsidR="00321FAA">
        <w:rPr>
          <w:color w:val="000000" w:themeColor="text1"/>
        </w:rPr>
        <w:fldChar w:fldCharType="end"/>
      </w:r>
      <w:r w:rsidR="00321FAA">
        <w:rPr>
          <w:color w:val="000000" w:themeColor="text1"/>
        </w:rPr>
        <w:t xml:space="preserve">. </w:t>
      </w:r>
      <w:r w:rsidR="00870E04">
        <w:rPr>
          <w:color w:val="000000" w:themeColor="text1"/>
        </w:rPr>
        <w:t xml:space="preserve">Frozen isolates were grown in the appropriate media (Luria Broth for the LB populations and Davis Minimal medium for the Minimal Glucose populations) overnight and these overnight cultures were diluted appropriately </w:t>
      </w:r>
      <w:r w:rsidR="00CE2E64">
        <w:rPr>
          <w:color w:val="000000" w:themeColor="text1"/>
        </w:rPr>
        <w:t xml:space="preserve">(a dilution factor </w:t>
      </w:r>
      <w:r w:rsidR="005B4A6A" w:rsidRPr="005B4A6A">
        <w:rPr>
          <w:color w:val="000000" w:themeColor="text1"/>
        </w:rPr>
        <w:t>of</w:t>
      </w:r>
      <w:r w:rsidR="005B4A6A">
        <w:rPr>
          <w:color w:val="000000" w:themeColor="text1"/>
        </w:rPr>
        <w:t xml:space="preserve"> </w:t>
      </w:r>
      <w:proofErr w:type="gramStart"/>
      <w:r w:rsidR="005B4A6A">
        <w:rPr>
          <w:color w:val="000000" w:themeColor="text1"/>
        </w:rPr>
        <w:t>10</w:t>
      </w:r>
      <w:r w:rsidR="005B4A6A">
        <w:rPr>
          <w:color w:val="000000" w:themeColor="text1"/>
          <w:vertAlign w:val="superscript"/>
        </w:rPr>
        <w:t xml:space="preserve">6  </w:t>
      </w:r>
      <w:r w:rsidR="005B4A6A">
        <w:rPr>
          <w:color w:val="000000" w:themeColor="text1"/>
        </w:rPr>
        <w:t>was</w:t>
      </w:r>
      <w:proofErr w:type="gramEnd"/>
      <w:r w:rsidR="005B4A6A">
        <w:rPr>
          <w:color w:val="000000" w:themeColor="text1"/>
        </w:rPr>
        <w:t xml:space="preserve"> used) and these dilutions were used to </w:t>
      </w:r>
      <w:r w:rsidR="00870E04">
        <w:rPr>
          <w:color w:val="000000" w:themeColor="text1"/>
        </w:rPr>
        <w:t xml:space="preserve">inoculate 3 replicates flasks containing 30 ml of fresh medium. These </w:t>
      </w:r>
      <w:r w:rsidR="005B4A6A">
        <w:rPr>
          <w:color w:val="000000" w:themeColor="text1"/>
        </w:rPr>
        <w:t xml:space="preserve">replicate </w:t>
      </w:r>
      <w:r w:rsidR="00870E04">
        <w:rPr>
          <w:color w:val="000000" w:themeColor="text1"/>
        </w:rPr>
        <w:t xml:space="preserve">cultures were grown at 37 </w:t>
      </w:r>
      <w:r w:rsidR="00870E04" w:rsidRPr="00870E04">
        <w:rPr>
          <w:rFonts w:ascii="Lucida Grande" w:hAnsi="Lucida Grande" w:cs="Lucida Grande"/>
          <w:b/>
          <w:color w:val="000000"/>
        </w:rPr>
        <w:t>°</w:t>
      </w:r>
      <w:r w:rsidR="00870E04">
        <w:rPr>
          <w:rFonts w:ascii="Cambria" w:hAnsi="Cambria" w:cs="Lucida Grande"/>
          <w:color w:val="000000"/>
        </w:rPr>
        <w:t>C in a shaking incubator</w:t>
      </w:r>
      <w:r w:rsidR="00870E04">
        <w:rPr>
          <w:rFonts w:ascii="Lucida Grande" w:hAnsi="Lucida Grande" w:cs="Lucida Grande"/>
          <w:color w:val="000000"/>
        </w:rPr>
        <w:t xml:space="preserve"> </w:t>
      </w:r>
      <w:r w:rsidR="00870E04">
        <w:rPr>
          <w:rFonts w:ascii="Cambria" w:hAnsi="Cambria" w:cs="Lucida Grande"/>
          <w:color w:val="000000"/>
        </w:rPr>
        <w:t xml:space="preserve">for 48 hours and thereafter plated to estimate population size and number of streptomycin/nalidixic acid resistant mutants. </w:t>
      </w:r>
      <w:r w:rsidR="003B278D">
        <w:rPr>
          <w:rFonts w:ascii="Cambria" w:hAnsi="Cambria" w:cs="Lucida Grande"/>
          <w:color w:val="000000"/>
        </w:rPr>
        <w:t xml:space="preserve">The final concentration of nalidixic acid and streptomycin employed in these fluctuation tests was 30 </w:t>
      </w:r>
      <w:proofErr w:type="spellStart"/>
      <w:r w:rsidR="003B278D">
        <w:rPr>
          <w:rFonts w:ascii="Cambria" w:hAnsi="Cambria" w:cs="Lucida Grande"/>
          <w:color w:val="000000"/>
        </w:rPr>
        <w:t>ug</w:t>
      </w:r>
      <w:proofErr w:type="spellEnd"/>
      <w:r w:rsidR="003B278D">
        <w:rPr>
          <w:rFonts w:ascii="Cambria" w:hAnsi="Cambria" w:cs="Lucida Grande"/>
          <w:color w:val="000000"/>
        </w:rPr>
        <w:t xml:space="preserve">/ml and 100 </w:t>
      </w:r>
      <w:proofErr w:type="spellStart"/>
      <w:r w:rsidR="003B278D">
        <w:rPr>
          <w:rFonts w:ascii="Cambria" w:hAnsi="Cambria" w:cs="Lucida Grande"/>
          <w:color w:val="000000"/>
        </w:rPr>
        <w:t>ug</w:t>
      </w:r>
      <w:proofErr w:type="spellEnd"/>
      <w:r w:rsidR="003B278D">
        <w:rPr>
          <w:rFonts w:ascii="Cambria" w:hAnsi="Cambria" w:cs="Lucida Grande"/>
          <w:color w:val="000000"/>
        </w:rPr>
        <w:t xml:space="preserve">/ml. </w:t>
      </w:r>
      <w:r w:rsidR="00870E04">
        <w:rPr>
          <w:color w:val="000000" w:themeColor="text1"/>
        </w:rPr>
        <w:t xml:space="preserve">A fixed fraction of each culture was plated for enumeration of mutant individuals. </w:t>
      </w:r>
      <w:r w:rsidRPr="1CE99639">
        <w:rPr>
          <w:color w:val="000000" w:themeColor="text1"/>
        </w:rPr>
        <w:t>Maximum likelihood mutation rates and 95% confidence intervals from these assays were calculated with software kindly</w:t>
      </w:r>
      <w:r>
        <w:rPr>
          <w:color w:val="000000" w:themeColor="text1"/>
        </w:rPr>
        <w:t xml:space="preserve"> provided by Dr. Philip </w:t>
      </w:r>
      <w:proofErr w:type="spellStart"/>
      <w:r>
        <w:rPr>
          <w:color w:val="000000" w:themeColor="text1"/>
        </w:rPr>
        <w:t>Gerrish</w:t>
      </w:r>
      <w:proofErr w:type="spellEnd"/>
      <w:r w:rsidR="00321FAA">
        <w:rPr>
          <w:color w:val="000000" w:themeColor="text1"/>
        </w:rPr>
        <w:t xml:space="preserve"> </w:t>
      </w:r>
      <w:r w:rsidR="00321FAA">
        <w:rPr>
          <w:color w:val="000000" w:themeColor="text1"/>
        </w:rPr>
        <w:fldChar w:fldCharType="begin" w:fldLock="1"/>
      </w:r>
      <w:r w:rsidR="00321FAA">
        <w:rPr>
          <w:color w:val="000000" w:themeColor="text1"/>
        </w:rPr>
        <w:instrText>ADDIN CSL_CITATION { "citationItems" : [ { "id" : "ITEM-1", "itemData" : { "DOI" : "10.1534/genetics.108.091777", "ISBN" : "0016-6731 (Print)", "ISSN" : "00166731", "PMID" : "18832356", "abstract" : "In previous work by M. E. Jones and colleagues, it was shown that mutation rate estimates can be improved and corresponding confidence intervals tightened by following a very easy modification of the standard fluctuation assay: cultures are grown to a larger-than-usual final density, and mutants are screened for in only a fraction of the culture. Surprisingly, this very promising development has received limited attention, perhaps because there has been no efficient way to generate the predicted mutant distribution to obtain non-moment-based estimates of the mutation rate. Here, the improved fluctuation assay discovered by Jones and colleagues is made amenable to quantile-based, likelihood, and other Bayesian methods by a simple recursion formula that efficiently generates the entire mutant distribution after growth and dilution. This formula makes possible a further protocol improvement: grow cultures as large as is experimentally possible and severely dilute before plating to obtain easily countable numbers of mutants. A preliminary look at likelihood surfaces suggests that this easy protocol adjustment gives markedly improved mutation rate estimates and confidence intervals.", "author" : [ { "dropping-particle" : "", "family" : "Gerrish", "given" : "Philip", "non-dropping-particle" : "", "parse-names" : false, "suffix" : "" } ], "container-title" : "Genetics", "id" : "ITEM-1", "issue" : "3", "issued" : { "date-parts" : [ [ "2008" ] ] }, "page" : "1773-1778", "title" : "A simple formula for obtaining markedly improved mutation rate estimates", "type" : "article-journal", "volume" : "180" }, "uris" : [ "http://www.mendeley.com/documents/?uuid=6cf23c2d-5676-4303-833d-13edb2ff60ee" ] } ], "mendeley" : { "formattedCitation" : "(2)", "plainTextFormattedCitation" : "(2)", "previouslyFormattedCitation" : "(2)" }, "properties" : { "noteIndex" : 0 }, "schema" : "https://github.com/citation-style-language/schema/raw/master/csl-citation.json" }</w:instrText>
      </w:r>
      <w:r w:rsidR="00321FAA">
        <w:rPr>
          <w:color w:val="000000" w:themeColor="text1"/>
        </w:rPr>
        <w:fldChar w:fldCharType="separate"/>
      </w:r>
      <w:r w:rsidR="00321FAA" w:rsidRPr="00321FAA">
        <w:rPr>
          <w:noProof/>
          <w:color w:val="000000" w:themeColor="text1"/>
        </w:rPr>
        <w:t>(2)</w:t>
      </w:r>
      <w:r w:rsidR="00321FAA">
        <w:rPr>
          <w:color w:val="000000" w:themeColor="text1"/>
        </w:rPr>
        <w:fldChar w:fldCharType="end"/>
      </w:r>
      <w:r w:rsidR="00186556">
        <w:rPr>
          <w:color w:val="000000" w:themeColor="text1"/>
        </w:rPr>
        <w:t>.</w:t>
      </w:r>
    </w:p>
    <w:p w14:paraId="2D850F55" w14:textId="77777777" w:rsidR="000819CC" w:rsidRDefault="000819CC" w:rsidP="006652BF">
      <w:pPr>
        <w:rPr>
          <w:color w:val="000000" w:themeColor="text1"/>
        </w:rPr>
      </w:pPr>
    </w:p>
    <w:p w14:paraId="64A9F735" w14:textId="5ADADB59" w:rsidR="000819CC" w:rsidRPr="005B4A6A" w:rsidRDefault="000819CC" w:rsidP="006652BF">
      <w:pPr>
        <w:rPr>
          <w:b/>
          <w:color w:val="000000" w:themeColor="text1"/>
        </w:rPr>
      </w:pPr>
      <w:r w:rsidRPr="005B4A6A">
        <w:rPr>
          <w:b/>
          <w:color w:val="000000" w:themeColor="text1"/>
        </w:rPr>
        <w:t>Methods: Strain Information</w:t>
      </w:r>
    </w:p>
    <w:p w14:paraId="25B3073E" w14:textId="14859370" w:rsidR="009E3AB8" w:rsidRDefault="000819CC" w:rsidP="006652BF">
      <w:pPr>
        <w:rPr>
          <w:color w:val="000000" w:themeColor="text1"/>
        </w:rPr>
      </w:pPr>
      <w:r>
        <w:rPr>
          <w:color w:val="000000" w:themeColor="text1"/>
        </w:rPr>
        <w:t xml:space="preserve">The ancestral strain utilized for this study was constructed for and employed by a previous study </w:t>
      </w:r>
      <w:r w:rsidR="00321FAA">
        <w:rPr>
          <w:color w:val="000000" w:themeColor="text1"/>
        </w:rPr>
        <w:fldChar w:fldCharType="begin" w:fldLock="1"/>
      </w:r>
      <w:r w:rsidR="00321FAA">
        <w:rPr>
          <w:color w:val="000000" w:themeColor="text1"/>
        </w:rPr>
        <w:instrText>ADDIN CSL_CITATION { "citationItems" : [ { "id" : "ITEM-1", "itemData" : { "DOI" : "10.1098/rsbl.2010.1036", "ISBN" : "1744-957X (Electronic)\\n1744-9561 (Linking)", "ISSN" : "1744-9561", "PMID" : "21227974", "abstract" : "Experimental studies have shown that a mutator allele can readily hitchhike to fixation with beneficial mutations in an asexual population having a low, wild-type mutation rate. Here, we show that a genotype bearing two mutator alleles can supplant a population already fixed for one mutator allele. Our results provide experimental support for recent theory predicting that mutator alleles will tend to accumulate in asexual populations by hitchhiking with beneficial mutations, causing an ever-higher genomic mutation rate.", "author" : [ { "dropping-particle" : "", "family" : "Gentile", "given" : "Christopher F", "non-dropping-particle" : "", "parse-names" : false, "suffix" : "" }, { "dropping-particle" : "", "family" : "Yu", "given" : "Szi-Chieh", "non-dropping-particle" : "", "parse-names" : false, "suffix" : "" }, { "dropping-particle" : "", "family" : "Serrano", "given" : "Sebastian Akle", "non-dropping-particle" : "", "parse-names" : false, "suffix" : "" }, { "dropping-particle" : "", "family" : "Gerrish", "given" : "Philip J", "non-dropping-particle" : "", "parse-names" : false, "suffix" : "" }, { "dropping-particle" : "", "family" : "Sniegowski", "given" : "Paul D", "non-dropping-particle" : "", "parse-names" : false, "suffix" : "" } ], "container-title" : "Biology letters", "id" : "ITEM-1", "issue" : "3", "issued" : { "date-parts" : [ [ "2011" ] ] }, "page" : "422-424", "title" : "Competition between high- and higher-mutating strains of Escherichia coli.", "type" : "article-journal", "volume" : "7" }, "uris" : [ "http://www.mendeley.com/documents/?uuid=84cc92b2-b2a7-40f9-8cee-74470891e1aa" ] } ], "mendeley" : { "formattedCitation" : "(3)", "plainTextFormattedCitation" : "(3)", "previouslyFormattedCitation" : "(3)" }, "properties" : { "noteIndex" : 0 }, "schema" : "https://github.com/citation-style-language/schema/raw/master/csl-citation.json" }</w:instrText>
      </w:r>
      <w:r w:rsidR="00321FAA">
        <w:rPr>
          <w:color w:val="000000" w:themeColor="text1"/>
        </w:rPr>
        <w:fldChar w:fldCharType="separate"/>
      </w:r>
      <w:r w:rsidR="00321FAA" w:rsidRPr="00321FAA">
        <w:rPr>
          <w:noProof/>
          <w:color w:val="000000" w:themeColor="text1"/>
        </w:rPr>
        <w:t>(3)</w:t>
      </w:r>
      <w:r w:rsidR="00321FAA">
        <w:rPr>
          <w:color w:val="000000" w:themeColor="text1"/>
        </w:rPr>
        <w:fldChar w:fldCharType="end"/>
      </w:r>
      <w:r>
        <w:rPr>
          <w:color w:val="000000" w:themeColor="text1"/>
        </w:rPr>
        <w:t xml:space="preserve"> that investigated the fates of super-mutators in the short term. The ancestral strain carries defective alleles of both the mismatch repair gene </w:t>
      </w:r>
      <w:proofErr w:type="spellStart"/>
      <w:r>
        <w:rPr>
          <w:color w:val="000000" w:themeColor="text1"/>
        </w:rPr>
        <w:t>mutL</w:t>
      </w:r>
      <w:proofErr w:type="spellEnd"/>
      <w:r>
        <w:rPr>
          <w:color w:val="000000" w:themeColor="text1"/>
        </w:rPr>
        <w:t xml:space="preserve"> and the DNA proofreading subunit of the polymerase III, </w:t>
      </w:r>
      <w:proofErr w:type="spellStart"/>
      <w:r>
        <w:rPr>
          <w:color w:val="000000" w:themeColor="text1"/>
        </w:rPr>
        <w:t>dnaQ</w:t>
      </w:r>
      <w:proofErr w:type="spellEnd"/>
      <w:r>
        <w:rPr>
          <w:color w:val="000000" w:themeColor="text1"/>
        </w:rPr>
        <w:t xml:space="preserve">. The mutations in </w:t>
      </w:r>
      <w:r>
        <w:rPr>
          <w:color w:val="000000" w:themeColor="text1"/>
        </w:rPr>
        <w:lastRenderedPageBreak/>
        <w:t xml:space="preserve">these alleles are listed in </w:t>
      </w:r>
      <w:r w:rsidR="00D6600A">
        <w:rPr>
          <w:color w:val="000000" w:themeColor="text1"/>
        </w:rPr>
        <w:t>Table S</w:t>
      </w:r>
      <w:r w:rsidR="00FC3809">
        <w:rPr>
          <w:color w:val="000000" w:themeColor="text1"/>
        </w:rPr>
        <w:t>6</w:t>
      </w:r>
      <w:r>
        <w:rPr>
          <w:color w:val="000000" w:themeColor="text1"/>
        </w:rPr>
        <w:t xml:space="preserve">. Even though the </w:t>
      </w:r>
      <w:proofErr w:type="spellStart"/>
      <w:r w:rsidRPr="00FC3809">
        <w:rPr>
          <w:i/>
          <w:color w:val="000000" w:themeColor="text1"/>
        </w:rPr>
        <w:t>dnaQ</w:t>
      </w:r>
      <w:proofErr w:type="spellEnd"/>
      <w:r>
        <w:rPr>
          <w:color w:val="000000" w:themeColor="text1"/>
        </w:rPr>
        <w:t xml:space="preserve"> allele carries five different point mutations, only one of these mutations is non-synonymous</w:t>
      </w:r>
      <w:proofErr w:type="gramStart"/>
      <w:r w:rsidR="00D6600A">
        <w:rPr>
          <w:color w:val="000000" w:themeColor="text1"/>
        </w:rPr>
        <w:t>.</w:t>
      </w:r>
      <w:r>
        <w:rPr>
          <w:color w:val="000000" w:themeColor="text1"/>
        </w:rPr>
        <w:t>.</w:t>
      </w:r>
      <w:proofErr w:type="gramEnd"/>
      <w:r>
        <w:rPr>
          <w:color w:val="000000" w:themeColor="text1"/>
        </w:rPr>
        <w:t xml:space="preserve"> Ongoing </w:t>
      </w:r>
      <w:r w:rsidR="00D6600A">
        <w:rPr>
          <w:color w:val="000000" w:themeColor="text1"/>
        </w:rPr>
        <w:t xml:space="preserve">sequencing </w:t>
      </w:r>
      <w:r>
        <w:rPr>
          <w:color w:val="000000" w:themeColor="text1"/>
        </w:rPr>
        <w:t xml:space="preserve">work in our </w:t>
      </w:r>
      <w:r w:rsidR="00D6600A">
        <w:rPr>
          <w:color w:val="000000" w:themeColor="text1"/>
        </w:rPr>
        <w:t xml:space="preserve">laboratory </w:t>
      </w:r>
      <w:r>
        <w:rPr>
          <w:color w:val="000000" w:themeColor="text1"/>
        </w:rPr>
        <w:t xml:space="preserve">has found that all </w:t>
      </w:r>
      <w:r w:rsidR="00D6600A">
        <w:rPr>
          <w:color w:val="000000" w:themeColor="text1"/>
        </w:rPr>
        <w:t xml:space="preserve">of </w:t>
      </w:r>
      <w:r>
        <w:rPr>
          <w:color w:val="000000" w:themeColor="text1"/>
        </w:rPr>
        <w:t xml:space="preserve">the original point mutations </w:t>
      </w:r>
      <w:r w:rsidR="00D17454">
        <w:rPr>
          <w:color w:val="000000" w:themeColor="text1"/>
        </w:rPr>
        <w:t xml:space="preserve">in the mutator alleles </w:t>
      </w:r>
      <w:r>
        <w:rPr>
          <w:color w:val="000000" w:themeColor="text1"/>
        </w:rPr>
        <w:t xml:space="preserve">are present in the </w:t>
      </w:r>
      <w:r w:rsidR="00D17454">
        <w:rPr>
          <w:color w:val="000000" w:themeColor="text1"/>
        </w:rPr>
        <w:t xml:space="preserve">evolved lines. </w:t>
      </w:r>
      <w:r w:rsidR="00D6600A">
        <w:rPr>
          <w:color w:val="000000" w:themeColor="text1"/>
        </w:rPr>
        <w:t xml:space="preserve">Thus, we can rule out reversion of the original </w:t>
      </w:r>
      <w:proofErr w:type="spellStart"/>
      <w:r w:rsidR="00D6600A" w:rsidRPr="00FC3809">
        <w:rPr>
          <w:i/>
          <w:color w:val="000000" w:themeColor="text1"/>
        </w:rPr>
        <w:t>mutL</w:t>
      </w:r>
      <w:proofErr w:type="spellEnd"/>
      <w:r w:rsidR="00D6600A">
        <w:rPr>
          <w:color w:val="000000" w:themeColor="text1"/>
        </w:rPr>
        <w:t xml:space="preserve"> and </w:t>
      </w:r>
      <w:proofErr w:type="spellStart"/>
      <w:r w:rsidR="00D6600A" w:rsidRPr="00FC3809">
        <w:rPr>
          <w:i/>
          <w:color w:val="000000" w:themeColor="text1"/>
        </w:rPr>
        <w:t>dnaQ</w:t>
      </w:r>
      <w:proofErr w:type="spellEnd"/>
      <w:r w:rsidR="00D6600A">
        <w:rPr>
          <w:color w:val="000000" w:themeColor="text1"/>
        </w:rPr>
        <w:t xml:space="preserve"> mutations as an explanation for the evolution of reduced mutation rates in most surviving populations.</w:t>
      </w:r>
    </w:p>
    <w:p w14:paraId="747A5885" w14:textId="795E72F6" w:rsidR="009E3AB8" w:rsidRDefault="009E3AB8" w:rsidP="006652BF">
      <w:pPr>
        <w:rPr>
          <w:color w:val="000000" w:themeColor="text1"/>
        </w:rPr>
      </w:pPr>
      <w:r>
        <w:rPr>
          <w:color w:val="000000" w:themeColor="text1"/>
        </w:rPr>
        <w:br w:type="page"/>
      </w:r>
    </w:p>
    <w:p w14:paraId="2C0F9087" w14:textId="5D14E025" w:rsidR="009E3AB8" w:rsidRPr="009E3AB8" w:rsidRDefault="009E3AB8" w:rsidP="006652BF">
      <w:pPr>
        <w:rPr>
          <w:color w:val="000000" w:themeColor="text1"/>
        </w:rPr>
      </w:pPr>
    </w:p>
    <w:p w14:paraId="1FEB9E2B" w14:textId="77777777" w:rsidR="006652BF" w:rsidRDefault="006652BF" w:rsidP="006652BF">
      <w:pPr>
        <w:rPr>
          <w:b/>
          <w:color w:val="000000" w:themeColor="text1"/>
        </w:rPr>
      </w:pPr>
      <w:r w:rsidRPr="00B607CD">
        <w:rPr>
          <w:b/>
          <w:color w:val="000000" w:themeColor="text1"/>
        </w:rPr>
        <w:t xml:space="preserve">SUPPLEMENTARY FIGURES: </w:t>
      </w:r>
    </w:p>
    <w:p w14:paraId="2D1F991C" w14:textId="77777777" w:rsidR="006652BF" w:rsidRDefault="006652BF" w:rsidP="006652BF">
      <w:pPr>
        <w:rPr>
          <w:color w:val="0000FF"/>
        </w:rPr>
      </w:pPr>
    </w:p>
    <w:p w14:paraId="30419792" w14:textId="4DC818A2" w:rsidR="006652BF" w:rsidRPr="00B607CD" w:rsidRDefault="006652BF" w:rsidP="006652BF">
      <w:pPr>
        <w:rPr>
          <w:b/>
          <w:color w:val="000000" w:themeColor="text1"/>
        </w:rPr>
      </w:pPr>
      <w:r>
        <w:rPr>
          <w:b/>
        </w:rPr>
        <w:t>S1</w:t>
      </w:r>
      <w:r w:rsidRPr="00B607CD">
        <w:rPr>
          <w:b/>
        </w:rPr>
        <w:t xml:space="preserve">. </w:t>
      </w:r>
      <w:r w:rsidRPr="00870E04">
        <w:rPr>
          <w:rFonts w:ascii="Cambria" w:hAnsi="Cambria"/>
          <w:b/>
          <w:color w:val="000000" w:themeColor="text1"/>
        </w:rPr>
        <w:t>Fitnesses measured in the evolving MA populations. Maximum growth rates and final absorbance values (600 nm) of LB (A-B) and minimal glucose (C-D) MA populations propagated for 24 h on liquid media as described in the</w:t>
      </w:r>
      <w:r w:rsidR="00870E04">
        <w:rPr>
          <w:rFonts w:ascii="Cambria" w:hAnsi="Cambria"/>
          <w:b/>
          <w:color w:val="000000" w:themeColor="text1"/>
        </w:rPr>
        <w:t xml:space="preserve"> preceding section on experimental methods</w:t>
      </w:r>
      <w:r w:rsidRPr="00870E04">
        <w:rPr>
          <w:rFonts w:ascii="Cambria" w:hAnsi="Cambria"/>
          <w:b/>
          <w:color w:val="000000" w:themeColor="text1"/>
        </w:rPr>
        <w:t xml:space="preserve">. The decline in maximum growth in LB </w:t>
      </w:r>
      <w:r w:rsidRPr="00870E04">
        <w:rPr>
          <w:rFonts w:ascii="Cambria" w:eastAsia="Times New Roman" w:hAnsi="Cambria" w:cs="Times New Roman"/>
          <w:b/>
          <w:color w:val="000000"/>
        </w:rPr>
        <w:t xml:space="preserve">and MG and final density in LB and MG </w:t>
      </w:r>
      <w:r w:rsidRPr="00870E04">
        <w:rPr>
          <w:rFonts w:ascii="Cambria" w:hAnsi="Cambria"/>
          <w:b/>
          <w:color w:val="000000" w:themeColor="text1"/>
        </w:rPr>
        <w:t>are statistically significant (</w:t>
      </w:r>
      <w:r w:rsidR="00524289">
        <w:rPr>
          <w:rFonts w:ascii="Cambria" w:hAnsi="Cambria"/>
          <w:b/>
          <w:color w:val="000000" w:themeColor="text1"/>
        </w:rPr>
        <w:t xml:space="preserve">LB final density </w:t>
      </w:r>
      <w:r w:rsidR="00524289">
        <w:rPr>
          <w:rFonts w:ascii="Cambria" w:hAnsi="Cambria"/>
          <w:b/>
          <w:i/>
          <w:color w:val="000000" w:themeColor="text1"/>
        </w:rPr>
        <w:t>p</w:t>
      </w:r>
      <w:r w:rsidR="00524289" w:rsidRPr="00524289">
        <w:rPr>
          <w:rFonts w:ascii="Cambria" w:hAnsi="Cambria"/>
          <w:b/>
          <w:color w:val="000000" w:themeColor="text1"/>
        </w:rPr>
        <w:t>-</w:t>
      </w:r>
      <w:r w:rsidR="00524289">
        <w:rPr>
          <w:rFonts w:ascii="Cambria" w:hAnsi="Cambria"/>
          <w:b/>
          <w:color w:val="000000" w:themeColor="text1"/>
        </w:rPr>
        <w:t>value=1.098X10</w:t>
      </w:r>
      <w:r w:rsidR="00524289">
        <w:rPr>
          <w:rFonts w:ascii="Cambria" w:hAnsi="Cambria"/>
          <w:b/>
          <w:color w:val="000000" w:themeColor="text1"/>
          <w:vertAlign w:val="superscript"/>
        </w:rPr>
        <w:t>-10</w:t>
      </w:r>
      <w:r w:rsidR="00524289">
        <w:rPr>
          <w:rFonts w:ascii="Cambria" w:hAnsi="Cambria"/>
          <w:b/>
          <w:color w:val="000000" w:themeColor="text1"/>
        </w:rPr>
        <w:t xml:space="preserve">, LB maximum growth rate </w:t>
      </w:r>
      <w:r w:rsidR="00524289">
        <w:rPr>
          <w:rFonts w:ascii="Cambria" w:hAnsi="Cambria"/>
          <w:b/>
          <w:i/>
          <w:color w:val="000000" w:themeColor="text1"/>
        </w:rPr>
        <w:t>p</w:t>
      </w:r>
      <w:r w:rsidR="00524289">
        <w:rPr>
          <w:rFonts w:ascii="Cambria" w:hAnsi="Cambria"/>
          <w:b/>
          <w:color w:val="000000" w:themeColor="text1"/>
        </w:rPr>
        <w:t xml:space="preserve">-value=0.00036, MG final density </w:t>
      </w:r>
      <w:r w:rsidR="00524289">
        <w:rPr>
          <w:rFonts w:ascii="Cambria" w:hAnsi="Cambria"/>
          <w:b/>
          <w:i/>
          <w:color w:val="000000" w:themeColor="text1"/>
        </w:rPr>
        <w:t>p</w:t>
      </w:r>
      <w:r w:rsidR="00524289" w:rsidRPr="00524289">
        <w:rPr>
          <w:rFonts w:ascii="Cambria" w:hAnsi="Cambria"/>
          <w:b/>
          <w:color w:val="000000" w:themeColor="text1"/>
        </w:rPr>
        <w:t>-</w:t>
      </w:r>
      <w:r w:rsidR="00524289">
        <w:rPr>
          <w:rFonts w:ascii="Cambria" w:hAnsi="Cambria"/>
          <w:b/>
          <w:color w:val="000000" w:themeColor="text1"/>
        </w:rPr>
        <w:t xml:space="preserve">value = 0.0029, MG maximum growth rate </w:t>
      </w:r>
      <w:r w:rsidR="00524289">
        <w:rPr>
          <w:rFonts w:ascii="Cambria" w:hAnsi="Cambria"/>
          <w:b/>
          <w:i/>
          <w:color w:val="000000" w:themeColor="text1"/>
        </w:rPr>
        <w:t>p</w:t>
      </w:r>
      <w:r w:rsidR="00524289" w:rsidRPr="00524289">
        <w:rPr>
          <w:rFonts w:ascii="Cambria" w:hAnsi="Cambria"/>
          <w:b/>
          <w:color w:val="000000" w:themeColor="text1"/>
        </w:rPr>
        <w:t>-value=</w:t>
      </w:r>
      <w:r w:rsidR="00524289">
        <w:rPr>
          <w:rFonts w:ascii="Cambria" w:hAnsi="Cambria"/>
          <w:b/>
          <w:color w:val="000000" w:themeColor="text1"/>
        </w:rPr>
        <w:t>5.480X10</w:t>
      </w:r>
      <w:r w:rsidR="00524289">
        <w:rPr>
          <w:rFonts w:ascii="Cambria" w:hAnsi="Cambria"/>
          <w:b/>
          <w:color w:val="000000" w:themeColor="text1"/>
          <w:vertAlign w:val="superscript"/>
        </w:rPr>
        <w:t>-5</w:t>
      </w:r>
      <w:r w:rsidR="00524289">
        <w:rPr>
          <w:rFonts w:ascii="Cambria" w:hAnsi="Cambria"/>
          <w:b/>
          <w:color w:val="000000" w:themeColor="text1"/>
        </w:rPr>
        <w:t>)</w:t>
      </w:r>
      <w:r w:rsidRPr="00524289">
        <w:rPr>
          <w:rFonts w:ascii="Cambria" w:hAnsi="Cambria"/>
          <w:b/>
          <w:color w:val="000000" w:themeColor="text1"/>
        </w:rPr>
        <w:t>.</w:t>
      </w:r>
    </w:p>
    <w:p w14:paraId="5F60920E" w14:textId="77777777" w:rsidR="006652BF" w:rsidRDefault="006652BF" w:rsidP="006652BF">
      <w:pPr>
        <w:rPr>
          <w:color w:val="000000" w:themeColor="text1"/>
        </w:rPr>
      </w:pPr>
    </w:p>
    <w:p w14:paraId="47293F1C" w14:textId="77777777" w:rsidR="006652BF" w:rsidRDefault="006652BF" w:rsidP="006652BF">
      <w:pPr>
        <w:rPr>
          <w:color w:val="000000" w:themeColor="text1"/>
        </w:rPr>
      </w:pPr>
    </w:p>
    <w:p w14:paraId="69CF04B7" w14:textId="69C54A6D" w:rsidR="009E3AB8" w:rsidRDefault="006652BF" w:rsidP="006652BF">
      <w:pPr>
        <w:rPr>
          <w:color w:val="0000FF"/>
        </w:rPr>
      </w:pPr>
      <w:r>
        <w:rPr>
          <w:noProof/>
          <w:color w:val="000000" w:themeColor="text1"/>
        </w:rPr>
        <w:drawing>
          <wp:inline distT="0" distB="0" distL="0" distR="0" wp14:anchorId="0D2B8A9F" wp14:editId="5A719F92">
            <wp:extent cx="5486400" cy="54143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_FITNESS.jpg"/>
                    <pic:cNvPicPr/>
                  </pic:nvPicPr>
                  <pic:blipFill>
                    <a:blip r:embed="rId7">
                      <a:extLst>
                        <a:ext uri="{28A0092B-C50C-407E-A947-70E740481C1C}">
                          <a14:useLocalDpi xmlns:a14="http://schemas.microsoft.com/office/drawing/2010/main" val="0"/>
                        </a:ext>
                      </a:extLst>
                    </a:blip>
                    <a:stretch>
                      <a:fillRect/>
                    </a:stretch>
                  </pic:blipFill>
                  <pic:spPr>
                    <a:xfrm>
                      <a:off x="0" y="0"/>
                      <a:ext cx="5486400" cy="5414334"/>
                    </a:xfrm>
                    <a:prstGeom prst="rect">
                      <a:avLst/>
                    </a:prstGeom>
                  </pic:spPr>
                </pic:pic>
              </a:graphicData>
            </a:graphic>
          </wp:inline>
        </w:drawing>
      </w:r>
    </w:p>
    <w:p w14:paraId="4133580A" w14:textId="3753F828" w:rsidR="004B0C88" w:rsidRPr="009E3AB8" w:rsidRDefault="009E3AB8" w:rsidP="006652BF">
      <w:pPr>
        <w:rPr>
          <w:color w:val="0000FF"/>
        </w:rPr>
      </w:pPr>
      <w:r>
        <w:rPr>
          <w:color w:val="0000FF"/>
        </w:rPr>
        <w:br w:type="page"/>
      </w:r>
    </w:p>
    <w:p w14:paraId="7360B324" w14:textId="376D452C" w:rsidR="000E75EA" w:rsidRDefault="00FA13F6" w:rsidP="006652BF">
      <w:pPr>
        <w:rPr>
          <w:b/>
          <w:bCs/>
          <w:color w:val="000000" w:themeColor="text1"/>
        </w:rPr>
      </w:pPr>
      <w:r>
        <w:rPr>
          <w:b/>
          <w:bCs/>
          <w:color w:val="000000" w:themeColor="text1"/>
        </w:rPr>
        <w:t xml:space="preserve">S2. </w:t>
      </w:r>
      <w:proofErr w:type="gramStart"/>
      <w:r>
        <w:rPr>
          <w:b/>
          <w:bCs/>
          <w:color w:val="000000" w:themeColor="text1"/>
        </w:rPr>
        <w:t>Among line variance over time for all MG and LB populations, using both maximum growth rate and final density as proxies for fitness.</w:t>
      </w:r>
      <w:proofErr w:type="gramEnd"/>
      <w:r>
        <w:rPr>
          <w:b/>
          <w:bCs/>
          <w:color w:val="000000" w:themeColor="text1"/>
        </w:rPr>
        <w:t xml:space="preserve"> The regression of variance with time is not significant</w:t>
      </w:r>
      <w:r w:rsidR="00937ED2">
        <w:rPr>
          <w:b/>
          <w:bCs/>
          <w:color w:val="000000" w:themeColor="text1"/>
        </w:rPr>
        <w:t xml:space="preserve"> in all cases</w:t>
      </w:r>
      <w:r w:rsidR="005B4A6A">
        <w:rPr>
          <w:b/>
          <w:bCs/>
          <w:color w:val="000000" w:themeColor="text1"/>
        </w:rPr>
        <w:t xml:space="preserve"> </w:t>
      </w:r>
      <w:r w:rsidR="005B4A6A" w:rsidRPr="00214957">
        <w:rPr>
          <w:b/>
          <w:bCs/>
          <w:i/>
          <w:color w:val="000000" w:themeColor="text1"/>
        </w:rPr>
        <w:t>(p</w:t>
      </w:r>
      <w:r w:rsidR="005B4A6A">
        <w:rPr>
          <w:b/>
          <w:bCs/>
          <w:color w:val="000000" w:themeColor="text1"/>
        </w:rPr>
        <w:t xml:space="preserve"> &gt; 0.05</w:t>
      </w:r>
      <w:r w:rsidR="00FC3809">
        <w:rPr>
          <w:b/>
          <w:bCs/>
          <w:color w:val="000000" w:themeColor="text1"/>
        </w:rPr>
        <w:t xml:space="preserve">, see table S10 </w:t>
      </w:r>
      <w:r w:rsidR="000E75EA">
        <w:rPr>
          <w:b/>
          <w:bCs/>
          <w:color w:val="000000" w:themeColor="text1"/>
        </w:rPr>
        <w:t xml:space="preserve">for detailed </w:t>
      </w:r>
      <w:r w:rsidR="000E75EA">
        <w:rPr>
          <w:b/>
          <w:bCs/>
          <w:i/>
          <w:color w:val="000000" w:themeColor="text1"/>
        </w:rPr>
        <w:t>p</w:t>
      </w:r>
      <w:r w:rsidR="000E75EA" w:rsidRPr="00C3473B">
        <w:rPr>
          <w:b/>
          <w:bCs/>
          <w:color w:val="000000" w:themeColor="text1"/>
        </w:rPr>
        <w:t>-</w:t>
      </w:r>
      <w:r w:rsidR="000E75EA">
        <w:rPr>
          <w:b/>
          <w:bCs/>
          <w:color w:val="000000" w:themeColor="text1"/>
        </w:rPr>
        <w:t>values</w:t>
      </w:r>
      <w:r w:rsidR="005B4A6A" w:rsidRPr="000E75EA">
        <w:rPr>
          <w:b/>
          <w:bCs/>
          <w:color w:val="000000" w:themeColor="text1"/>
        </w:rPr>
        <w:t>)</w:t>
      </w:r>
      <w:r w:rsidRPr="000E75EA">
        <w:rPr>
          <w:b/>
          <w:bCs/>
          <w:color w:val="000000" w:themeColor="text1"/>
        </w:rPr>
        <w:t>.</w:t>
      </w:r>
      <w:r>
        <w:rPr>
          <w:b/>
          <w:bCs/>
          <w:color w:val="000000" w:themeColor="text1"/>
        </w:rPr>
        <w:t xml:space="preserve"> </w:t>
      </w:r>
      <w:bookmarkStart w:id="0" w:name="_GoBack"/>
      <w:bookmarkEnd w:id="0"/>
    </w:p>
    <w:p w14:paraId="36D963D9" w14:textId="25120209" w:rsidR="00D17454" w:rsidRDefault="00D17454" w:rsidP="006652BF">
      <w:pPr>
        <w:rPr>
          <w:noProof/>
        </w:rPr>
      </w:pPr>
      <w:r>
        <w:rPr>
          <w:noProof/>
        </w:rPr>
        <w:drawing>
          <wp:inline distT="0" distB="0" distL="0" distR="0" wp14:anchorId="75D3B117" wp14:editId="22DE2D77">
            <wp:extent cx="2745463" cy="1584960"/>
            <wp:effectExtent l="0" t="0" r="2349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17454">
        <w:rPr>
          <w:noProof/>
        </w:rPr>
        <w:t xml:space="preserve"> </w:t>
      </w:r>
      <w:r>
        <w:rPr>
          <w:noProof/>
        </w:rPr>
        <w:drawing>
          <wp:inline distT="0" distB="0" distL="0" distR="0" wp14:anchorId="040E283C" wp14:editId="21582B20">
            <wp:extent cx="2745105" cy="1745055"/>
            <wp:effectExtent l="0" t="0" r="23495" b="330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939B96" w14:textId="77BAC9A8" w:rsidR="00D17454" w:rsidRDefault="00D17454" w:rsidP="006652BF">
      <w:pPr>
        <w:rPr>
          <w:b/>
          <w:bCs/>
          <w:color w:val="000000" w:themeColor="text1"/>
        </w:rPr>
      </w:pPr>
      <w:r>
        <w:rPr>
          <w:noProof/>
        </w:rPr>
        <w:drawing>
          <wp:inline distT="0" distB="0" distL="0" distR="0" wp14:anchorId="36A106D2" wp14:editId="507077E7">
            <wp:extent cx="2745463" cy="1766557"/>
            <wp:effectExtent l="0" t="0" r="23495" b="374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E0CAE9" w14:textId="48F4DA1F" w:rsidR="009E3AB8" w:rsidRDefault="00D17454" w:rsidP="006652BF">
      <w:pPr>
        <w:rPr>
          <w:b/>
          <w:bCs/>
          <w:color w:val="000000" w:themeColor="text1"/>
        </w:rPr>
      </w:pPr>
      <w:r>
        <w:rPr>
          <w:noProof/>
        </w:rPr>
        <w:drawing>
          <wp:inline distT="0" distB="0" distL="0" distR="0" wp14:anchorId="7F0B77DB" wp14:editId="5DF4912B">
            <wp:extent cx="2745463" cy="1727835"/>
            <wp:effectExtent l="0" t="0" r="23495" b="247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433FD6" w14:textId="3B157406" w:rsidR="00635146" w:rsidRDefault="009E3AB8" w:rsidP="006652BF">
      <w:pPr>
        <w:rPr>
          <w:b/>
          <w:bCs/>
          <w:color w:val="000000" w:themeColor="text1"/>
        </w:rPr>
      </w:pPr>
      <w:r>
        <w:rPr>
          <w:b/>
          <w:bCs/>
          <w:color w:val="000000" w:themeColor="text1"/>
        </w:rPr>
        <w:br w:type="page"/>
      </w:r>
    </w:p>
    <w:p w14:paraId="10D80FBB" w14:textId="02456474" w:rsidR="006652BF" w:rsidRDefault="006652BF" w:rsidP="006652BF">
      <w:pPr>
        <w:rPr>
          <w:b/>
          <w:bCs/>
          <w:color w:val="000000" w:themeColor="text1"/>
        </w:rPr>
      </w:pPr>
      <w:r>
        <w:rPr>
          <w:b/>
          <w:bCs/>
          <w:color w:val="000000" w:themeColor="text1"/>
        </w:rPr>
        <w:t>S</w:t>
      </w:r>
      <w:r w:rsidR="00FA13F6">
        <w:rPr>
          <w:b/>
          <w:bCs/>
          <w:color w:val="000000" w:themeColor="text1"/>
        </w:rPr>
        <w:t>3.</w:t>
      </w:r>
      <w:r>
        <w:rPr>
          <w:b/>
          <w:bCs/>
          <w:color w:val="000000" w:themeColor="text1"/>
        </w:rPr>
        <w:t xml:space="preserve"> Comparison of two independent fluctuation assays carried out on all the LB and MG populations to estimate the nalidixic acid mutation rate. In both the LB and MG, the estimates obtained from the two independent tests are significantly correlated (</w:t>
      </w:r>
      <w:r w:rsidRPr="006834D1">
        <w:rPr>
          <w:b/>
          <w:bCs/>
          <w:i/>
          <w:color w:val="000000" w:themeColor="text1"/>
        </w:rPr>
        <w:t>p</w:t>
      </w:r>
      <w:r>
        <w:rPr>
          <w:b/>
          <w:bCs/>
          <w:color w:val="000000" w:themeColor="text1"/>
        </w:rPr>
        <w:t>&lt;0.05</w:t>
      </w:r>
      <w:r w:rsidR="00524289">
        <w:rPr>
          <w:b/>
          <w:bCs/>
          <w:color w:val="000000" w:themeColor="text1"/>
        </w:rPr>
        <w:t>, see table S8 for complete details</w:t>
      </w:r>
      <w:r>
        <w:rPr>
          <w:b/>
          <w:bCs/>
          <w:color w:val="000000" w:themeColor="text1"/>
        </w:rPr>
        <w:t>).</w:t>
      </w:r>
    </w:p>
    <w:p w14:paraId="4BE03D6B" w14:textId="77777777" w:rsidR="006652BF" w:rsidRDefault="006652BF" w:rsidP="006652BF">
      <w:pPr>
        <w:rPr>
          <w:b/>
          <w:bCs/>
          <w:color w:val="000000" w:themeColor="text1"/>
        </w:rPr>
      </w:pPr>
    </w:p>
    <w:p w14:paraId="67763FAD" w14:textId="01BA05AC" w:rsidR="006652BF" w:rsidRDefault="006652BF" w:rsidP="006652BF">
      <w:pPr>
        <w:rPr>
          <w:b/>
          <w:bCs/>
          <w:color w:val="000000" w:themeColor="text1"/>
        </w:rPr>
      </w:pPr>
      <w:r>
        <w:rPr>
          <w:noProof/>
        </w:rPr>
        <w:drawing>
          <wp:inline distT="0" distB="0" distL="0" distR="0" wp14:anchorId="19CCB78D" wp14:editId="5DAA4B47">
            <wp:extent cx="5486400" cy="2994025"/>
            <wp:effectExtent l="0" t="0" r="25400" b="285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75C82F" w14:textId="77777777" w:rsidR="006652BF" w:rsidRDefault="006652BF" w:rsidP="006652BF">
      <w:pPr>
        <w:rPr>
          <w:b/>
          <w:bCs/>
          <w:color w:val="000000" w:themeColor="text1"/>
        </w:rPr>
      </w:pPr>
      <w:r>
        <w:rPr>
          <w:noProof/>
        </w:rPr>
        <w:drawing>
          <wp:inline distT="0" distB="0" distL="0" distR="0" wp14:anchorId="6916BF54" wp14:editId="55F35D50">
            <wp:extent cx="5374363" cy="3056676"/>
            <wp:effectExtent l="0" t="0" r="36195"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5640D2" w14:textId="4701A157" w:rsidR="00524289" w:rsidRDefault="009E3AB8" w:rsidP="006652BF">
      <w:pPr>
        <w:rPr>
          <w:b/>
          <w:bCs/>
          <w:color w:val="000000" w:themeColor="text1"/>
        </w:rPr>
      </w:pPr>
      <w:r>
        <w:rPr>
          <w:b/>
          <w:bCs/>
          <w:color w:val="000000" w:themeColor="text1"/>
        </w:rPr>
        <w:br w:type="page"/>
      </w:r>
    </w:p>
    <w:p w14:paraId="391BABDD" w14:textId="1784F660" w:rsidR="006652BF" w:rsidRDefault="006652BF" w:rsidP="006652BF">
      <w:pPr>
        <w:rPr>
          <w:b/>
          <w:bCs/>
          <w:color w:val="000000" w:themeColor="text1"/>
        </w:rPr>
      </w:pPr>
      <w:r>
        <w:rPr>
          <w:b/>
          <w:bCs/>
          <w:color w:val="000000" w:themeColor="text1"/>
        </w:rPr>
        <w:t>S</w:t>
      </w:r>
      <w:r w:rsidR="00FA13F6">
        <w:rPr>
          <w:b/>
          <w:bCs/>
          <w:color w:val="000000" w:themeColor="text1"/>
        </w:rPr>
        <w:t>4.</w:t>
      </w:r>
      <w:r w:rsidR="00214957">
        <w:rPr>
          <w:b/>
          <w:bCs/>
          <w:color w:val="000000" w:themeColor="text1"/>
        </w:rPr>
        <w:t xml:space="preserve"> </w:t>
      </w:r>
      <w:r>
        <w:rPr>
          <w:b/>
          <w:bCs/>
          <w:color w:val="000000" w:themeColor="text1"/>
        </w:rPr>
        <w:t xml:space="preserve">COMPUTER SIMULATION RESULTS: </w:t>
      </w:r>
    </w:p>
    <w:p w14:paraId="759D194B" w14:textId="77777777" w:rsidR="006652BF" w:rsidRDefault="006652BF" w:rsidP="006652BF">
      <w:pPr>
        <w:rPr>
          <w:b/>
          <w:bCs/>
          <w:color w:val="000000" w:themeColor="text1"/>
        </w:rPr>
      </w:pPr>
    </w:p>
    <w:p w14:paraId="26E0548C" w14:textId="69A164F5" w:rsidR="006652BF" w:rsidRDefault="006652BF" w:rsidP="006652BF">
      <w:pPr>
        <w:rPr>
          <w:b/>
          <w:bCs/>
          <w:color w:val="000000" w:themeColor="text1"/>
        </w:rPr>
      </w:pPr>
      <w:r>
        <w:rPr>
          <w:b/>
          <w:bCs/>
          <w:color w:val="000000" w:themeColor="text1"/>
        </w:rPr>
        <w:t>The computer simulations were carried out in C++ (code available upon request). They are individual based, with exponential growth starting from 1 individual (at every bottleneck) and increasing in size to 4</w:t>
      </w:r>
      <w:r w:rsidR="00373CE3">
        <w:rPr>
          <w:b/>
          <w:bCs/>
          <w:color w:val="000000" w:themeColor="text1"/>
        </w:rPr>
        <w:t xml:space="preserve"> x 10</w:t>
      </w:r>
      <w:r>
        <w:rPr>
          <w:b/>
          <w:bCs/>
          <w:color w:val="000000" w:themeColor="text1"/>
          <w:vertAlign w:val="superscript"/>
        </w:rPr>
        <w:t>7</w:t>
      </w:r>
      <w:r>
        <w:rPr>
          <w:b/>
          <w:bCs/>
          <w:color w:val="000000" w:themeColor="text1"/>
        </w:rPr>
        <w:t xml:space="preserve"> (~23 generations) before being bottlenecked again. Both deleterious and beneficial mutations are included in the simulations, and the mutation rate to deleterious mutations is ~0.9 per genome per generation, akin to </w:t>
      </w:r>
      <w:r w:rsidR="00373CE3">
        <w:rPr>
          <w:b/>
          <w:bCs/>
          <w:color w:val="000000" w:themeColor="text1"/>
        </w:rPr>
        <w:t xml:space="preserve">that estimated for </w:t>
      </w:r>
      <w:r>
        <w:rPr>
          <w:b/>
          <w:bCs/>
          <w:color w:val="000000" w:themeColor="text1"/>
        </w:rPr>
        <w:t xml:space="preserve">the </w:t>
      </w:r>
      <w:proofErr w:type="spellStart"/>
      <w:r>
        <w:rPr>
          <w:b/>
          <w:bCs/>
          <w:color w:val="000000" w:themeColor="text1"/>
        </w:rPr>
        <w:t>hypermutable</w:t>
      </w:r>
      <w:proofErr w:type="spellEnd"/>
      <w:r>
        <w:rPr>
          <w:b/>
          <w:bCs/>
          <w:color w:val="000000" w:themeColor="text1"/>
        </w:rPr>
        <w:t xml:space="preserve"> strain we employed for the MA experiment. The computer simulations also include mutator and antimutator mutations, both of which have equal strength in terms of change in mutation rate, 100</w:t>
      </w:r>
      <w:r w:rsidR="00373CE3">
        <w:rPr>
          <w:b/>
          <w:bCs/>
          <w:color w:val="000000" w:themeColor="text1"/>
        </w:rPr>
        <w:t>-</w:t>
      </w:r>
      <w:r>
        <w:rPr>
          <w:b/>
          <w:bCs/>
          <w:color w:val="000000" w:themeColor="text1"/>
        </w:rPr>
        <w:t xml:space="preserve"> fold (</w:t>
      </w:r>
      <w:proofErr w:type="spellStart"/>
      <w:r>
        <w:rPr>
          <w:b/>
          <w:bCs/>
          <w:color w:val="000000" w:themeColor="text1"/>
        </w:rPr>
        <w:t>i.e</w:t>
      </w:r>
      <w:proofErr w:type="spellEnd"/>
      <w:r>
        <w:rPr>
          <w:b/>
          <w:bCs/>
          <w:color w:val="000000" w:themeColor="text1"/>
        </w:rPr>
        <w:t xml:space="preserve"> the mutator mutation will further increase the mutation rate by 100</w:t>
      </w:r>
      <w:r w:rsidR="00373CE3">
        <w:rPr>
          <w:b/>
          <w:bCs/>
          <w:color w:val="000000" w:themeColor="text1"/>
        </w:rPr>
        <w:t>-</w:t>
      </w:r>
      <w:r>
        <w:rPr>
          <w:b/>
          <w:bCs/>
          <w:color w:val="000000" w:themeColor="text1"/>
        </w:rPr>
        <w:t xml:space="preserve"> fold whereas the antimutator will decrease the mutation rate by 100</w:t>
      </w:r>
      <w:r w:rsidR="00373CE3">
        <w:rPr>
          <w:b/>
          <w:bCs/>
          <w:color w:val="000000" w:themeColor="text1"/>
        </w:rPr>
        <w:t>-</w:t>
      </w:r>
      <w:r>
        <w:rPr>
          <w:b/>
          <w:bCs/>
          <w:color w:val="000000" w:themeColor="text1"/>
        </w:rPr>
        <w:t>fold). We assumed that antimutator mutations are rarer than mutator mutations (100</w:t>
      </w:r>
      <w:r w:rsidR="00373CE3">
        <w:rPr>
          <w:b/>
          <w:bCs/>
          <w:color w:val="000000" w:themeColor="text1"/>
        </w:rPr>
        <w:t>-</w:t>
      </w:r>
      <w:r>
        <w:rPr>
          <w:b/>
          <w:bCs/>
          <w:color w:val="000000" w:themeColor="text1"/>
        </w:rPr>
        <w:t xml:space="preserve">fold rarer), and found that in our simulations, for 30 replicates, the antimutator “allele” fixed 10 times and the mutator “allele” fixed only 1 time. </w:t>
      </w:r>
    </w:p>
    <w:p w14:paraId="0F556604" w14:textId="77777777" w:rsidR="003B278D" w:rsidRDefault="003B278D" w:rsidP="006652BF">
      <w:pPr>
        <w:rPr>
          <w:b/>
          <w:bCs/>
          <w:color w:val="000000" w:themeColor="text1"/>
        </w:rPr>
      </w:pPr>
    </w:p>
    <w:p w14:paraId="01D66E0A" w14:textId="22F7C9E3" w:rsidR="005C7772" w:rsidRDefault="003B278D" w:rsidP="006652BF">
      <w:pPr>
        <w:rPr>
          <w:b/>
          <w:bCs/>
          <w:color w:val="000000" w:themeColor="text1"/>
        </w:rPr>
      </w:pPr>
      <w:r>
        <w:rPr>
          <w:b/>
          <w:bCs/>
          <w:color w:val="000000" w:themeColor="text1"/>
        </w:rPr>
        <w:t xml:space="preserve">S5. </w:t>
      </w:r>
      <w:r w:rsidR="005C7772">
        <w:rPr>
          <w:b/>
          <w:bCs/>
          <w:color w:val="000000" w:themeColor="text1"/>
        </w:rPr>
        <w:t>EFFECT OF TETRACYCLINE O</w:t>
      </w:r>
      <w:r w:rsidR="000B657B">
        <w:rPr>
          <w:b/>
          <w:bCs/>
          <w:color w:val="000000" w:themeColor="text1"/>
        </w:rPr>
        <w:t>N</w:t>
      </w:r>
      <w:r w:rsidR="005C7772">
        <w:rPr>
          <w:b/>
          <w:bCs/>
          <w:color w:val="000000" w:themeColor="text1"/>
        </w:rPr>
        <w:t xml:space="preserve"> MUTATION RATES </w:t>
      </w:r>
    </w:p>
    <w:p w14:paraId="5B0803BF" w14:textId="77777777" w:rsidR="005C7772" w:rsidRDefault="005C7772" w:rsidP="006652BF">
      <w:pPr>
        <w:rPr>
          <w:b/>
          <w:bCs/>
          <w:color w:val="000000" w:themeColor="text1"/>
        </w:rPr>
      </w:pPr>
    </w:p>
    <w:p w14:paraId="5A37717B" w14:textId="1A481987" w:rsidR="003B278D" w:rsidRDefault="003B278D" w:rsidP="006652BF">
      <w:pPr>
        <w:rPr>
          <w:b/>
          <w:bCs/>
          <w:color w:val="000000" w:themeColor="text1"/>
        </w:rPr>
      </w:pPr>
      <w:r>
        <w:rPr>
          <w:b/>
          <w:bCs/>
          <w:color w:val="000000" w:themeColor="text1"/>
        </w:rPr>
        <w:t xml:space="preserve">To test if the presence of tetracycline in the medium had any effect of mutation rates, we measured mutation rates of the ancestral strain in the presence and absence of tetracycline in DM1000 (Davis Minimal medium supplemented with 1000 mg of glucose per liter) and found that the mutation rate in the presence of tetracycline was 4.48E-7 </w:t>
      </w:r>
      <w:r w:rsidR="005C7772">
        <w:rPr>
          <w:b/>
          <w:bCs/>
          <w:color w:val="000000" w:themeColor="text1"/>
        </w:rPr>
        <w:t xml:space="preserve">(95% </w:t>
      </w:r>
      <w:proofErr w:type="gramStart"/>
      <w:r w:rsidR="005C7772">
        <w:rPr>
          <w:b/>
          <w:bCs/>
          <w:color w:val="000000" w:themeColor="text1"/>
        </w:rPr>
        <w:t>CI :</w:t>
      </w:r>
      <w:proofErr w:type="gramEnd"/>
      <w:r w:rsidR="005C7772">
        <w:rPr>
          <w:b/>
          <w:bCs/>
          <w:color w:val="000000" w:themeColor="text1"/>
        </w:rPr>
        <w:t xml:space="preserve"> 3.36-5.97 E-7) </w:t>
      </w:r>
      <w:r>
        <w:rPr>
          <w:b/>
          <w:bCs/>
          <w:color w:val="000000" w:themeColor="text1"/>
        </w:rPr>
        <w:t xml:space="preserve">and </w:t>
      </w:r>
      <w:r w:rsidR="005C7772">
        <w:rPr>
          <w:b/>
          <w:bCs/>
          <w:color w:val="000000" w:themeColor="text1"/>
        </w:rPr>
        <w:t>in the absence of tetracycline was 6.02e-7 (95% CI : 4.55 – 7.97E -7). We conclude that these mutation rates are not significantly different and therefore there is no significant effect of tetracycline on the estimates of mutation rate.</w:t>
      </w:r>
    </w:p>
    <w:p w14:paraId="4F8D7B24" w14:textId="24975369" w:rsidR="00B96597" w:rsidRDefault="009E3AB8" w:rsidP="006652BF">
      <w:pPr>
        <w:rPr>
          <w:b/>
          <w:bCs/>
          <w:color w:val="000000" w:themeColor="text1"/>
        </w:rPr>
      </w:pPr>
      <w:r>
        <w:rPr>
          <w:b/>
          <w:bCs/>
          <w:color w:val="000000" w:themeColor="text1"/>
        </w:rPr>
        <w:br w:type="page"/>
      </w:r>
    </w:p>
    <w:p w14:paraId="4B57A4FA" w14:textId="77777777" w:rsidR="006652BF" w:rsidRDefault="006652BF" w:rsidP="006652BF">
      <w:pPr>
        <w:rPr>
          <w:b/>
          <w:bCs/>
          <w:color w:val="000000" w:themeColor="text1"/>
        </w:rPr>
      </w:pPr>
      <w:r>
        <w:rPr>
          <w:b/>
          <w:bCs/>
          <w:color w:val="000000" w:themeColor="text1"/>
        </w:rPr>
        <w:t xml:space="preserve">SUPPLEMENTARY TABLES </w:t>
      </w:r>
    </w:p>
    <w:p w14:paraId="4D309890" w14:textId="77777777" w:rsidR="00FC3809" w:rsidRDefault="00FC3809" w:rsidP="00FC3809">
      <w:pPr>
        <w:rPr>
          <w:b/>
          <w:bCs/>
          <w:color w:val="000000" w:themeColor="text1"/>
        </w:rPr>
      </w:pPr>
    </w:p>
    <w:p w14:paraId="2F6DE3E9" w14:textId="4431A0B2" w:rsidR="00FC3809" w:rsidRDefault="00FC3809" w:rsidP="00FC3809">
      <w:pPr>
        <w:rPr>
          <w:b/>
          <w:bCs/>
          <w:color w:val="000000" w:themeColor="text1"/>
        </w:rPr>
      </w:pPr>
      <w:r>
        <w:rPr>
          <w:b/>
          <w:bCs/>
          <w:color w:val="000000" w:themeColor="text1"/>
        </w:rPr>
        <w:t xml:space="preserve">S6. </w:t>
      </w:r>
      <w:r w:rsidR="00321FAA">
        <w:rPr>
          <w:b/>
          <w:bCs/>
          <w:color w:val="000000" w:themeColor="text1"/>
        </w:rPr>
        <w:t>Specific</w:t>
      </w:r>
      <w:r>
        <w:rPr>
          <w:b/>
          <w:bCs/>
          <w:color w:val="000000" w:themeColor="text1"/>
        </w:rPr>
        <w:t xml:space="preserve"> mutations that confer high mutation rate in the ancestral </w:t>
      </w:r>
      <w:proofErr w:type="spellStart"/>
      <w:r>
        <w:rPr>
          <w:b/>
          <w:bCs/>
          <w:color w:val="000000" w:themeColor="text1"/>
        </w:rPr>
        <w:t>hypermutable</w:t>
      </w:r>
      <w:proofErr w:type="spellEnd"/>
      <w:r>
        <w:rPr>
          <w:b/>
          <w:bCs/>
          <w:color w:val="000000" w:themeColor="text1"/>
        </w:rPr>
        <w:t xml:space="preserve"> strain used for our MA study.</w:t>
      </w:r>
    </w:p>
    <w:p w14:paraId="7C60DF69" w14:textId="77777777" w:rsidR="006652BF" w:rsidRDefault="006652BF" w:rsidP="006652BF">
      <w:pPr>
        <w:rPr>
          <w:b/>
          <w:bCs/>
          <w:color w:val="000000" w:themeColor="text1"/>
        </w:rPr>
      </w:pPr>
    </w:p>
    <w:tbl>
      <w:tblPr>
        <w:tblStyle w:val="LightShading"/>
        <w:tblW w:w="9744" w:type="dxa"/>
        <w:tblLayout w:type="fixed"/>
        <w:tblLook w:val="04A0" w:firstRow="1" w:lastRow="0" w:firstColumn="1" w:lastColumn="0" w:noHBand="0" w:noVBand="1"/>
      </w:tblPr>
      <w:tblGrid>
        <w:gridCol w:w="1368"/>
        <w:gridCol w:w="1440"/>
        <w:gridCol w:w="1980"/>
        <w:gridCol w:w="2520"/>
        <w:gridCol w:w="2436"/>
      </w:tblGrid>
      <w:tr w:rsidR="00FC3809" w:rsidRPr="000819CC" w14:paraId="1D4F50AF" w14:textId="77777777" w:rsidTr="00FC3809">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68" w:type="dxa"/>
            <w:noWrap/>
            <w:hideMark/>
          </w:tcPr>
          <w:p w14:paraId="43F3839F" w14:textId="77777777" w:rsidR="00FC3809" w:rsidRPr="000819CC" w:rsidRDefault="00FC3809" w:rsidP="00FC3809">
            <w:pPr>
              <w:rPr>
                <w:color w:val="000000" w:themeColor="text1"/>
              </w:rPr>
            </w:pPr>
            <w:r w:rsidRPr="000819CC">
              <w:rPr>
                <w:color w:val="000000" w:themeColor="text1"/>
              </w:rPr>
              <w:t>POSITION</w:t>
            </w:r>
          </w:p>
        </w:tc>
        <w:tc>
          <w:tcPr>
            <w:tcW w:w="1440" w:type="dxa"/>
            <w:noWrap/>
            <w:hideMark/>
          </w:tcPr>
          <w:p w14:paraId="700D3C3E" w14:textId="77777777" w:rsidR="00FC3809" w:rsidRPr="000819CC" w:rsidRDefault="00FC3809" w:rsidP="00FC3809">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GENE</w:t>
            </w:r>
          </w:p>
        </w:tc>
        <w:tc>
          <w:tcPr>
            <w:tcW w:w="1980" w:type="dxa"/>
            <w:noWrap/>
            <w:hideMark/>
          </w:tcPr>
          <w:p w14:paraId="46CD1800" w14:textId="77777777" w:rsidR="00FC3809" w:rsidRPr="000819CC" w:rsidRDefault="00FC3809" w:rsidP="00FC3809">
            <w:pPr>
              <w:cnfStyle w:val="100000000000" w:firstRow="1"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NUCLEOTIDE CHANGE</w:t>
            </w:r>
          </w:p>
        </w:tc>
        <w:tc>
          <w:tcPr>
            <w:tcW w:w="2520" w:type="dxa"/>
            <w:noWrap/>
            <w:hideMark/>
          </w:tcPr>
          <w:p w14:paraId="451E8D0B" w14:textId="77777777" w:rsidR="00FC3809" w:rsidRPr="000819CC" w:rsidRDefault="00FC3809" w:rsidP="00FC3809">
            <w:pPr>
              <w:cnfStyle w:val="100000000000" w:firstRow="1"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AMINO ACID CHANGE</w:t>
            </w:r>
          </w:p>
        </w:tc>
        <w:tc>
          <w:tcPr>
            <w:tcW w:w="2436" w:type="dxa"/>
            <w:noWrap/>
            <w:hideMark/>
          </w:tcPr>
          <w:p w14:paraId="4015BF0E" w14:textId="77777777" w:rsidR="00FC3809" w:rsidRPr="000819CC" w:rsidRDefault="00FC3809" w:rsidP="00FC3809">
            <w:pPr>
              <w:cnfStyle w:val="100000000000" w:firstRow="1"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SNP TYPE</w:t>
            </w:r>
          </w:p>
        </w:tc>
      </w:tr>
      <w:tr w:rsidR="00FC3809" w:rsidRPr="000819CC" w14:paraId="5894FD88" w14:textId="77777777" w:rsidTr="00FC380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68" w:type="dxa"/>
            <w:noWrap/>
            <w:hideMark/>
          </w:tcPr>
          <w:p w14:paraId="06D6FFD3" w14:textId="77777777" w:rsidR="00FC3809" w:rsidRPr="004B0C88" w:rsidRDefault="00FC3809" w:rsidP="00FC3809">
            <w:pPr>
              <w:rPr>
                <w:b w:val="0"/>
                <w:color w:val="000000" w:themeColor="text1"/>
              </w:rPr>
            </w:pPr>
            <w:r w:rsidRPr="004B0C88">
              <w:rPr>
                <w:b w:val="0"/>
                <w:color w:val="000000" w:themeColor="text1"/>
              </w:rPr>
              <w:t>4,397,769</w:t>
            </w:r>
          </w:p>
        </w:tc>
        <w:tc>
          <w:tcPr>
            <w:tcW w:w="1440" w:type="dxa"/>
            <w:noWrap/>
            <w:hideMark/>
          </w:tcPr>
          <w:p w14:paraId="0121089D" w14:textId="77777777" w:rsidR="00FC3809" w:rsidRPr="000B657B" w:rsidRDefault="00FC3809" w:rsidP="00FC3809">
            <w:pPr>
              <w:cnfStyle w:val="000000100000" w:firstRow="0" w:lastRow="0" w:firstColumn="0" w:lastColumn="0" w:oddVBand="0" w:evenVBand="0" w:oddHBand="1" w:evenHBand="0" w:firstRowFirstColumn="0" w:firstRowLastColumn="0" w:lastRowFirstColumn="0" w:lastRowLastColumn="0"/>
              <w:rPr>
                <w:i/>
                <w:color w:val="000000" w:themeColor="text1"/>
              </w:rPr>
            </w:pPr>
            <w:proofErr w:type="spellStart"/>
            <w:proofErr w:type="gramStart"/>
            <w:r w:rsidRPr="000B657B">
              <w:rPr>
                <w:i/>
                <w:color w:val="000000" w:themeColor="text1"/>
              </w:rPr>
              <w:t>mutL</w:t>
            </w:r>
            <w:proofErr w:type="spellEnd"/>
            <w:proofErr w:type="gramEnd"/>
            <w:r w:rsidRPr="000B657B">
              <w:rPr>
                <w:i/>
                <w:color w:val="000000" w:themeColor="text1"/>
              </w:rPr>
              <w:t xml:space="preserve"> </w:t>
            </w:r>
          </w:p>
        </w:tc>
        <w:tc>
          <w:tcPr>
            <w:tcW w:w="1980" w:type="dxa"/>
            <w:noWrap/>
            <w:hideMark/>
          </w:tcPr>
          <w:p w14:paraId="6B542308" w14:textId="77777777" w:rsidR="00FC3809" w:rsidRPr="000819CC" w:rsidRDefault="00FC3809" w:rsidP="00FC3809">
            <w:pPr>
              <w:cnfStyle w:val="000000100000" w:firstRow="0" w:lastRow="0" w:firstColumn="0" w:lastColumn="0" w:oddVBand="0" w:evenVBand="0" w:oddHBand="1" w:evenHBand="0" w:firstRowFirstColumn="0" w:firstRowLastColumn="0" w:lastRowFirstColumn="0" w:lastRowLastColumn="0"/>
              <w:rPr>
                <w:color w:val="000000" w:themeColor="text1"/>
              </w:rPr>
            </w:pPr>
            <w:r w:rsidRPr="000819CC">
              <w:rPr>
                <w:color w:val="000000" w:themeColor="text1"/>
              </w:rPr>
              <w:t>G→A</w:t>
            </w:r>
          </w:p>
        </w:tc>
        <w:tc>
          <w:tcPr>
            <w:tcW w:w="2520" w:type="dxa"/>
            <w:noWrap/>
            <w:hideMark/>
          </w:tcPr>
          <w:p w14:paraId="15D0EC5C" w14:textId="77777777" w:rsidR="00FC3809" w:rsidRPr="000819CC" w:rsidRDefault="00FC3809" w:rsidP="00FC3809">
            <w:pPr>
              <w:cnfStyle w:val="000000100000" w:firstRow="0" w:lastRow="0" w:firstColumn="0" w:lastColumn="0" w:oddVBand="0" w:evenVBand="0" w:oddHBand="1" w:evenHBand="0" w:firstRowFirstColumn="0" w:firstRowLastColumn="0" w:lastRowFirstColumn="0" w:lastRowLastColumn="0"/>
              <w:rPr>
                <w:color w:val="000000" w:themeColor="text1"/>
              </w:rPr>
            </w:pPr>
            <w:r w:rsidRPr="000819CC">
              <w:rPr>
                <w:color w:val="000000" w:themeColor="text1"/>
              </w:rPr>
              <w:t xml:space="preserve">A120T (GCC→ACC) </w:t>
            </w:r>
          </w:p>
        </w:tc>
        <w:tc>
          <w:tcPr>
            <w:tcW w:w="2436" w:type="dxa"/>
            <w:noWrap/>
            <w:hideMark/>
          </w:tcPr>
          <w:p w14:paraId="0B084D95" w14:textId="77777777" w:rsidR="00FC3809" w:rsidRPr="000819CC" w:rsidRDefault="00FC3809" w:rsidP="00FC3809">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w:t>
            </w:r>
            <w:r w:rsidRPr="000819CC">
              <w:rPr>
                <w:color w:val="000000" w:themeColor="text1"/>
              </w:rPr>
              <w:t>on-synonymous</w:t>
            </w:r>
          </w:p>
        </w:tc>
      </w:tr>
      <w:tr w:rsidR="00FC3809" w:rsidRPr="000819CC" w14:paraId="0112410E" w14:textId="77777777" w:rsidTr="00FC3809">
        <w:trPr>
          <w:trHeight w:val="308"/>
        </w:trPr>
        <w:tc>
          <w:tcPr>
            <w:cnfStyle w:val="001000000000" w:firstRow="0" w:lastRow="0" w:firstColumn="1" w:lastColumn="0" w:oddVBand="0" w:evenVBand="0" w:oddHBand="0" w:evenHBand="0" w:firstRowFirstColumn="0" w:firstRowLastColumn="0" w:lastRowFirstColumn="0" w:lastRowLastColumn="0"/>
            <w:tcW w:w="1368" w:type="dxa"/>
            <w:noWrap/>
            <w:hideMark/>
          </w:tcPr>
          <w:p w14:paraId="66CF3148" w14:textId="77777777" w:rsidR="00FC3809" w:rsidRPr="004B0C88" w:rsidRDefault="00FC3809" w:rsidP="00FC3809">
            <w:pPr>
              <w:rPr>
                <w:b w:val="0"/>
                <w:color w:val="000000" w:themeColor="text1"/>
              </w:rPr>
            </w:pPr>
            <w:r w:rsidRPr="004B0C88">
              <w:rPr>
                <w:b w:val="0"/>
                <w:color w:val="000000" w:themeColor="text1"/>
              </w:rPr>
              <w:t>236,110</w:t>
            </w:r>
          </w:p>
        </w:tc>
        <w:tc>
          <w:tcPr>
            <w:tcW w:w="1440" w:type="dxa"/>
            <w:noWrap/>
            <w:hideMark/>
          </w:tcPr>
          <w:p w14:paraId="35A2800F" w14:textId="77777777" w:rsidR="00FC3809" w:rsidRPr="005B4A6A" w:rsidRDefault="00FC3809" w:rsidP="00FC3809">
            <w:pPr>
              <w:cnfStyle w:val="000000000000" w:firstRow="0" w:lastRow="0" w:firstColumn="0" w:lastColumn="0" w:oddVBand="0" w:evenVBand="0" w:oddHBand="0" w:evenHBand="0" w:firstRowFirstColumn="0" w:firstRowLastColumn="0" w:lastRowFirstColumn="0" w:lastRowLastColumn="0"/>
              <w:rPr>
                <w:i/>
                <w:color w:val="000000" w:themeColor="text1"/>
              </w:rPr>
            </w:pPr>
            <w:proofErr w:type="spellStart"/>
            <w:proofErr w:type="gramStart"/>
            <w:r w:rsidRPr="005B4A6A">
              <w:rPr>
                <w:i/>
                <w:color w:val="000000" w:themeColor="text1"/>
              </w:rPr>
              <w:t>dnaQ</w:t>
            </w:r>
            <w:proofErr w:type="spellEnd"/>
            <w:proofErr w:type="gramEnd"/>
            <w:r w:rsidRPr="005B4A6A">
              <w:rPr>
                <w:i/>
                <w:color w:val="000000" w:themeColor="text1"/>
              </w:rPr>
              <w:t xml:space="preserve"> </w:t>
            </w:r>
          </w:p>
        </w:tc>
        <w:tc>
          <w:tcPr>
            <w:tcW w:w="1980" w:type="dxa"/>
            <w:noWrap/>
            <w:hideMark/>
          </w:tcPr>
          <w:p w14:paraId="36177E51" w14:textId="77777777" w:rsidR="00FC3809" w:rsidRPr="000819CC" w:rsidRDefault="00FC3809" w:rsidP="00FC3809">
            <w:pPr>
              <w:cnfStyle w:val="000000000000" w:firstRow="0"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C→T</w:t>
            </w:r>
          </w:p>
        </w:tc>
        <w:tc>
          <w:tcPr>
            <w:tcW w:w="2520" w:type="dxa"/>
            <w:noWrap/>
            <w:hideMark/>
          </w:tcPr>
          <w:p w14:paraId="3E55AC1D" w14:textId="77777777" w:rsidR="00FC3809" w:rsidRPr="000819CC" w:rsidRDefault="00FC3809" w:rsidP="00FC3809">
            <w:pPr>
              <w:cnfStyle w:val="000000000000" w:firstRow="0"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 xml:space="preserve">T15I (ACC→ATC) </w:t>
            </w:r>
          </w:p>
        </w:tc>
        <w:tc>
          <w:tcPr>
            <w:tcW w:w="2436" w:type="dxa"/>
            <w:noWrap/>
            <w:hideMark/>
          </w:tcPr>
          <w:p w14:paraId="77B8A155" w14:textId="77777777" w:rsidR="00FC3809" w:rsidRPr="000819CC" w:rsidRDefault="00FC3809" w:rsidP="00FC380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w:t>
            </w:r>
            <w:r w:rsidRPr="000819CC">
              <w:rPr>
                <w:color w:val="000000" w:themeColor="text1"/>
              </w:rPr>
              <w:t>on-synonymous</w:t>
            </w:r>
          </w:p>
        </w:tc>
      </w:tr>
      <w:tr w:rsidR="00FC3809" w:rsidRPr="000819CC" w14:paraId="14EA48A0" w14:textId="77777777" w:rsidTr="00FC380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4565D46" w14:textId="77777777" w:rsidR="00FC3809" w:rsidRPr="004B0C88" w:rsidRDefault="00FC3809" w:rsidP="00FC3809">
            <w:pPr>
              <w:rPr>
                <w:b w:val="0"/>
                <w:color w:val="000000" w:themeColor="text1"/>
              </w:rPr>
            </w:pPr>
            <w:r w:rsidRPr="004B0C88">
              <w:rPr>
                <w:b w:val="0"/>
                <w:color w:val="000000" w:themeColor="text1"/>
              </w:rPr>
              <w:t>236,435</w:t>
            </w:r>
          </w:p>
        </w:tc>
        <w:tc>
          <w:tcPr>
            <w:tcW w:w="1440" w:type="dxa"/>
            <w:noWrap/>
            <w:hideMark/>
          </w:tcPr>
          <w:p w14:paraId="70452031" w14:textId="77777777" w:rsidR="00FC3809" w:rsidRPr="005B4A6A" w:rsidRDefault="00FC3809" w:rsidP="00FC3809">
            <w:pPr>
              <w:cnfStyle w:val="000000100000" w:firstRow="0" w:lastRow="0" w:firstColumn="0" w:lastColumn="0" w:oddVBand="0" w:evenVBand="0" w:oddHBand="1" w:evenHBand="0" w:firstRowFirstColumn="0" w:firstRowLastColumn="0" w:lastRowFirstColumn="0" w:lastRowLastColumn="0"/>
              <w:rPr>
                <w:i/>
                <w:color w:val="000000" w:themeColor="text1"/>
              </w:rPr>
            </w:pPr>
            <w:proofErr w:type="spellStart"/>
            <w:proofErr w:type="gramStart"/>
            <w:r w:rsidRPr="005B4A6A">
              <w:rPr>
                <w:i/>
                <w:color w:val="000000" w:themeColor="text1"/>
              </w:rPr>
              <w:t>dnaQ</w:t>
            </w:r>
            <w:proofErr w:type="spellEnd"/>
            <w:proofErr w:type="gramEnd"/>
            <w:r w:rsidRPr="005B4A6A">
              <w:rPr>
                <w:i/>
                <w:color w:val="000000" w:themeColor="text1"/>
              </w:rPr>
              <w:t xml:space="preserve"> </w:t>
            </w:r>
          </w:p>
        </w:tc>
        <w:tc>
          <w:tcPr>
            <w:tcW w:w="1980" w:type="dxa"/>
            <w:noWrap/>
            <w:hideMark/>
          </w:tcPr>
          <w:p w14:paraId="26F0F45F" w14:textId="77777777" w:rsidR="00FC3809" w:rsidRPr="000819CC" w:rsidRDefault="00FC3809" w:rsidP="00FC3809">
            <w:pPr>
              <w:cnfStyle w:val="000000100000" w:firstRow="0" w:lastRow="0" w:firstColumn="0" w:lastColumn="0" w:oddVBand="0" w:evenVBand="0" w:oddHBand="1" w:evenHBand="0" w:firstRowFirstColumn="0" w:firstRowLastColumn="0" w:lastRowFirstColumn="0" w:lastRowLastColumn="0"/>
              <w:rPr>
                <w:color w:val="000000" w:themeColor="text1"/>
              </w:rPr>
            </w:pPr>
            <w:r w:rsidRPr="000819CC">
              <w:rPr>
                <w:color w:val="000000" w:themeColor="text1"/>
              </w:rPr>
              <w:t>T→C</w:t>
            </w:r>
          </w:p>
        </w:tc>
        <w:tc>
          <w:tcPr>
            <w:tcW w:w="2520" w:type="dxa"/>
            <w:noWrap/>
            <w:hideMark/>
          </w:tcPr>
          <w:p w14:paraId="04DBA66C" w14:textId="77777777" w:rsidR="00FC3809" w:rsidRPr="000819CC" w:rsidRDefault="00FC3809" w:rsidP="00FC3809">
            <w:pPr>
              <w:cnfStyle w:val="000000100000" w:firstRow="0" w:lastRow="0" w:firstColumn="0" w:lastColumn="0" w:oddVBand="0" w:evenVBand="0" w:oddHBand="1" w:evenHBand="0" w:firstRowFirstColumn="0" w:firstRowLastColumn="0" w:lastRowFirstColumn="0" w:lastRowLastColumn="0"/>
              <w:rPr>
                <w:color w:val="000000" w:themeColor="text1"/>
              </w:rPr>
            </w:pPr>
            <w:r w:rsidRPr="000819CC">
              <w:rPr>
                <w:color w:val="000000" w:themeColor="text1"/>
              </w:rPr>
              <w:t xml:space="preserve">T123T (ACT→ACC) </w:t>
            </w:r>
          </w:p>
        </w:tc>
        <w:tc>
          <w:tcPr>
            <w:tcW w:w="2436" w:type="dxa"/>
            <w:noWrap/>
            <w:hideMark/>
          </w:tcPr>
          <w:p w14:paraId="798C42C4" w14:textId="77777777" w:rsidR="00FC3809" w:rsidRPr="000819CC" w:rsidRDefault="00FC3809" w:rsidP="00FC3809">
            <w:pP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Pr>
                <w:color w:val="000000" w:themeColor="text1"/>
              </w:rPr>
              <w:t>S</w:t>
            </w:r>
            <w:r w:rsidRPr="000819CC">
              <w:rPr>
                <w:color w:val="000000" w:themeColor="text1"/>
              </w:rPr>
              <w:t>ynonyymous</w:t>
            </w:r>
            <w:proofErr w:type="spellEnd"/>
          </w:p>
        </w:tc>
      </w:tr>
      <w:tr w:rsidR="00FC3809" w:rsidRPr="000819CC" w14:paraId="0F3EC3DC" w14:textId="77777777" w:rsidTr="00FC3809">
        <w:trPr>
          <w:trHeight w:val="308"/>
        </w:trPr>
        <w:tc>
          <w:tcPr>
            <w:cnfStyle w:val="001000000000" w:firstRow="0" w:lastRow="0" w:firstColumn="1" w:lastColumn="0" w:oddVBand="0" w:evenVBand="0" w:oddHBand="0" w:evenHBand="0" w:firstRowFirstColumn="0" w:firstRowLastColumn="0" w:lastRowFirstColumn="0" w:lastRowLastColumn="0"/>
            <w:tcW w:w="1368" w:type="dxa"/>
            <w:noWrap/>
            <w:hideMark/>
          </w:tcPr>
          <w:p w14:paraId="7AF0D97E" w14:textId="77777777" w:rsidR="00FC3809" w:rsidRPr="004B0C88" w:rsidRDefault="00FC3809" w:rsidP="00FC3809">
            <w:pPr>
              <w:rPr>
                <w:b w:val="0"/>
                <w:color w:val="000000" w:themeColor="text1"/>
              </w:rPr>
            </w:pPr>
            <w:r w:rsidRPr="004B0C88">
              <w:rPr>
                <w:b w:val="0"/>
                <w:color w:val="000000" w:themeColor="text1"/>
              </w:rPr>
              <w:t>236,483</w:t>
            </w:r>
          </w:p>
        </w:tc>
        <w:tc>
          <w:tcPr>
            <w:tcW w:w="1440" w:type="dxa"/>
            <w:noWrap/>
            <w:hideMark/>
          </w:tcPr>
          <w:p w14:paraId="04D4BFE5" w14:textId="77777777" w:rsidR="00FC3809" w:rsidRPr="005B4A6A" w:rsidRDefault="00FC3809" w:rsidP="00FC3809">
            <w:pPr>
              <w:cnfStyle w:val="000000000000" w:firstRow="0" w:lastRow="0" w:firstColumn="0" w:lastColumn="0" w:oddVBand="0" w:evenVBand="0" w:oddHBand="0" w:evenHBand="0" w:firstRowFirstColumn="0" w:firstRowLastColumn="0" w:lastRowFirstColumn="0" w:lastRowLastColumn="0"/>
              <w:rPr>
                <w:i/>
                <w:color w:val="000000" w:themeColor="text1"/>
              </w:rPr>
            </w:pPr>
            <w:proofErr w:type="spellStart"/>
            <w:proofErr w:type="gramStart"/>
            <w:r w:rsidRPr="005B4A6A">
              <w:rPr>
                <w:i/>
                <w:color w:val="000000" w:themeColor="text1"/>
              </w:rPr>
              <w:t>dnaQ</w:t>
            </w:r>
            <w:proofErr w:type="spellEnd"/>
            <w:proofErr w:type="gramEnd"/>
            <w:r w:rsidRPr="005B4A6A">
              <w:rPr>
                <w:i/>
                <w:color w:val="000000" w:themeColor="text1"/>
              </w:rPr>
              <w:t xml:space="preserve"> </w:t>
            </w:r>
          </w:p>
        </w:tc>
        <w:tc>
          <w:tcPr>
            <w:tcW w:w="1980" w:type="dxa"/>
            <w:noWrap/>
            <w:hideMark/>
          </w:tcPr>
          <w:p w14:paraId="70D27740" w14:textId="77777777" w:rsidR="00FC3809" w:rsidRPr="000819CC" w:rsidRDefault="00FC3809" w:rsidP="00FC3809">
            <w:pPr>
              <w:cnfStyle w:val="000000000000" w:firstRow="0"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C→T</w:t>
            </w:r>
          </w:p>
        </w:tc>
        <w:tc>
          <w:tcPr>
            <w:tcW w:w="2520" w:type="dxa"/>
            <w:noWrap/>
            <w:hideMark/>
          </w:tcPr>
          <w:p w14:paraId="5535C1E4" w14:textId="77777777" w:rsidR="00FC3809" w:rsidRPr="000819CC" w:rsidRDefault="00FC3809" w:rsidP="00FC3809">
            <w:pPr>
              <w:cnfStyle w:val="000000000000" w:firstRow="0"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 xml:space="preserve">P139P (CCC→CCT) </w:t>
            </w:r>
          </w:p>
        </w:tc>
        <w:tc>
          <w:tcPr>
            <w:tcW w:w="2436" w:type="dxa"/>
            <w:noWrap/>
            <w:hideMark/>
          </w:tcPr>
          <w:p w14:paraId="0A5C3A8C" w14:textId="77777777" w:rsidR="00FC3809" w:rsidRPr="000819CC" w:rsidRDefault="00FC3809" w:rsidP="00FC380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w:t>
            </w:r>
            <w:r w:rsidRPr="000819CC">
              <w:rPr>
                <w:color w:val="000000" w:themeColor="text1"/>
              </w:rPr>
              <w:t>ynonymous</w:t>
            </w:r>
          </w:p>
        </w:tc>
      </w:tr>
      <w:tr w:rsidR="00FC3809" w:rsidRPr="000819CC" w14:paraId="32B6F7E8" w14:textId="77777777" w:rsidTr="00FC380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68" w:type="dxa"/>
            <w:noWrap/>
            <w:hideMark/>
          </w:tcPr>
          <w:p w14:paraId="75EC8ED5" w14:textId="77777777" w:rsidR="00FC3809" w:rsidRPr="004B0C88" w:rsidRDefault="00FC3809" w:rsidP="00FC3809">
            <w:pPr>
              <w:rPr>
                <w:b w:val="0"/>
                <w:color w:val="000000" w:themeColor="text1"/>
              </w:rPr>
            </w:pPr>
            <w:r w:rsidRPr="004B0C88">
              <w:rPr>
                <w:b w:val="0"/>
                <w:color w:val="000000" w:themeColor="text1"/>
              </w:rPr>
              <w:t>236,516</w:t>
            </w:r>
          </w:p>
        </w:tc>
        <w:tc>
          <w:tcPr>
            <w:tcW w:w="1440" w:type="dxa"/>
            <w:noWrap/>
            <w:hideMark/>
          </w:tcPr>
          <w:p w14:paraId="0F307F43" w14:textId="77777777" w:rsidR="00FC3809" w:rsidRPr="005B4A6A" w:rsidRDefault="00FC3809" w:rsidP="00FC3809">
            <w:pPr>
              <w:cnfStyle w:val="000000100000" w:firstRow="0" w:lastRow="0" w:firstColumn="0" w:lastColumn="0" w:oddVBand="0" w:evenVBand="0" w:oddHBand="1" w:evenHBand="0" w:firstRowFirstColumn="0" w:firstRowLastColumn="0" w:lastRowFirstColumn="0" w:lastRowLastColumn="0"/>
              <w:rPr>
                <w:i/>
                <w:color w:val="000000" w:themeColor="text1"/>
              </w:rPr>
            </w:pPr>
            <w:proofErr w:type="spellStart"/>
            <w:proofErr w:type="gramStart"/>
            <w:r w:rsidRPr="005B4A6A">
              <w:rPr>
                <w:i/>
                <w:color w:val="000000" w:themeColor="text1"/>
              </w:rPr>
              <w:t>dnaQ</w:t>
            </w:r>
            <w:proofErr w:type="spellEnd"/>
            <w:proofErr w:type="gramEnd"/>
            <w:r w:rsidRPr="005B4A6A">
              <w:rPr>
                <w:i/>
                <w:color w:val="000000" w:themeColor="text1"/>
              </w:rPr>
              <w:t xml:space="preserve"> </w:t>
            </w:r>
          </w:p>
        </w:tc>
        <w:tc>
          <w:tcPr>
            <w:tcW w:w="1980" w:type="dxa"/>
            <w:noWrap/>
            <w:hideMark/>
          </w:tcPr>
          <w:p w14:paraId="528EE6CF" w14:textId="77777777" w:rsidR="00FC3809" w:rsidRPr="000819CC" w:rsidRDefault="00FC3809" w:rsidP="00FC3809">
            <w:pPr>
              <w:cnfStyle w:val="000000100000" w:firstRow="0" w:lastRow="0" w:firstColumn="0" w:lastColumn="0" w:oddVBand="0" w:evenVBand="0" w:oddHBand="1" w:evenHBand="0" w:firstRowFirstColumn="0" w:firstRowLastColumn="0" w:lastRowFirstColumn="0" w:lastRowLastColumn="0"/>
              <w:rPr>
                <w:color w:val="000000" w:themeColor="text1"/>
              </w:rPr>
            </w:pPr>
            <w:r w:rsidRPr="000819CC">
              <w:rPr>
                <w:color w:val="000000" w:themeColor="text1"/>
              </w:rPr>
              <w:t>T→C</w:t>
            </w:r>
          </w:p>
        </w:tc>
        <w:tc>
          <w:tcPr>
            <w:tcW w:w="2520" w:type="dxa"/>
            <w:noWrap/>
            <w:hideMark/>
          </w:tcPr>
          <w:p w14:paraId="4F397940" w14:textId="77777777" w:rsidR="00FC3809" w:rsidRPr="000819CC" w:rsidRDefault="00FC3809" w:rsidP="00FC3809">
            <w:pPr>
              <w:cnfStyle w:val="000000100000" w:firstRow="0" w:lastRow="0" w:firstColumn="0" w:lastColumn="0" w:oddVBand="0" w:evenVBand="0" w:oddHBand="1" w:evenHBand="0" w:firstRowFirstColumn="0" w:firstRowLastColumn="0" w:lastRowFirstColumn="0" w:lastRowLastColumn="0"/>
              <w:rPr>
                <w:color w:val="000000" w:themeColor="text1"/>
              </w:rPr>
            </w:pPr>
            <w:r w:rsidRPr="000819CC">
              <w:rPr>
                <w:color w:val="000000" w:themeColor="text1"/>
              </w:rPr>
              <w:t xml:space="preserve">A150A (GCT→GCC) </w:t>
            </w:r>
          </w:p>
        </w:tc>
        <w:tc>
          <w:tcPr>
            <w:tcW w:w="2436" w:type="dxa"/>
            <w:noWrap/>
            <w:hideMark/>
          </w:tcPr>
          <w:p w14:paraId="6AED7539" w14:textId="77777777" w:rsidR="00FC3809" w:rsidRPr="000819CC" w:rsidRDefault="00FC3809" w:rsidP="00FC3809">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r w:rsidRPr="000819CC">
              <w:rPr>
                <w:color w:val="000000" w:themeColor="text1"/>
              </w:rPr>
              <w:t>ynonymous</w:t>
            </w:r>
          </w:p>
        </w:tc>
      </w:tr>
      <w:tr w:rsidR="00FC3809" w:rsidRPr="000819CC" w14:paraId="56C918C2" w14:textId="77777777" w:rsidTr="00FC3809">
        <w:trPr>
          <w:trHeight w:val="308"/>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0513DD9" w14:textId="77777777" w:rsidR="00FC3809" w:rsidRPr="004B0C88" w:rsidRDefault="00FC3809" w:rsidP="00FC3809">
            <w:pPr>
              <w:rPr>
                <w:b w:val="0"/>
                <w:color w:val="000000" w:themeColor="text1"/>
              </w:rPr>
            </w:pPr>
            <w:r w:rsidRPr="004B0C88">
              <w:rPr>
                <w:b w:val="0"/>
                <w:color w:val="000000" w:themeColor="text1"/>
              </w:rPr>
              <w:t>236,549</w:t>
            </w:r>
          </w:p>
        </w:tc>
        <w:tc>
          <w:tcPr>
            <w:tcW w:w="1440" w:type="dxa"/>
            <w:noWrap/>
            <w:hideMark/>
          </w:tcPr>
          <w:p w14:paraId="37BE7B02" w14:textId="77777777" w:rsidR="00FC3809" w:rsidRPr="005B4A6A" w:rsidRDefault="00FC3809" w:rsidP="00FC3809">
            <w:pPr>
              <w:cnfStyle w:val="000000000000" w:firstRow="0" w:lastRow="0" w:firstColumn="0" w:lastColumn="0" w:oddVBand="0" w:evenVBand="0" w:oddHBand="0" w:evenHBand="0" w:firstRowFirstColumn="0" w:firstRowLastColumn="0" w:lastRowFirstColumn="0" w:lastRowLastColumn="0"/>
              <w:rPr>
                <w:i/>
                <w:color w:val="000000" w:themeColor="text1"/>
              </w:rPr>
            </w:pPr>
            <w:proofErr w:type="spellStart"/>
            <w:proofErr w:type="gramStart"/>
            <w:r w:rsidRPr="005B4A6A">
              <w:rPr>
                <w:i/>
                <w:color w:val="000000" w:themeColor="text1"/>
              </w:rPr>
              <w:t>dnaQ</w:t>
            </w:r>
            <w:proofErr w:type="spellEnd"/>
            <w:proofErr w:type="gramEnd"/>
            <w:r w:rsidRPr="005B4A6A">
              <w:rPr>
                <w:i/>
                <w:color w:val="000000" w:themeColor="text1"/>
              </w:rPr>
              <w:t xml:space="preserve"> </w:t>
            </w:r>
          </w:p>
        </w:tc>
        <w:tc>
          <w:tcPr>
            <w:tcW w:w="1980" w:type="dxa"/>
            <w:noWrap/>
            <w:hideMark/>
          </w:tcPr>
          <w:p w14:paraId="2181D904" w14:textId="77777777" w:rsidR="00FC3809" w:rsidRPr="000819CC" w:rsidRDefault="00FC3809" w:rsidP="00FC3809">
            <w:pPr>
              <w:cnfStyle w:val="000000000000" w:firstRow="0"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G→A</w:t>
            </w:r>
          </w:p>
        </w:tc>
        <w:tc>
          <w:tcPr>
            <w:tcW w:w="2520" w:type="dxa"/>
            <w:noWrap/>
            <w:hideMark/>
          </w:tcPr>
          <w:p w14:paraId="0D6F2767" w14:textId="77777777" w:rsidR="00FC3809" w:rsidRPr="000819CC" w:rsidRDefault="00FC3809" w:rsidP="00FC3809">
            <w:pPr>
              <w:cnfStyle w:val="000000000000" w:firstRow="0"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 xml:space="preserve">L161L (CTG→CTA) </w:t>
            </w:r>
          </w:p>
        </w:tc>
        <w:tc>
          <w:tcPr>
            <w:tcW w:w="2436" w:type="dxa"/>
            <w:noWrap/>
            <w:hideMark/>
          </w:tcPr>
          <w:p w14:paraId="7C474FB0" w14:textId="77777777" w:rsidR="00FC3809" w:rsidRPr="000819CC" w:rsidRDefault="00FC3809" w:rsidP="00FC3809">
            <w:pPr>
              <w:cnfStyle w:val="000000000000" w:firstRow="0" w:lastRow="0" w:firstColumn="0" w:lastColumn="0" w:oddVBand="0" w:evenVBand="0" w:oddHBand="0" w:evenHBand="0" w:firstRowFirstColumn="0" w:firstRowLastColumn="0" w:lastRowFirstColumn="0" w:lastRowLastColumn="0"/>
              <w:rPr>
                <w:color w:val="000000" w:themeColor="text1"/>
              </w:rPr>
            </w:pPr>
            <w:r w:rsidRPr="000819CC">
              <w:rPr>
                <w:color w:val="000000" w:themeColor="text1"/>
              </w:rPr>
              <w:t>Synonymous</w:t>
            </w:r>
          </w:p>
        </w:tc>
      </w:tr>
    </w:tbl>
    <w:p w14:paraId="19CC0BF5" w14:textId="77777777" w:rsidR="00FC3809" w:rsidRDefault="00FC3809" w:rsidP="006652BF">
      <w:pPr>
        <w:rPr>
          <w:b/>
          <w:bCs/>
          <w:color w:val="000000" w:themeColor="text1"/>
        </w:rPr>
      </w:pPr>
    </w:p>
    <w:p w14:paraId="297127F3" w14:textId="7B938D8F" w:rsidR="00315404" w:rsidRDefault="00315404" w:rsidP="00315404">
      <w:pPr>
        <w:rPr>
          <w:b/>
          <w:bCs/>
          <w:color w:val="000000" w:themeColor="text1"/>
        </w:rPr>
      </w:pPr>
      <w:r>
        <w:rPr>
          <w:b/>
          <w:bCs/>
          <w:color w:val="000000" w:themeColor="text1"/>
        </w:rPr>
        <w:t>S</w:t>
      </w:r>
      <w:r w:rsidR="00FC3809">
        <w:rPr>
          <w:b/>
          <w:bCs/>
          <w:color w:val="000000" w:themeColor="text1"/>
        </w:rPr>
        <w:t>7</w:t>
      </w:r>
      <w:r>
        <w:rPr>
          <w:b/>
          <w:bCs/>
          <w:color w:val="000000" w:themeColor="text1"/>
        </w:rPr>
        <w:t xml:space="preserve">. Correlation between two independent estimates (FT1 and FT2) of the </w:t>
      </w:r>
      <w:proofErr w:type="spellStart"/>
      <w:r>
        <w:rPr>
          <w:b/>
          <w:bCs/>
          <w:color w:val="000000" w:themeColor="text1"/>
        </w:rPr>
        <w:t>nalidixic</w:t>
      </w:r>
      <w:proofErr w:type="spellEnd"/>
      <w:r>
        <w:rPr>
          <w:b/>
          <w:bCs/>
          <w:color w:val="000000" w:themeColor="text1"/>
        </w:rPr>
        <w:t xml:space="preserve"> acid mutation rate, carried out as independent fluctuation assays. </w:t>
      </w:r>
    </w:p>
    <w:p w14:paraId="4D8CB10D" w14:textId="77777777" w:rsidR="00315404" w:rsidRDefault="00315404" w:rsidP="006652BF">
      <w:pPr>
        <w:rPr>
          <w:b/>
          <w:bCs/>
          <w:color w:val="000000" w:themeColor="text1"/>
        </w:rPr>
      </w:pPr>
    </w:p>
    <w:tbl>
      <w:tblPr>
        <w:tblStyle w:val="LightShading"/>
        <w:tblW w:w="0" w:type="auto"/>
        <w:tblLook w:val="04A0" w:firstRow="1" w:lastRow="0" w:firstColumn="1" w:lastColumn="0" w:noHBand="0" w:noVBand="1"/>
      </w:tblPr>
      <w:tblGrid>
        <w:gridCol w:w="2214"/>
        <w:gridCol w:w="2214"/>
        <w:gridCol w:w="2214"/>
        <w:gridCol w:w="2214"/>
      </w:tblGrid>
      <w:tr w:rsidR="00315404" w14:paraId="15FD2BEC" w14:textId="77777777" w:rsidTr="003154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2C2473D" w14:textId="77777777" w:rsidR="00315404" w:rsidRDefault="00315404" w:rsidP="00FC3809">
            <w:r>
              <w:t>COMPARISON</w:t>
            </w:r>
          </w:p>
        </w:tc>
        <w:tc>
          <w:tcPr>
            <w:tcW w:w="2214" w:type="dxa"/>
          </w:tcPr>
          <w:p w14:paraId="6233CA32" w14:textId="77777777" w:rsidR="00315404" w:rsidRDefault="00315404" w:rsidP="00FC3809">
            <w:pPr>
              <w:cnfStyle w:val="100000000000" w:firstRow="1" w:lastRow="0" w:firstColumn="0" w:lastColumn="0" w:oddVBand="0" w:evenVBand="0" w:oddHBand="0" w:evenHBand="0" w:firstRowFirstColumn="0" w:firstRowLastColumn="0" w:lastRowFirstColumn="0" w:lastRowLastColumn="0"/>
            </w:pPr>
            <w:r>
              <w:t xml:space="preserve">NO OF PAIRED OBSERVATIONS </w:t>
            </w:r>
          </w:p>
        </w:tc>
        <w:tc>
          <w:tcPr>
            <w:tcW w:w="2214" w:type="dxa"/>
          </w:tcPr>
          <w:p w14:paraId="77E0D499" w14:textId="77777777" w:rsidR="00315404" w:rsidRDefault="00315404" w:rsidP="00FC3809">
            <w:pPr>
              <w:cnfStyle w:val="100000000000" w:firstRow="1" w:lastRow="0" w:firstColumn="0" w:lastColumn="0" w:oddVBand="0" w:evenVBand="0" w:oddHBand="0" w:evenHBand="0" w:firstRowFirstColumn="0" w:firstRowLastColumn="0" w:lastRowFirstColumn="0" w:lastRowLastColumn="0"/>
            </w:pPr>
            <w:r>
              <w:t xml:space="preserve">PEARSON CORELLATION COEFFICIENT </w:t>
            </w:r>
          </w:p>
        </w:tc>
        <w:tc>
          <w:tcPr>
            <w:tcW w:w="2214" w:type="dxa"/>
          </w:tcPr>
          <w:p w14:paraId="0748FC21" w14:textId="11CDCF96" w:rsidR="00315404" w:rsidRDefault="00524289" w:rsidP="00FC3809">
            <w:pPr>
              <w:cnfStyle w:val="100000000000" w:firstRow="1" w:lastRow="0" w:firstColumn="0" w:lastColumn="0" w:oddVBand="0" w:evenVBand="0" w:oddHBand="0" w:evenHBand="0" w:firstRowFirstColumn="0" w:firstRowLastColumn="0" w:lastRowFirstColumn="0" w:lastRowLastColumn="0"/>
            </w:pPr>
            <w:proofErr w:type="gramStart"/>
            <w:r>
              <w:rPr>
                <w:i/>
              </w:rPr>
              <w:t>p</w:t>
            </w:r>
            <w:proofErr w:type="gramEnd"/>
            <w:r>
              <w:rPr>
                <w:i/>
              </w:rPr>
              <w:t>-</w:t>
            </w:r>
            <w:r w:rsidR="00315404">
              <w:t>VALUE</w:t>
            </w:r>
          </w:p>
        </w:tc>
      </w:tr>
      <w:tr w:rsidR="00315404" w14:paraId="1168CD2D" w14:textId="77777777" w:rsidTr="00315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C8ABD79" w14:textId="798F1566" w:rsidR="00315404" w:rsidRDefault="00315404" w:rsidP="00FC3809">
            <w:r>
              <w:t xml:space="preserve">LB </w:t>
            </w:r>
            <w:proofErr w:type="gramStart"/>
            <w:r>
              <w:t>Streptomycin  vs</w:t>
            </w:r>
            <w:proofErr w:type="gramEnd"/>
            <w:r>
              <w:t xml:space="preserve">. LB </w:t>
            </w:r>
            <w:proofErr w:type="spellStart"/>
            <w:r>
              <w:t>nalidixic</w:t>
            </w:r>
            <w:proofErr w:type="spellEnd"/>
            <w:r>
              <w:t xml:space="preserve"> acid mutation rates  </w:t>
            </w:r>
          </w:p>
        </w:tc>
        <w:tc>
          <w:tcPr>
            <w:tcW w:w="2214" w:type="dxa"/>
          </w:tcPr>
          <w:p w14:paraId="6193A266" w14:textId="77777777" w:rsidR="00315404" w:rsidRDefault="00315404" w:rsidP="00FC3809">
            <w:pPr>
              <w:cnfStyle w:val="000000100000" w:firstRow="0" w:lastRow="0" w:firstColumn="0" w:lastColumn="0" w:oddVBand="0" w:evenVBand="0" w:oddHBand="1" w:evenHBand="0" w:firstRowFirstColumn="0" w:firstRowLastColumn="0" w:lastRowFirstColumn="0" w:lastRowLastColumn="0"/>
            </w:pPr>
            <w:r>
              <w:t>17</w:t>
            </w:r>
          </w:p>
        </w:tc>
        <w:tc>
          <w:tcPr>
            <w:tcW w:w="2214" w:type="dxa"/>
          </w:tcPr>
          <w:p w14:paraId="77C9FBEB" w14:textId="77777777" w:rsidR="00315404" w:rsidRDefault="00315404" w:rsidP="00FC3809">
            <w:pPr>
              <w:cnfStyle w:val="000000100000" w:firstRow="0" w:lastRow="0" w:firstColumn="0" w:lastColumn="0" w:oddVBand="0" w:evenVBand="0" w:oddHBand="1" w:evenHBand="0" w:firstRowFirstColumn="0" w:firstRowLastColumn="0" w:lastRowFirstColumn="0" w:lastRowLastColumn="0"/>
            </w:pPr>
            <w:r w:rsidRPr="00CE35BD">
              <w:t>0.12006</w:t>
            </w:r>
          </w:p>
        </w:tc>
        <w:tc>
          <w:tcPr>
            <w:tcW w:w="2214" w:type="dxa"/>
          </w:tcPr>
          <w:p w14:paraId="1AD2508C" w14:textId="77777777" w:rsidR="00315404" w:rsidRDefault="00315404" w:rsidP="00FC3809">
            <w:pPr>
              <w:cnfStyle w:val="000000100000" w:firstRow="0" w:lastRow="0" w:firstColumn="0" w:lastColumn="0" w:oddVBand="0" w:evenVBand="0" w:oddHBand="1" w:evenHBand="0" w:firstRowFirstColumn="0" w:firstRowLastColumn="0" w:lastRowFirstColumn="0" w:lastRowLastColumn="0"/>
            </w:pPr>
            <w:r w:rsidRPr="00CE35BD">
              <w:t>0.64625</w:t>
            </w:r>
          </w:p>
        </w:tc>
      </w:tr>
      <w:tr w:rsidR="00315404" w14:paraId="08ED7C24" w14:textId="77777777" w:rsidTr="00315404">
        <w:tc>
          <w:tcPr>
            <w:cnfStyle w:val="001000000000" w:firstRow="0" w:lastRow="0" w:firstColumn="1" w:lastColumn="0" w:oddVBand="0" w:evenVBand="0" w:oddHBand="0" w:evenHBand="0" w:firstRowFirstColumn="0" w:firstRowLastColumn="0" w:lastRowFirstColumn="0" w:lastRowLastColumn="0"/>
            <w:tcW w:w="2214" w:type="dxa"/>
          </w:tcPr>
          <w:p w14:paraId="7C93E14E" w14:textId="5983D2A7" w:rsidR="00315404" w:rsidRDefault="00315404" w:rsidP="00FC3809">
            <w:r>
              <w:t xml:space="preserve">MG </w:t>
            </w:r>
            <w:proofErr w:type="gramStart"/>
            <w:r>
              <w:t>Streptomycin  vs</w:t>
            </w:r>
            <w:proofErr w:type="gramEnd"/>
            <w:r>
              <w:t xml:space="preserve">. MG </w:t>
            </w:r>
            <w:proofErr w:type="spellStart"/>
            <w:r>
              <w:t>nalidixic</w:t>
            </w:r>
            <w:proofErr w:type="spellEnd"/>
            <w:r>
              <w:t xml:space="preserve"> acid </w:t>
            </w:r>
          </w:p>
        </w:tc>
        <w:tc>
          <w:tcPr>
            <w:tcW w:w="2214" w:type="dxa"/>
          </w:tcPr>
          <w:p w14:paraId="503762BF" w14:textId="77777777" w:rsidR="00315404" w:rsidRDefault="00315404" w:rsidP="00FC3809">
            <w:pPr>
              <w:cnfStyle w:val="000000000000" w:firstRow="0" w:lastRow="0" w:firstColumn="0" w:lastColumn="0" w:oddVBand="0" w:evenVBand="0" w:oddHBand="0" w:evenHBand="0" w:firstRowFirstColumn="0" w:firstRowLastColumn="0" w:lastRowFirstColumn="0" w:lastRowLastColumn="0"/>
            </w:pPr>
            <w:r>
              <w:t>14</w:t>
            </w:r>
          </w:p>
        </w:tc>
        <w:tc>
          <w:tcPr>
            <w:tcW w:w="2214" w:type="dxa"/>
          </w:tcPr>
          <w:p w14:paraId="77D42B80" w14:textId="77777777" w:rsidR="00315404" w:rsidRDefault="00315404" w:rsidP="00FC3809">
            <w:pPr>
              <w:cnfStyle w:val="000000000000" w:firstRow="0" w:lastRow="0" w:firstColumn="0" w:lastColumn="0" w:oddVBand="0" w:evenVBand="0" w:oddHBand="0" w:evenHBand="0" w:firstRowFirstColumn="0" w:firstRowLastColumn="0" w:lastRowFirstColumn="0" w:lastRowLastColumn="0"/>
            </w:pPr>
            <w:r w:rsidRPr="00CE35BD">
              <w:t>0.83906</w:t>
            </w:r>
          </w:p>
        </w:tc>
        <w:tc>
          <w:tcPr>
            <w:tcW w:w="2214" w:type="dxa"/>
          </w:tcPr>
          <w:p w14:paraId="2195BFD8" w14:textId="77777777" w:rsidR="00315404" w:rsidRDefault="00315404" w:rsidP="00FC3809">
            <w:pPr>
              <w:cnfStyle w:val="000000000000" w:firstRow="0" w:lastRow="0" w:firstColumn="0" w:lastColumn="0" w:oddVBand="0" w:evenVBand="0" w:oddHBand="0" w:evenHBand="0" w:firstRowFirstColumn="0" w:firstRowLastColumn="0" w:lastRowFirstColumn="0" w:lastRowLastColumn="0"/>
            </w:pPr>
            <w:r w:rsidRPr="00CE35BD">
              <w:t>0.00018</w:t>
            </w:r>
          </w:p>
        </w:tc>
      </w:tr>
      <w:tr w:rsidR="00315404" w14:paraId="17E80824" w14:textId="77777777" w:rsidTr="00315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9C02D2C" w14:textId="2EF9A047" w:rsidR="00315404" w:rsidRDefault="00315404" w:rsidP="00FC3809">
            <w:r>
              <w:t xml:space="preserve">LB+MG </w:t>
            </w:r>
            <w:proofErr w:type="gramStart"/>
            <w:r>
              <w:t>Streptomycin  vs</w:t>
            </w:r>
            <w:proofErr w:type="gramEnd"/>
            <w:r>
              <w:t xml:space="preserve">. LB+MG </w:t>
            </w:r>
            <w:proofErr w:type="spellStart"/>
            <w:r>
              <w:t>nalidixic</w:t>
            </w:r>
            <w:proofErr w:type="spellEnd"/>
            <w:r>
              <w:t xml:space="preserve"> acid (survivin</w:t>
            </w:r>
            <w:r w:rsidR="000E2B4D">
              <w:t xml:space="preserve">g </w:t>
            </w:r>
            <w:r>
              <w:t>and extinct pooled)</w:t>
            </w:r>
          </w:p>
        </w:tc>
        <w:tc>
          <w:tcPr>
            <w:tcW w:w="2214" w:type="dxa"/>
          </w:tcPr>
          <w:p w14:paraId="7C91BE62" w14:textId="77777777" w:rsidR="00315404" w:rsidRPr="004B0C88" w:rsidRDefault="00315404" w:rsidP="00FC3809">
            <w:pPr>
              <w:cnfStyle w:val="000000100000" w:firstRow="0" w:lastRow="0" w:firstColumn="0" w:lastColumn="0" w:oddVBand="0" w:evenVBand="0" w:oddHBand="1" w:evenHBand="0" w:firstRowFirstColumn="0" w:firstRowLastColumn="0" w:lastRowFirstColumn="0" w:lastRowLastColumn="0"/>
              <w:rPr>
                <w:b/>
              </w:rPr>
            </w:pPr>
            <w:r w:rsidRPr="004B0C88">
              <w:rPr>
                <w:b/>
              </w:rPr>
              <w:t>31</w:t>
            </w:r>
          </w:p>
        </w:tc>
        <w:tc>
          <w:tcPr>
            <w:tcW w:w="2214" w:type="dxa"/>
          </w:tcPr>
          <w:p w14:paraId="7E41A7CA" w14:textId="77777777" w:rsidR="00315404" w:rsidRPr="004B0C88" w:rsidRDefault="00315404" w:rsidP="00FC3809">
            <w:pPr>
              <w:cnfStyle w:val="000000100000" w:firstRow="0" w:lastRow="0" w:firstColumn="0" w:lastColumn="0" w:oddVBand="0" w:evenVBand="0" w:oddHBand="1" w:evenHBand="0" w:firstRowFirstColumn="0" w:firstRowLastColumn="0" w:lastRowFirstColumn="0" w:lastRowLastColumn="0"/>
              <w:rPr>
                <w:b/>
              </w:rPr>
            </w:pPr>
            <w:r w:rsidRPr="004B0C88">
              <w:rPr>
                <w:b/>
              </w:rPr>
              <w:t>0.41978</w:t>
            </w:r>
          </w:p>
        </w:tc>
        <w:tc>
          <w:tcPr>
            <w:tcW w:w="2214" w:type="dxa"/>
          </w:tcPr>
          <w:p w14:paraId="37CEE9B1" w14:textId="6BD92967" w:rsidR="00315404" w:rsidRPr="004B0C88" w:rsidRDefault="00315404" w:rsidP="00FC3809">
            <w:pPr>
              <w:cnfStyle w:val="000000100000" w:firstRow="0" w:lastRow="0" w:firstColumn="0" w:lastColumn="0" w:oddVBand="0" w:evenVBand="0" w:oddHBand="1" w:evenHBand="0" w:firstRowFirstColumn="0" w:firstRowLastColumn="0" w:lastRowFirstColumn="0" w:lastRowLastColumn="0"/>
              <w:rPr>
                <w:b/>
              </w:rPr>
            </w:pPr>
            <w:r w:rsidRPr="004B0C88">
              <w:rPr>
                <w:b/>
              </w:rPr>
              <w:t>0.02159</w:t>
            </w:r>
            <w:r w:rsidR="004B0C88" w:rsidRPr="004B0C88">
              <w:rPr>
                <w:b/>
              </w:rPr>
              <w:t>*</w:t>
            </w:r>
          </w:p>
        </w:tc>
      </w:tr>
      <w:tr w:rsidR="00315404" w:rsidRPr="00CE35BD" w14:paraId="55619B97" w14:textId="77777777" w:rsidTr="00315404">
        <w:tc>
          <w:tcPr>
            <w:cnfStyle w:val="001000000000" w:firstRow="0" w:lastRow="0" w:firstColumn="1" w:lastColumn="0" w:oddVBand="0" w:evenVBand="0" w:oddHBand="0" w:evenHBand="0" w:firstRowFirstColumn="0" w:firstRowLastColumn="0" w:lastRowFirstColumn="0" w:lastRowLastColumn="0"/>
            <w:tcW w:w="2214" w:type="dxa"/>
          </w:tcPr>
          <w:p w14:paraId="3B8D0294" w14:textId="691491CE" w:rsidR="00315404" w:rsidRPr="00CE35BD" w:rsidRDefault="00315404" w:rsidP="00FC3809">
            <w:pPr>
              <w:rPr>
                <w:b w:val="0"/>
              </w:rPr>
            </w:pPr>
            <w:r>
              <w:t xml:space="preserve">LB+MG </w:t>
            </w:r>
            <w:proofErr w:type="gramStart"/>
            <w:r>
              <w:t xml:space="preserve">Streptomycin </w:t>
            </w:r>
            <w:r w:rsidRPr="00CE35BD">
              <w:t xml:space="preserve"> vs</w:t>
            </w:r>
            <w:proofErr w:type="gramEnd"/>
            <w:r>
              <w:t xml:space="preserve">. LB+MG </w:t>
            </w:r>
            <w:proofErr w:type="spellStart"/>
            <w:r>
              <w:t>nalidixic</w:t>
            </w:r>
            <w:proofErr w:type="spellEnd"/>
            <w:r>
              <w:t xml:space="preserve"> acid mutation rates</w:t>
            </w:r>
            <w:r w:rsidRPr="00CE35BD">
              <w:t xml:space="preserve"> (</w:t>
            </w:r>
            <w:r>
              <w:t xml:space="preserve">pooled </w:t>
            </w:r>
            <w:r w:rsidRPr="00CE35BD">
              <w:t>surviving only)</w:t>
            </w:r>
          </w:p>
        </w:tc>
        <w:tc>
          <w:tcPr>
            <w:tcW w:w="2214" w:type="dxa"/>
          </w:tcPr>
          <w:p w14:paraId="2BA8B5C4" w14:textId="77777777" w:rsidR="00315404" w:rsidRPr="004B0C88" w:rsidRDefault="00315404" w:rsidP="00FC3809">
            <w:pPr>
              <w:cnfStyle w:val="000000000000" w:firstRow="0" w:lastRow="0" w:firstColumn="0" w:lastColumn="0" w:oddVBand="0" w:evenVBand="0" w:oddHBand="0" w:evenHBand="0" w:firstRowFirstColumn="0" w:firstRowLastColumn="0" w:lastRowFirstColumn="0" w:lastRowLastColumn="0"/>
            </w:pPr>
            <w:r w:rsidRPr="004B0C88">
              <w:t>24</w:t>
            </w:r>
          </w:p>
        </w:tc>
        <w:tc>
          <w:tcPr>
            <w:tcW w:w="2214" w:type="dxa"/>
          </w:tcPr>
          <w:p w14:paraId="0251FD6B" w14:textId="77777777" w:rsidR="00315404" w:rsidRPr="004B0C88" w:rsidRDefault="00315404" w:rsidP="00FC3809">
            <w:pPr>
              <w:cnfStyle w:val="000000000000" w:firstRow="0" w:lastRow="0" w:firstColumn="0" w:lastColumn="0" w:oddVBand="0" w:evenVBand="0" w:oddHBand="0" w:evenHBand="0" w:firstRowFirstColumn="0" w:firstRowLastColumn="0" w:lastRowFirstColumn="0" w:lastRowLastColumn="0"/>
            </w:pPr>
            <w:r w:rsidRPr="004B0C88">
              <w:t>0.34571</w:t>
            </w:r>
          </w:p>
        </w:tc>
        <w:tc>
          <w:tcPr>
            <w:tcW w:w="2214" w:type="dxa"/>
          </w:tcPr>
          <w:p w14:paraId="1E73A3DA" w14:textId="77777777" w:rsidR="00315404" w:rsidRPr="004B0C88" w:rsidRDefault="00315404" w:rsidP="00FC3809">
            <w:pPr>
              <w:cnfStyle w:val="000000000000" w:firstRow="0" w:lastRow="0" w:firstColumn="0" w:lastColumn="0" w:oddVBand="0" w:evenVBand="0" w:oddHBand="0" w:evenHBand="0" w:firstRowFirstColumn="0" w:firstRowLastColumn="0" w:lastRowFirstColumn="0" w:lastRowLastColumn="0"/>
            </w:pPr>
            <w:r w:rsidRPr="004B0C88">
              <w:t>0.09799</w:t>
            </w:r>
          </w:p>
        </w:tc>
      </w:tr>
    </w:tbl>
    <w:p w14:paraId="3D3065E7" w14:textId="77777777" w:rsidR="00315404" w:rsidRDefault="00315404" w:rsidP="006652BF">
      <w:pPr>
        <w:rPr>
          <w:b/>
          <w:bCs/>
          <w:color w:val="000000" w:themeColor="text1"/>
        </w:rPr>
      </w:pPr>
    </w:p>
    <w:p w14:paraId="68911E95" w14:textId="77777777" w:rsidR="00FC3809" w:rsidRDefault="00FC3809" w:rsidP="006652BF">
      <w:pPr>
        <w:rPr>
          <w:b/>
          <w:bCs/>
          <w:color w:val="000000" w:themeColor="text1"/>
        </w:rPr>
      </w:pPr>
    </w:p>
    <w:p w14:paraId="5C068625" w14:textId="77777777" w:rsidR="004B0C88" w:rsidRDefault="004B0C88" w:rsidP="006652BF">
      <w:pPr>
        <w:rPr>
          <w:b/>
          <w:bCs/>
          <w:color w:val="000000" w:themeColor="text1"/>
        </w:rPr>
      </w:pPr>
    </w:p>
    <w:p w14:paraId="01552006" w14:textId="77777777" w:rsidR="004B0C88" w:rsidRDefault="004B0C88" w:rsidP="006652BF">
      <w:pPr>
        <w:rPr>
          <w:b/>
          <w:bCs/>
          <w:color w:val="000000" w:themeColor="text1"/>
        </w:rPr>
      </w:pPr>
    </w:p>
    <w:p w14:paraId="496766CB" w14:textId="66AAA8DF" w:rsidR="00011783" w:rsidRDefault="006652BF" w:rsidP="006652BF">
      <w:pPr>
        <w:rPr>
          <w:b/>
          <w:bCs/>
          <w:color w:val="000000" w:themeColor="text1"/>
        </w:rPr>
      </w:pPr>
      <w:r>
        <w:rPr>
          <w:b/>
          <w:bCs/>
          <w:color w:val="000000" w:themeColor="text1"/>
        </w:rPr>
        <w:t>S</w:t>
      </w:r>
      <w:r w:rsidR="00FC3809">
        <w:rPr>
          <w:b/>
          <w:bCs/>
          <w:color w:val="000000" w:themeColor="text1"/>
        </w:rPr>
        <w:t>8</w:t>
      </w:r>
      <w:r>
        <w:rPr>
          <w:b/>
          <w:bCs/>
          <w:color w:val="000000" w:themeColor="text1"/>
        </w:rPr>
        <w:t xml:space="preserve">. Correlation between two independent estimates (FT1 and FT2) of the </w:t>
      </w:r>
      <w:proofErr w:type="spellStart"/>
      <w:r w:rsidR="00D41B63">
        <w:rPr>
          <w:b/>
          <w:bCs/>
          <w:color w:val="000000" w:themeColor="text1"/>
        </w:rPr>
        <w:t>nalidixic</w:t>
      </w:r>
      <w:proofErr w:type="spellEnd"/>
      <w:r w:rsidR="00D41B63">
        <w:rPr>
          <w:b/>
          <w:bCs/>
          <w:color w:val="000000" w:themeColor="text1"/>
        </w:rPr>
        <w:t xml:space="preserve"> acid </w:t>
      </w:r>
      <w:r>
        <w:rPr>
          <w:b/>
          <w:bCs/>
          <w:color w:val="000000" w:themeColor="text1"/>
        </w:rPr>
        <w:t xml:space="preserve">mutation rate, carried out as independent fluctuation assays. </w:t>
      </w:r>
    </w:p>
    <w:p w14:paraId="7322CCB4" w14:textId="1EDF68CB" w:rsidR="006652BF" w:rsidRDefault="006652BF" w:rsidP="006652BF">
      <w:pPr>
        <w:rPr>
          <w:b/>
          <w:bCs/>
          <w:color w:val="000000" w:themeColor="text1"/>
        </w:rPr>
      </w:pPr>
      <w:r w:rsidRPr="000C47AB">
        <w:rPr>
          <w:bCs/>
          <w:color w:val="000000" w:themeColor="text1"/>
        </w:rPr>
        <w:tab/>
      </w:r>
    </w:p>
    <w:tbl>
      <w:tblPr>
        <w:tblStyle w:val="LightShading"/>
        <w:tblW w:w="0" w:type="auto"/>
        <w:tblLook w:val="04A0" w:firstRow="1" w:lastRow="0" w:firstColumn="1" w:lastColumn="0" w:noHBand="0" w:noVBand="1"/>
      </w:tblPr>
      <w:tblGrid>
        <w:gridCol w:w="2214"/>
        <w:gridCol w:w="2214"/>
        <w:gridCol w:w="2214"/>
        <w:gridCol w:w="2214"/>
      </w:tblGrid>
      <w:tr w:rsidR="006652BF" w14:paraId="378FA511" w14:textId="77777777" w:rsidTr="00665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91417D8" w14:textId="77777777" w:rsidR="006652BF" w:rsidRDefault="006652BF">
            <w:r>
              <w:t xml:space="preserve">Population  </w:t>
            </w:r>
          </w:p>
        </w:tc>
        <w:tc>
          <w:tcPr>
            <w:tcW w:w="2214" w:type="dxa"/>
          </w:tcPr>
          <w:p w14:paraId="32E37616" w14:textId="77777777" w:rsidR="006652BF" w:rsidRDefault="006652BF">
            <w:pPr>
              <w:cnfStyle w:val="100000000000" w:firstRow="1" w:lastRow="0" w:firstColumn="0" w:lastColumn="0" w:oddVBand="0" w:evenVBand="0" w:oddHBand="0" w:evenHBand="0" w:firstRowFirstColumn="0" w:firstRowLastColumn="0" w:lastRowFirstColumn="0" w:lastRowLastColumn="0"/>
            </w:pPr>
            <w:r>
              <w:t xml:space="preserve">Comparison </w:t>
            </w:r>
          </w:p>
        </w:tc>
        <w:tc>
          <w:tcPr>
            <w:tcW w:w="2214" w:type="dxa"/>
          </w:tcPr>
          <w:p w14:paraId="5B3601CF" w14:textId="77777777" w:rsidR="006652BF" w:rsidRDefault="006652BF">
            <w:pPr>
              <w:cnfStyle w:val="100000000000" w:firstRow="1" w:lastRow="0" w:firstColumn="0" w:lastColumn="0" w:oddVBand="0" w:evenVBand="0" w:oddHBand="0" w:evenHBand="0" w:firstRowFirstColumn="0" w:firstRowLastColumn="0" w:lastRowFirstColumn="0" w:lastRowLastColumn="0"/>
            </w:pPr>
            <w:proofErr w:type="gramStart"/>
            <w:r>
              <w:t>t</w:t>
            </w:r>
            <w:proofErr w:type="gramEnd"/>
            <w:r>
              <w:t xml:space="preserve">-statistic </w:t>
            </w:r>
          </w:p>
        </w:tc>
        <w:tc>
          <w:tcPr>
            <w:tcW w:w="2214" w:type="dxa"/>
          </w:tcPr>
          <w:p w14:paraId="41F0378B" w14:textId="0240922D" w:rsidR="006652BF" w:rsidRDefault="004B2C4D">
            <w:pPr>
              <w:cnfStyle w:val="100000000000" w:firstRow="1" w:lastRow="0" w:firstColumn="0" w:lastColumn="0" w:oddVBand="0" w:evenVBand="0" w:oddHBand="0" w:evenHBand="0" w:firstRowFirstColumn="0" w:firstRowLastColumn="0" w:lastRowFirstColumn="0" w:lastRowLastColumn="0"/>
            </w:pPr>
            <w:proofErr w:type="gramStart"/>
            <w:r w:rsidRPr="00315404">
              <w:rPr>
                <w:i/>
              </w:rPr>
              <w:t>p</w:t>
            </w:r>
            <w:proofErr w:type="gramEnd"/>
            <w:r>
              <w:t>-</w:t>
            </w:r>
            <w:r w:rsidR="006652BF">
              <w:t xml:space="preserve">value </w:t>
            </w:r>
          </w:p>
        </w:tc>
      </w:tr>
      <w:tr w:rsidR="006652BF" w14:paraId="5AC612BB" w14:textId="77777777" w:rsidTr="00665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CBC414A" w14:textId="77777777" w:rsidR="006652BF" w:rsidRPr="004B0C88" w:rsidRDefault="006652BF">
            <w:r w:rsidRPr="004B0C88">
              <w:t>LB</w:t>
            </w:r>
          </w:p>
        </w:tc>
        <w:tc>
          <w:tcPr>
            <w:tcW w:w="2214" w:type="dxa"/>
          </w:tcPr>
          <w:p w14:paraId="7D216BA0" w14:textId="77777777" w:rsidR="006652BF" w:rsidRPr="004B0C88" w:rsidRDefault="006652BF">
            <w:pPr>
              <w:cnfStyle w:val="000000100000" w:firstRow="0" w:lastRow="0" w:firstColumn="0" w:lastColumn="0" w:oddVBand="0" w:evenVBand="0" w:oddHBand="1" w:evenHBand="0" w:firstRowFirstColumn="0" w:firstRowLastColumn="0" w:lastRowFirstColumn="0" w:lastRowLastColumn="0"/>
              <w:rPr>
                <w:b/>
              </w:rPr>
            </w:pPr>
            <w:r w:rsidRPr="004B0C88">
              <w:rPr>
                <w:b/>
              </w:rPr>
              <w:t xml:space="preserve">Nalidixic Acid </w:t>
            </w:r>
          </w:p>
          <w:p w14:paraId="062ADEBA" w14:textId="626CD9E0" w:rsidR="006652BF" w:rsidRPr="004B0C88" w:rsidRDefault="006652BF">
            <w:pPr>
              <w:cnfStyle w:val="000000100000" w:firstRow="0" w:lastRow="0" w:firstColumn="0" w:lastColumn="0" w:oddVBand="0" w:evenVBand="0" w:oddHBand="1" w:evenHBand="0" w:firstRowFirstColumn="0" w:firstRowLastColumn="0" w:lastRowFirstColumn="0" w:lastRowLastColumn="0"/>
              <w:rPr>
                <w:b/>
              </w:rPr>
            </w:pPr>
            <w:r w:rsidRPr="004B0C88">
              <w:rPr>
                <w:b/>
              </w:rPr>
              <w:t xml:space="preserve">FT1 </w:t>
            </w:r>
            <w:r w:rsidRPr="004B0C88">
              <w:rPr>
                <w:b/>
                <w:i/>
              </w:rPr>
              <w:t>vs</w:t>
            </w:r>
            <w:r w:rsidR="00A11B68" w:rsidRPr="004B0C88">
              <w:rPr>
                <w:b/>
                <w:i/>
              </w:rPr>
              <w:t>.</w:t>
            </w:r>
            <w:r w:rsidRPr="004B0C88">
              <w:rPr>
                <w:b/>
              </w:rPr>
              <w:t xml:space="preserve"> FT2 </w:t>
            </w:r>
          </w:p>
        </w:tc>
        <w:tc>
          <w:tcPr>
            <w:tcW w:w="2214" w:type="dxa"/>
          </w:tcPr>
          <w:p w14:paraId="35AF33F4" w14:textId="77777777" w:rsidR="006652BF" w:rsidRPr="004B0C88" w:rsidRDefault="006652BF">
            <w:pPr>
              <w:cnfStyle w:val="000000100000" w:firstRow="0" w:lastRow="0" w:firstColumn="0" w:lastColumn="0" w:oddVBand="0" w:evenVBand="0" w:oddHBand="1" w:evenHBand="0" w:firstRowFirstColumn="0" w:firstRowLastColumn="0" w:lastRowFirstColumn="0" w:lastRowLastColumn="0"/>
              <w:rPr>
                <w:b/>
              </w:rPr>
            </w:pPr>
            <w:r w:rsidRPr="004B0C88">
              <w:rPr>
                <w:b/>
              </w:rPr>
              <w:t>2.58612</w:t>
            </w:r>
          </w:p>
        </w:tc>
        <w:tc>
          <w:tcPr>
            <w:tcW w:w="2214" w:type="dxa"/>
          </w:tcPr>
          <w:p w14:paraId="1D68DBD4" w14:textId="5AD44554" w:rsidR="006652BF" w:rsidRPr="004B0C88" w:rsidRDefault="006652BF">
            <w:pPr>
              <w:cnfStyle w:val="000000100000" w:firstRow="0" w:lastRow="0" w:firstColumn="0" w:lastColumn="0" w:oddVBand="0" w:evenVBand="0" w:oddHBand="1" w:evenHBand="0" w:firstRowFirstColumn="0" w:firstRowLastColumn="0" w:lastRowFirstColumn="0" w:lastRowLastColumn="0"/>
              <w:rPr>
                <w:b/>
              </w:rPr>
            </w:pPr>
            <w:r w:rsidRPr="004B0C88">
              <w:rPr>
                <w:b/>
              </w:rPr>
              <w:t>0.02259</w:t>
            </w:r>
            <w:r w:rsidR="00870E04" w:rsidRPr="004B0C88">
              <w:rPr>
                <w:b/>
              </w:rPr>
              <w:t>*</w:t>
            </w:r>
          </w:p>
        </w:tc>
      </w:tr>
      <w:tr w:rsidR="006652BF" w14:paraId="4B7174D0" w14:textId="77777777" w:rsidTr="006652BF">
        <w:tc>
          <w:tcPr>
            <w:cnfStyle w:val="001000000000" w:firstRow="0" w:lastRow="0" w:firstColumn="1" w:lastColumn="0" w:oddVBand="0" w:evenVBand="0" w:oddHBand="0" w:evenHBand="0" w:firstRowFirstColumn="0" w:firstRowLastColumn="0" w:lastRowFirstColumn="0" w:lastRowLastColumn="0"/>
            <w:tcW w:w="2214" w:type="dxa"/>
          </w:tcPr>
          <w:p w14:paraId="7BC96B0B" w14:textId="77777777" w:rsidR="006652BF" w:rsidRPr="004B0C88" w:rsidRDefault="006652BF">
            <w:r w:rsidRPr="004B0C88">
              <w:t xml:space="preserve">MG </w:t>
            </w:r>
          </w:p>
        </w:tc>
        <w:tc>
          <w:tcPr>
            <w:tcW w:w="2214" w:type="dxa"/>
          </w:tcPr>
          <w:p w14:paraId="791C8066" w14:textId="77777777" w:rsidR="006652BF" w:rsidRPr="004B0C88" w:rsidRDefault="006652BF" w:rsidP="006652BF">
            <w:pPr>
              <w:cnfStyle w:val="000000000000" w:firstRow="0" w:lastRow="0" w:firstColumn="0" w:lastColumn="0" w:oddVBand="0" w:evenVBand="0" w:oddHBand="0" w:evenHBand="0" w:firstRowFirstColumn="0" w:firstRowLastColumn="0" w:lastRowFirstColumn="0" w:lastRowLastColumn="0"/>
              <w:rPr>
                <w:b/>
              </w:rPr>
            </w:pPr>
            <w:r w:rsidRPr="004B0C88">
              <w:rPr>
                <w:b/>
              </w:rPr>
              <w:t xml:space="preserve">Nalidixic Acid </w:t>
            </w:r>
          </w:p>
          <w:p w14:paraId="5576CF8D" w14:textId="04EF4E3B" w:rsidR="006652BF" w:rsidRPr="004B0C88" w:rsidRDefault="006652BF" w:rsidP="006652BF">
            <w:pPr>
              <w:cnfStyle w:val="000000000000" w:firstRow="0" w:lastRow="0" w:firstColumn="0" w:lastColumn="0" w:oddVBand="0" w:evenVBand="0" w:oddHBand="0" w:evenHBand="0" w:firstRowFirstColumn="0" w:firstRowLastColumn="0" w:lastRowFirstColumn="0" w:lastRowLastColumn="0"/>
              <w:rPr>
                <w:b/>
              </w:rPr>
            </w:pPr>
            <w:r w:rsidRPr="004B0C88">
              <w:rPr>
                <w:b/>
              </w:rPr>
              <w:t xml:space="preserve">FT1 </w:t>
            </w:r>
            <w:r w:rsidRPr="004B0C88">
              <w:rPr>
                <w:b/>
                <w:i/>
              </w:rPr>
              <w:t>vs</w:t>
            </w:r>
            <w:r w:rsidR="00A11B68" w:rsidRPr="004B0C88">
              <w:rPr>
                <w:b/>
                <w:i/>
              </w:rPr>
              <w:t>.</w:t>
            </w:r>
            <w:r w:rsidRPr="004B0C88">
              <w:rPr>
                <w:b/>
              </w:rPr>
              <w:t xml:space="preserve"> FT2</w:t>
            </w:r>
          </w:p>
        </w:tc>
        <w:tc>
          <w:tcPr>
            <w:tcW w:w="2214" w:type="dxa"/>
          </w:tcPr>
          <w:p w14:paraId="4A052FDC" w14:textId="77777777" w:rsidR="006652BF" w:rsidRPr="004B0C88" w:rsidRDefault="006652BF">
            <w:pPr>
              <w:cnfStyle w:val="000000000000" w:firstRow="0" w:lastRow="0" w:firstColumn="0" w:lastColumn="0" w:oddVBand="0" w:evenVBand="0" w:oddHBand="0" w:evenHBand="0" w:firstRowFirstColumn="0" w:firstRowLastColumn="0" w:lastRowFirstColumn="0" w:lastRowLastColumn="0"/>
              <w:rPr>
                <w:b/>
              </w:rPr>
            </w:pPr>
            <w:r w:rsidRPr="004B0C88">
              <w:rPr>
                <w:b/>
              </w:rPr>
              <w:t>2.58411</w:t>
            </w:r>
          </w:p>
        </w:tc>
        <w:tc>
          <w:tcPr>
            <w:tcW w:w="2214" w:type="dxa"/>
          </w:tcPr>
          <w:p w14:paraId="4409EA61" w14:textId="1C748AB9" w:rsidR="006652BF" w:rsidRPr="004B0C88" w:rsidRDefault="006652BF">
            <w:pPr>
              <w:cnfStyle w:val="000000000000" w:firstRow="0" w:lastRow="0" w:firstColumn="0" w:lastColumn="0" w:oddVBand="0" w:evenVBand="0" w:oddHBand="0" w:evenHBand="0" w:firstRowFirstColumn="0" w:firstRowLastColumn="0" w:lastRowFirstColumn="0" w:lastRowLastColumn="0"/>
              <w:rPr>
                <w:b/>
              </w:rPr>
            </w:pPr>
            <w:r w:rsidRPr="004B0C88">
              <w:rPr>
                <w:b/>
              </w:rPr>
              <w:t>0.03625</w:t>
            </w:r>
            <w:r w:rsidR="00870E04" w:rsidRPr="004B0C88">
              <w:rPr>
                <w:b/>
              </w:rPr>
              <w:t>*</w:t>
            </w:r>
          </w:p>
        </w:tc>
      </w:tr>
    </w:tbl>
    <w:p w14:paraId="1340781C" w14:textId="77777777" w:rsidR="00C53353" w:rsidRDefault="00C53353"/>
    <w:p w14:paraId="7FC09485" w14:textId="77777777" w:rsidR="00315404" w:rsidRDefault="00315404"/>
    <w:p w14:paraId="5690FCD6" w14:textId="3C1D7204" w:rsidR="00C53353" w:rsidRDefault="005B4A6A">
      <w:pPr>
        <w:rPr>
          <w:b/>
        </w:rPr>
      </w:pPr>
      <w:r w:rsidRPr="00214957">
        <w:rPr>
          <w:b/>
        </w:rPr>
        <w:t>S</w:t>
      </w:r>
      <w:r w:rsidR="00FC3809">
        <w:rPr>
          <w:b/>
        </w:rPr>
        <w:t>9</w:t>
      </w:r>
      <w:r w:rsidRPr="00214957">
        <w:rPr>
          <w:b/>
        </w:rPr>
        <w:t>. Correlation between fitness proxies (</w:t>
      </w:r>
      <w:r w:rsidR="008A4CE0">
        <w:rPr>
          <w:b/>
        </w:rPr>
        <w:t>CFU, m</w:t>
      </w:r>
      <w:r w:rsidRPr="00214957">
        <w:rPr>
          <w:b/>
        </w:rPr>
        <w:t xml:space="preserve">aximum growth rate and final density) and mutation rates to </w:t>
      </w:r>
      <w:proofErr w:type="spellStart"/>
      <w:r w:rsidRPr="00214957">
        <w:rPr>
          <w:b/>
        </w:rPr>
        <w:t>nalidixic</w:t>
      </w:r>
      <w:proofErr w:type="spellEnd"/>
      <w:r w:rsidRPr="00214957">
        <w:rPr>
          <w:b/>
        </w:rPr>
        <w:t xml:space="preserve"> acid and streptomycin resistance for both LB and MG populations. </w:t>
      </w:r>
    </w:p>
    <w:p w14:paraId="05379334" w14:textId="77777777" w:rsidR="00011783" w:rsidRDefault="00011783">
      <w:pPr>
        <w:rPr>
          <w:b/>
        </w:rPr>
      </w:pPr>
    </w:p>
    <w:tbl>
      <w:tblPr>
        <w:tblStyle w:val="LightShading"/>
        <w:tblW w:w="0" w:type="auto"/>
        <w:tblLook w:val="04A0" w:firstRow="1" w:lastRow="0" w:firstColumn="1" w:lastColumn="0" w:noHBand="0" w:noVBand="1"/>
      </w:tblPr>
      <w:tblGrid>
        <w:gridCol w:w="2173"/>
        <w:gridCol w:w="1740"/>
        <w:gridCol w:w="1307"/>
      </w:tblGrid>
      <w:tr w:rsidR="00011783" w:rsidRPr="00011783" w14:paraId="4005EFF4" w14:textId="77777777" w:rsidTr="0001178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73" w:type="dxa"/>
            <w:hideMark/>
          </w:tcPr>
          <w:p w14:paraId="34FCB0D7" w14:textId="77777777" w:rsidR="00011783" w:rsidRPr="00011783" w:rsidRDefault="00011783">
            <w:r w:rsidRPr="00011783">
              <w:t xml:space="preserve">Comparison </w:t>
            </w:r>
          </w:p>
        </w:tc>
        <w:tc>
          <w:tcPr>
            <w:tcW w:w="1740" w:type="dxa"/>
            <w:noWrap/>
            <w:hideMark/>
          </w:tcPr>
          <w:p w14:paraId="5D18F6EE" w14:textId="33793414" w:rsidR="00011783" w:rsidRPr="00011783" w:rsidRDefault="00011783">
            <w:pPr>
              <w:cnfStyle w:val="100000000000" w:firstRow="1" w:lastRow="0" w:firstColumn="0" w:lastColumn="0" w:oddVBand="0" w:evenVBand="0" w:oddHBand="0" w:evenHBand="0" w:firstRowFirstColumn="0" w:firstRowLastColumn="0" w:lastRowFirstColumn="0" w:lastRowLastColumn="0"/>
            </w:pPr>
            <w:r>
              <w:t xml:space="preserve">Pearson </w:t>
            </w:r>
            <w:r w:rsidRPr="00011783">
              <w:t xml:space="preserve">Correlation </w:t>
            </w:r>
          </w:p>
        </w:tc>
        <w:tc>
          <w:tcPr>
            <w:tcW w:w="1307" w:type="dxa"/>
            <w:noWrap/>
            <w:hideMark/>
          </w:tcPr>
          <w:p w14:paraId="21C5E599" w14:textId="4BCFA007" w:rsidR="00011783" w:rsidRPr="00011783" w:rsidRDefault="00011783">
            <w:pPr>
              <w:cnfStyle w:val="100000000000" w:firstRow="1" w:lastRow="0" w:firstColumn="0" w:lastColumn="0" w:oddVBand="0" w:evenVBand="0" w:oddHBand="0" w:evenHBand="0" w:firstRowFirstColumn="0" w:firstRowLastColumn="0" w:lastRowFirstColumn="0" w:lastRowLastColumn="0"/>
            </w:pPr>
            <w:proofErr w:type="gramStart"/>
            <w:r w:rsidRPr="00315404">
              <w:rPr>
                <w:i/>
              </w:rPr>
              <w:t>p</w:t>
            </w:r>
            <w:proofErr w:type="gramEnd"/>
            <w:r w:rsidRPr="00315404">
              <w:rPr>
                <w:i/>
              </w:rPr>
              <w:t>-</w:t>
            </w:r>
            <w:r w:rsidRPr="00011783">
              <w:t xml:space="preserve">value </w:t>
            </w:r>
          </w:p>
        </w:tc>
      </w:tr>
      <w:tr w:rsidR="00011783" w:rsidRPr="004B0C88" w14:paraId="42A8822C" w14:textId="77777777" w:rsidTr="0001178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3ED34785" w14:textId="05C4D682" w:rsidR="00011783" w:rsidRPr="004B0C88" w:rsidRDefault="00011783">
            <w:r w:rsidRPr="004B0C88">
              <w:t>LB 24h CFU vs</w:t>
            </w:r>
            <w:r w:rsidR="00A11B68" w:rsidRPr="004B0C88">
              <w:t>.</w:t>
            </w:r>
            <w:r w:rsidRPr="004B0C88">
              <w:t xml:space="preserve"> </w:t>
            </w:r>
            <w:proofErr w:type="spellStart"/>
            <w:r w:rsidRPr="004B0C88">
              <w:t>nalidixic</w:t>
            </w:r>
            <w:proofErr w:type="spellEnd"/>
            <w:r w:rsidRPr="004B0C88">
              <w:t xml:space="preserve"> acid mutation rates </w:t>
            </w:r>
          </w:p>
        </w:tc>
        <w:tc>
          <w:tcPr>
            <w:tcW w:w="1740" w:type="dxa"/>
            <w:noWrap/>
            <w:hideMark/>
          </w:tcPr>
          <w:p w14:paraId="4A6B9807" w14:textId="41AE7DA9" w:rsidR="00011783" w:rsidRPr="004B0C88" w:rsidRDefault="00A11B68" w:rsidP="00011783">
            <w:pPr>
              <w:cnfStyle w:val="000000100000" w:firstRow="0" w:lastRow="0" w:firstColumn="0" w:lastColumn="0" w:oddVBand="0" w:evenVBand="0" w:oddHBand="1" w:evenHBand="0" w:firstRowFirstColumn="0" w:firstRowLastColumn="0" w:lastRowFirstColumn="0" w:lastRowLastColumn="0"/>
              <w:rPr>
                <w:b/>
              </w:rPr>
            </w:pPr>
            <w:r w:rsidRPr="004B0C88">
              <w:rPr>
                <w:b/>
              </w:rPr>
              <w:t>-</w:t>
            </w:r>
            <w:r w:rsidR="00011783" w:rsidRPr="004B0C88">
              <w:rPr>
                <w:b/>
              </w:rPr>
              <w:t>0.5073742</w:t>
            </w:r>
            <w:r w:rsidRPr="004B0C88">
              <w:rPr>
                <w:b/>
              </w:rPr>
              <w:t>2</w:t>
            </w:r>
          </w:p>
        </w:tc>
        <w:tc>
          <w:tcPr>
            <w:tcW w:w="1307" w:type="dxa"/>
            <w:noWrap/>
            <w:hideMark/>
          </w:tcPr>
          <w:p w14:paraId="1CB40ECD" w14:textId="05163E38" w:rsidR="00011783" w:rsidRPr="004B0C88" w:rsidRDefault="00011783" w:rsidP="00011783">
            <w:pPr>
              <w:cnfStyle w:val="000000100000" w:firstRow="0" w:lastRow="0" w:firstColumn="0" w:lastColumn="0" w:oddVBand="0" w:evenVBand="0" w:oddHBand="1" w:evenHBand="0" w:firstRowFirstColumn="0" w:firstRowLastColumn="0" w:lastRowFirstColumn="0" w:lastRowLastColumn="0"/>
              <w:rPr>
                <w:b/>
              </w:rPr>
            </w:pPr>
            <w:r w:rsidRPr="004B0C88">
              <w:rPr>
                <w:b/>
              </w:rPr>
              <w:t>0.0448</w:t>
            </w:r>
            <w:r w:rsidR="004B0C88">
              <w:rPr>
                <w:b/>
              </w:rPr>
              <w:t>*</w:t>
            </w:r>
          </w:p>
        </w:tc>
      </w:tr>
      <w:tr w:rsidR="00FC3809" w:rsidRPr="004B0C88" w14:paraId="5002E5FC" w14:textId="77777777" w:rsidTr="00011783">
        <w:trPr>
          <w:trHeight w:val="900"/>
        </w:trPr>
        <w:tc>
          <w:tcPr>
            <w:cnfStyle w:val="001000000000" w:firstRow="0" w:lastRow="0" w:firstColumn="1" w:lastColumn="0" w:oddVBand="0" w:evenVBand="0" w:oddHBand="0" w:evenHBand="0" w:firstRowFirstColumn="0" w:firstRowLastColumn="0" w:lastRowFirstColumn="0" w:lastRowLastColumn="0"/>
            <w:tcW w:w="2173" w:type="dxa"/>
          </w:tcPr>
          <w:p w14:paraId="16DABBD6" w14:textId="35FF3A00" w:rsidR="00FC3809" w:rsidRPr="004B0C88" w:rsidRDefault="00FC3809">
            <w:pPr>
              <w:rPr>
                <w:b w:val="0"/>
              </w:rPr>
            </w:pPr>
            <w:r w:rsidRPr="004B0C88">
              <w:rPr>
                <w:b w:val="0"/>
              </w:rPr>
              <w:t>LB 24h CFU vs. streptomycin mutation rates</w:t>
            </w:r>
          </w:p>
        </w:tc>
        <w:tc>
          <w:tcPr>
            <w:tcW w:w="1740" w:type="dxa"/>
            <w:noWrap/>
          </w:tcPr>
          <w:p w14:paraId="46D6ADFC" w14:textId="3C0A6B55" w:rsidR="00FC3809" w:rsidRPr="004B0C88" w:rsidRDefault="00FC3809" w:rsidP="00FC3809">
            <w:pPr>
              <w:cnfStyle w:val="000000000000" w:firstRow="0" w:lastRow="0" w:firstColumn="0" w:lastColumn="0" w:oddVBand="0" w:evenVBand="0" w:oddHBand="0" w:evenHBand="0" w:firstRowFirstColumn="0" w:firstRowLastColumn="0" w:lastRowFirstColumn="0" w:lastRowLastColumn="0"/>
            </w:pPr>
            <w:r w:rsidRPr="004B0C88">
              <w:t>-0.42887419</w:t>
            </w:r>
          </w:p>
          <w:p w14:paraId="6064BA49" w14:textId="77777777" w:rsidR="00FC3809" w:rsidRPr="004B0C88" w:rsidRDefault="00FC3809" w:rsidP="00011783">
            <w:pPr>
              <w:cnfStyle w:val="000000000000" w:firstRow="0" w:lastRow="0" w:firstColumn="0" w:lastColumn="0" w:oddVBand="0" w:evenVBand="0" w:oddHBand="0" w:evenHBand="0" w:firstRowFirstColumn="0" w:firstRowLastColumn="0" w:lastRowFirstColumn="0" w:lastRowLastColumn="0"/>
            </w:pPr>
          </w:p>
        </w:tc>
        <w:tc>
          <w:tcPr>
            <w:tcW w:w="1307" w:type="dxa"/>
            <w:noWrap/>
          </w:tcPr>
          <w:p w14:paraId="134B6F8B" w14:textId="1129BE9C" w:rsidR="00FC3809"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0.11068</w:t>
            </w:r>
          </w:p>
        </w:tc>
      </w:tr>
      <w:tr w:rsidR="00011783" w:rsidRPr="004B0C88" w14:paraId="6BF1B130" w14:textId="77777777" w:rsidTr="0001178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5596B88F" w14:textId="5F2F5EB0" w:rsidR="00FC3809" w:rsidRPr="004B0C88" w:rsidRDefault="00011783">
            <w:pPr>
              <w:rPr>
                <w:b w:val="0"/>
              </w:rPr>
            </w:pPr>
            <w:r w:rsidRPr="004B0C88">
              <w:rPr>
                <w:b w:val="0"/>
              </w:rPr>
              <w:t>MG 24h CFU vs</w:t>
            </w:r>
            <w:r w:rsidR="00A11B68" w:rsidRPr="004B0C88">
              <w:rPr>
                <w:b w:val="0"/>
              </w:rPr>
              <w:t>.</w:t>
            </w:r>
            <w:r w:rsidRPr="004B0C88">
              <w:rPr>
                <w:b w:val="0"/>
              </w:rPr>
              <w:t xml:space="preserve"> </w:t>
            </w:r>
            <w:proofErr w:type="spellStart"/>
            <w:r w:rsidRPr="004B0C88">
              <w:rPr>
                <w:b w:val="0"/>
              </w:rPr>
              <w:t>nalidixic</w:t>
            </w:r>
            <w:proofErr w:type="spellEnd"/>
            <w:r w:rsidRPr="004B0C88">
              <w:rPr>
                <w:b w:val="0"/>
              </w:rPr>
              <w:t xml:space="preserve"> acid mutation rates </w:t>
            </w:r>
          </w:p>
        </w:tc>
        <w:tc>
          <w:tcPr>
            <w:tcW w:w="1740" w:type="dxa"/>
            <w:noWrap/>
            <w:hideMark/>
          </w:tcPr>
          <w:p w14:paraId="19FC0909" w14:textId="77777777" w:rsidR="001D544A" w:rsidRPr="004B0C88" w:rsidRDefault="001D544A" w:rsidP="001D544A">
            <w:pPr>
              <w:cnfStyle w:val="000000100000" w:firstRow="0" w:lastRow="0" w:firstColumn="0" w:lastColumn="0" w:oddVBand="0" w:evenVBand="0" w:oddHBand="1" w:evenHBand="0" w:firstRowFirstColumn="0" w:firstRowLastColumn="0" w:lastRowFirstColumn="0" w:lastRowLastColumn="0"/>
            </w:pPr>
            <w:r w:rsidRPr="004B0C88">
              <w:t>0.049469179</w:t>
            </w:r>
          </w:p>
          <w:p w14:paraId="12333958" w14:textId="50ABD8B9" w:rsidR="00011783" w:rsidRPr="004B0C88" w:rsidRDefault="00011783" w:rsidP="00011783">
            <w:pPr>
              <w:cnfStyle w:val="000000100000" w:firstRow="0" w:lastRow="0" w:firstColumn="0" w:lastColumn="0" w:oddVBand="0" w:evenVBand="0" w:oddHBand="1" w:evenHBand="0" w:firstRowFirstColumn="0" w:firstRowLastColumn="0" w:lastRowFirstColumn="0" w:lastRowLastColumn="0"/>
            </w:pPr>
          </w:p>
        </w:tc>
        <w:tc>
          <w:tcPr>
            <w:tcW w:w="1307" w:type="dxa"/>
            <w:noWrap/>
            <w:hideMark/>
          </w:tcPr>
          <w:p w14:paraId="522B8DF4" w14:textId="6BA5FFCE" w:rsidR="00011783" w:rsidRPr="004B0C88" w:rsidRDefault="001D544A" w:rsidP="00011783">
            <w:pPr>
              <w:cnfStyle w:val="000000100000" w:firstRow="0" w:lastRow="0" w:firstColumn="0" w:lastColumn="0" w:oddVBand="0" w:evenVBand="0" w:oddHBand="1" w:evenHBand="0" w:firstRowFirstColumn="0" w:firstRowLastColumn="0" w:lastRowFirstColumn="0" w:lastRowLastColumn="0"/>
            </w:pPr>
            <w:r w:rsidRPr="004B0C88">
              <w:t>0.89943</w:t>
            </w:r>
          </w:p>
        </w:tc>
      </w:tr>
      <w:tr w:rsidR="001D544A" w:rsidRPr="004B0C88" w14:paraId="09FC7AC9" w14:textId="77777777" w:rsidTr="00011783">
        <w:trPr>
          <w:trHeight w:val="900"/>
        </w:trPr>
        <w:tc>
          <w:tcPr>
            <w:cnfStyle w:val="001000000000" w:firstRow="0" w:lastRow="0" w:firstColumn="1" w:lastColumn="0" w:oddVBand="0" w:evenVBand="0" w:oddHBand="0" w:evenHBand="0" w:firstRowFirstColumn="0" w:firstRowLastColumn="0" w:lastRowFirstColumn="0" w:lastRowLastColumn="0"/>
            <w:tcW w:w="2173" w:type="dxa"/>
          </w:tcPr>
          <w:p w14:paraId="64D9D3E9" w14:textId="44133771" w:rsidR="001D544A" w:rsidRPr="004B0C88" w:rsidRDefault="001D544A" w:rsidP="001D544A">
            <w:pPr>
              <w:rPr>
                <w:b w:val="0"/>
              </w:rPr>
            </w:pPr>
            <w:r w:rsidRPr="004B0C88">
              <w:rPr>
                <w:b w:val="0"/>
              </w:rPr>
              <w:t xml:space="preserve">MG 24h CFU vs. </w:t>
            </w:r>
            <w:r w:rsidR="004B0C88" w:rsidRPr="004B0C88">
              <w:rPr>
                <w:b w:val="0"/>
              </w:rPr>
              <w:t>streptomycin mutation</w:t>
            </w:r>
            <w:r w:rsidRPr="004B0C88">
              <w:rPr>
                <w:b w:val="0"/>
              </w:rPr>
              <w:t xml:space="preserve"> rates </w:t>
            </w:r>
          </w:p>
        </w:tc>
        <w:tc>
          <w:tcPr>
            <w:tcW w:w="1740" w:type="dxa"/>
            <w:noWrap/>
          </w:tcPr>
          <w:p w14:paraId="13A390CD" w14:textId="68FF70B7"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-0.39073021</w:t>
            </w:r>
          </w:p>
        </w:tc>
        <w:tc>
          <w:tcPr>
            <w:tcW w:w="1307" w:type="dxa"/>
            <w:noWrap/>
          </w:tcPr>
          <w:p w14:paraId="04F6C552" w14:textId="2A940FF2"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0.29845</w:t>
            </w:r>
          </w:p>
        </w:tc>
      </w:tr>
      <w:tr w:rsidR="001D544A" w:rsidRPr="004B0C88" w14:paraId="5981A188" w14:textId="77777777" w:rsidTr="0001178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32277FB1" w14:textId="77777777" w:rsidR="001D544A" w:rsidRPr="004B0C88" w:rsidRDefault="001D544A">
            <w:pPr>
              <w:rPr>
                <w:b w:val="0"/>
              </w:rPr>
            </w:pPr>
            <w:r w:rsidRPr="004B0C88">
              <w:rPr>
                <w:b w:val="0"/>
              </w:rPr>
              <w:t xml:space="preserve">LB final density </w:t>
            </w:r>
            <w:proofErr w:type="spellStart"/>
            <w:r w:rsidRPr="004B0C88">
              <w:rPr>
                <w:b w:val="0"/>
              </w:rPr>
              <w:t>vs</w:t>
            </w:r>
            <w:proofErr w:type="spellEnd"/>
            <w:r w:rsidRPr="004B0C88">
              <w:rPr>
                <w:b w:val="0"/>
              </w:rPr>
              <w:t xml:space="preserve"> </w:t>
            </w:r>
            <w:proofErr w:type="spellStart"/>
            <w:r w:rsidRPr="004B0C88">
              <w:rPr>
                <w:b w:val="0"/>
              </w:rPr>
              <w:t>Naliixic</w:t>
            </w:r>
            <w:proofErr w:type="spellEnd"/>
            <w:r w:rsidRPr="004B0C88">
              <w:rPr>
                <w:b w:val="0"/>
              </w:rPr>
              <w:t xml:space="preserve"> Acid Mutation rates </w:t>
            </w:r>
          </w:p>
        </w:tc>
        <w:tc>
          <w:tcPr>
            <w:tcW w:w="1740" w:type="dxa"/>
            <w:noWrap/>
            <w:hideMark/>
          </w:tcPr>
          <w:p w14:paraId="305A6984" w14:textId="5A53706E" w:rsidR="001D544A" w:rsidRPr="004B0C88" w:rsidRDefault="001D544A" w:rsidP="00011783">
            <w:pPr>
              <w:cnfStyle w:val="000000100000" w:firstRow="0" w:lastRow="0" w:firstColumn="0" w:lastColumn="0" w:oddVBand="0" w:evenVBand="0" w:oddHBand="1" w:evenHBand="0" w:firstRowFirstColumn="0" w:firstRowLastColumn="0" w:lastRowFirstColumn="0" w:lastRowLastColumn="0"/>
            </w:pPr>
            <w:r w:rsidRPr="004B0C88">
              <w:t>-0.19087508</w:t>
            </w:r>
          </w:p>
        </w:tc>
        <w:tc>
          <w:tcPr>
            <w:tcW w:w="1307" w:type="dxa"/>
            <w:noWrap/>
            <w:hideMark/>
          </w:tcPr>
          <w:p w14:paraId="178EB9FB" w14:textId="77777777" w:rsidR="001D544A" w:rsidRPr="004B0C88" w:rsidRDefault="001D544A" w:rsidP="00011783">
            <w:pPr>
              <w:cnfStyle w:val="000000100000" w:firstRow="0" w:lastRow="0" w:firstColumn="0" w:lastColumn="0" w:oddVBand="0" w:evenVBand="0" w:oddHBand="1" w:evenHBand="0" w:firstRowFirstColumn="0" w:firstRowLastColumn="0" w:lastRowFirstColumn="0" w:lastRowLastColumn="0"/>
            </w:pPr>
            <w:r w:rsidRPr="004B0C88">
              <w:t>0.47887</w:t>
            </w:r>
          </w:p>
        </w:tc>
      </w:tr>
      <w:tr w:rsidR="001D544A" w:rsidRPr="004B0C88" w14:paraId="533261F0" w14:textId="77777777" w:rsidTr="00011783">
        <w:trPr>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5D1EC5F5" w14:textId="12BC8421" w:rsidR="001D544A" w:rsidRPr="004B0C88" w:rsidRDefault="001D544A">
            <w:pPr>
              <w:rPr>
                <w:b w:val="0"/>
              </w:rPr>
            </w:pPr>
            <w:r w:rsidRPr="004B0C88">
              <w:rPr>
                <w:b w:val="0"/>
              </w:rPr>
              <w:t xml:space="preserve">LB final </w:t>
            </w:r>
            <w:proofErr w:type="gramStart"/>
            <w:r w:rsidRPr="004B0C88">
              <w:rPr>
                <w:b w:val="0"/>
              </w:rPr>
              <w:t>density  vs</w:t>
            </w:r>
            <w:proofErr w:type="gramEnd"/>
            <w:r w:rsidRPr="004B0C88">
              <w:rPr>
                <w:b w:val="0"/>
              </w:rPr>
              <w:t xml:space="preserve">. Streptomycin Mutation rates </w:t>
            </w:r>
          </w:p>
        </w:tc>
        <w:tc>
          <w:tcPr>
            <w:tcW w:w="1740" w:type="dxa"/>
            <w:noWrap/>
            <w:hideMark/>
          </w:tcPr>
          <w:p w14:paraId="009D22E5" w14:textId="4E0D09B2"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-0.23044433</w:t>
            </w:r>
          </w:p>
        </w:tc>
        <w:tc>
          <w:tcPr>
            <w:tcW w:w="1307" w:type="dxa"/>
            <w:noWrap/>
            <w:hideMark/>
          </w:tcPr>
          <w:p w14:paraId="27506B55" w14:textId="77777777"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0.39053</w:t>
            </w:r>
          </w:p>
        </w:tc>
      </w:tr>
      <w:tr w:rsidR="001D544A" w:rsidRPr="004B0C88" w14:paraId="5A243AAE" w14:textId="77777777" w:rsidTr="0001178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4EE41329" w14:textId="5E17A6F1" w:rsidR="001D544A" w:rsidRPr="004B0C88" w:rsidRDefault="001D544A">
            <w:pPr>
              <w:rPr>
                <w:b w:val="0"/>
              </w:rPr>
            </w:pPr>
            <w:r w:rsidRPr="004B0C88">
              <w:rPr>
                <w:b w:val="0"/>
              </w:rPr>
              <w:t xml:space="preserve">LB Max growth rate vs. </w:t>
            </w:r>
            <w:proofErr w:type="spellStart"/>
            <w:r w:rsidRPr="004B0C88">
              <w:rPr>
                <w:b w:val="0"/>
              </w:rPr>
              <w:t>Nalidixc</w:t>
            </w:r>
            <w:proofErr w:type="spellEnd"/>
            <w:r w:rsidRPr="004B0C88">
              <w:rPr>
                <w:b w:val="0"/>
              </w:rPr>
              <w:t xml:space="preserve"> acid Mutation rates </w:t>
            </w:r>
          </w:p>
        </w:tc>
        <w:tc>
          <w:tcPr>
            <w:tcW w:w="1740" w:type="dxa"/>
            <w:noWrap/>
            <w:hideMark/>
          </w:tcPr>
          <w:p w14:paraId="1EBFDB52" w14:textId="6539D46B" w:rsidR="001D544A" w:rsidRPr="004B0C88" w:rsidRDefault="001D544A" w:rsidP="00011783">
            <w:pPr>
              <w:cnfStyle w:val="000000100000" w:firstRow="0" w:lastRow="0" w:firstColumn="0" w:lastColumn="0" w:oddVBand="0" w:evenVBand="0" w:oddHBand="1" w:evenHBand="0" w:firstRowFirstColumn="0" w:firstRowLastColumn="0" w:lastRowFirstColumn="0" w:lastRowLastColumn="0"/>
            </w:pPr>
            <w:r w:rsidRPr="004B0C88">
              <w:t>-0.21955290</w:t>
            </w:r>
          </w:p>
        </w:tc>
        <w:tc>
          <w:tcPr>
            <w:tcW w:w="1307" w:type="dxa"/>
            <w:noWrap/>
            <w:hideMark/>
          </w:tcPr>
          <w:p w14:paraId="414DA0F2" w14:textId="77777777" w:rsidR="001D544A" w:rsidRPr="004B0C88" w:rsidRDefault="001D544A" w:rsidP="00011783">
            <w:pPr>
              <w:cnfStyle w:val="000000100000" w:firstRow="0" w:lastRow="0" w:firstColumn="0" w:lastColumn="0" w:oddVBand="0" w:evenVBand="0" w:oddHBand="1" w:evenHBand="0" w:firstRowFirstColumn="0" w:firstRowLastColumn="0" w:lastRowFirstColumn="0" w:lastRowLastColumn="0"/>
            </w:pPr>
            <w:r w:rsidRPr="004B0C88">
              <w:t>0.38138</w:t>
            </w:r>
          </w:p>
        </w:tc>
      </w:tr>
      <w:tr w:rsidR="001D544A" w:rsidRPr="004B0C88" w14:paraId="6DA0E222" w14:textId="77777777" w:rsidTr="00011783">
        <w:trPr>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3AEC0C17" w14:textId="5EB6C766" w:rsidR="001D544A" w:rsidRPr="004B0C88" w:rsidRDefault="001D544A">
            <w:pPr>
              <w:rPr>
                <w:b w:val="0"/>
              </w:rPr>
            </w:pPr>
            <w:r w:rsidRPr="004B0C88">
              <w:rPr>
                <w:b w:val="0"/>
              </w:rPr>
              <w:t xml:space="preserve">LB Max growth rate vs. Streptomycin Mutation rates </w:t>
            </w:r>
          </w:p>
        </w:tc>
        <w:tc>
          <w:tcPr>
            <w:tcW w:w="1740" w:type="dxa"/>
            <w:noWrap/>
            <w:hideMark/>
          </w:tcPr>
          <w:p w14:paraId="0C9890E5" w14:textId="77777777"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0.027627757</w:t>
            </w:r>
          </w:p>
        </w:tc>
        <w:tc>
          <w:tcPr>
            <w:tcW w:w="1307" w:type="dxa"/>
            <w:noWrap/>
            <w:hideMark/>
          </w:tcPr>
          <w:p w14:paraId="53FB600E" w14:textId="77777777"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0.9191</w:t>
            </w:r>
          </w:p>
        </w:tc>
      </w:tr>
      <w:tr w:rsidR="001D544A" w:rsidRPr="004B0C88" w14:paraId="116F0EFC" w14:textId="77777777" w:rsidTr="0001178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50102584" w14:textId="08F3D32A" w:rsidR="001D544A" w:rsidRPr="004B0C88" w:rsidRDefault="001D544A">
            <w:pPr>
              <w:rPr>
                <w:b w:val="0"/>
              </w:rPr>
            </w:pPr>
            <w:r w:rsidRPr="004B0C88">
              <w:rPr>
                <w:b w:val="0"/>
              </w:rPr>
              <w:t xml:space="preserve">MG final </w:t>
            </w:r>
            <w:proofErr w:type="gramStart"/>
            <w:r w:rsidRPr="004B0C88">
              <w:rPr>
                <w:b w:val="0"/>
              </w:rPr>
              <w:t>density  vs</w:t>
            </w:r>
            <w:proofErr w:type="gramEnd"/>
            <w:r w:rsidRPr="004B0C88">
              <w:rPr>
                <w:b w:val="0"/>
              </w:rPr>
              <w:t xml:space="preserve">. </w:t>
            </w:r>
            <w:proofErr w:type="spellStart"/>
            <w:r w:rsidRPr="004B0C88">
              <w:rPr>
                <w:b w:val="0"/>
              </w:rPr>
              <w:t>Nalidixic</w:t>
            </w:r>
            <w:proofErr w:type="spellEnd"/>
            <w:r w:rsidRPr="004B0C88">
              <w:rPr>
                <w:b w:val="0"/>
              </w:rPr>
              <w:t xml:space="preserve"> Acid Mutation rates</w:t>
            </w:r>
          </w:p>
        </w:tc>
        <w:tc>
          <w:tcPr>
            <w:tcW w:w="1740" w:type="dxa"/>
            <w:noWrap/>
            <w:hideMark/>
          </w:tcPr>
          <w:p w14:paraId="167C19D7" w14:textId="77777777" w:rsidR="001D544A" w:rsidRPr="004B0C88" w:rsidRDefault="001D544A" w:rsidP="00011783">
            <w:pPr>
              <w:cnfStyle w:val="000000100000" w:firstRow="0" w:lastRow="0" w:firstColumn="0" w:lastColumn="0" w:oddVBand="0" w:evenVBand="0" w:oddHBand="1" w:evenHBand="0" w:firstRowFirstColumn="0" w:firstRowLastColumn="0" w:lastRowFirstColumn="0" w:lastRowLastColumn="0"/>
            </w:pPr>
            <w:r w:rsidRPr="004B0C88">
              <w:t>0.554872889</w:t>
            </w:r>
          </w:p>
        </w:tc>
        <w:tc>
          <w:tcPr>
            <w:tcW w:w="1307" w:type="dxa"/>
            <w:noWrap/>
            <w:hideMark/>
          </w:tcPr>
          <w:p w14:paraId="31F7FB43" w14:textId="77777777" w:rsidR="001D544A" w:rsidRPr="004B0C88" w:rsidRDefault="001D544A" w:rsidP="00011783">
            <w:pPr>
              <w:cnfStyle w:val="000000100000" w:firstRow="0" w:lastRow="0" w:firstColumn="0" w:lastColumn="0" w:oddVBand="0" w:evenVBand="0" w:oddHBand="1" w:evenHBand="0" w:firstRowFirstColumn="0" w:firstRowLastColumn="0" w:lastRowFirstColumn="0" w:lastRowLastColumn="0"/>
            </w:pPr>
            <w:r w:rsidRPr="004B0C88">
              <w:t>0.12098</w:t>
            </w:r>
          </w:p>
        </w:tc>
      </w:tr>
      <w:tr w:rsidR="001D544A" w:rsidRPr="004B0C88" w14:paraId="664E3C75" w14:textId="77777777" w:rsidTr="00011783">
        <w:trPr>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6C9EA49F" w14:textId="302E2BBC" w:rsidR="001D544A" w:rsidRPr="004B0C88" w:rsidRDefault="001D544A">
            <w:pPr>
              <w:rPr>
                <w:b w:val="0"/>
              </w:rPr>
            </w:pPr>
            <w:r w:rsidRPr="004B0C88">
              <w:rPr>
                <w:b w:val="0"/>
              </w:rPr>
              <w:t xml:space="preserve">MG final </w:t>
            </w:r>
            <w:r w:rsidR="00061ADD" w:rsidRPr="004B0C88">
              <w:rPr>
                <w:b w:val="0"/>
              </w:rPr>
              <w:t>density</w:t>
            </w:r>
            <w:r w:rsidRPr="004B0C88">
              <w:rPr>
                <w:b w:val="0"/>
              </w:rPr>
              <w:t xml:space="preserve"> vs. Streptomycin Mutation rates </w:t>
            </w:r>
          </w:p>
        </w:tc>
        <w:tc>
          <w:tcPr>
            <w:tcW w:w="1740" w:type="dxa"/>
            <w:noWrap/>
            <w:hideMark/>
          </w:tcPr>
          <w:p w14:paraId="1D1E681E" w14:textId="77777777"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0.269735398</w:t>
            </w:r>
          </w:p>
        </w:tc>
        <w:tc>
          <w:tcPr>
            <w:tcW w:w="1307" w:type="dxa"/>
            <w:noWrap/>
            <w:hideMark/>
          </w:tcPr>
          <w:p w14:paraId="328D0038" w14:textId="77777777"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0.48274</w:t>
            </w:r>
          </w:p>
        </w:tc>
      </w:tr>
      <w:tr w:rsidR="001D544A" w:rsidRPr="004B0C88" w14:paraId="4E26A295" w14:textId="77777777" w:rsidTr="0001178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627245B8" w14:textId="4C6C50A1" w:rsidR="001D544A" w:rsidRPr="004B0C88" w:rsidRDefault="001D544A">
            <w:pPr>
              <w:rPr>
                <w:b w:val="0"/>
              </w:rPr>
            </w:pPr>
            <w:r w:rsidRPr="004B0C88">
              <w:rPr>
                <w:b w:val="0"/>
              </w:rPr>
              <w:t xml:space="preserve">MG max growth rate vs. </w:t>
            </w:r>
            <w:proofErr w:type="spellStart"/>
            <w:r w:rsidRPr="004B0C88">
              <w:rPr>
                <w:b w:val="0"/>
              </w:rPr>
              <w:t>Nalidixic</w:t>
            </w:r>
            <w:proofErr w:type="spellEnd"/>
            <w:r w:rsidRPr="004B0C88">
              <w:rPr>
                <w:b w:val="0"/>
              </w:rPr>
              <w:t xml:space="preserve"> acid Mutation rates </w:t>
            </w:r>
          </w:p>
        </w:tc>
        <w:tc>
          <w:tcPr>
            <w:tcW w:w="1740" w:type="dxa"/>
            <w:noWrap/>
            <w:hideMark/>
          </w:tcPr>
          <w:p w14:paraId="54E98F4A" w14:textId="77777777" w:rsidR="001D544A" w:rsidRPr="004B0C88" w:rsidRDefault="001D544A" w:rsidP="00011783">
            <w:pPr>
              <w:cnfStyle w:val="000000100000" w:firstRow="0" w:lastRow="0" w:firstColumn="0" w:lastColumn="0" w:oddVBand="0" w:evenVBand="0" w:oddHBand="1" w:evenHBand="0" w:firstRowFirstColumn="0" w:firstRowLastColumn="0" w:lastRowFirstColumn="0" w:lastRowLastColumn="0"/>
            </w:pPr>
            <w:r w:rsidRPr="004B0C88">
              <w:t>0.085034075</w:t>
            </w:r>
          </w:p>
        </w:tc>
        <w:tc>
          <w:tcPr>
            <w:tcW w:w="1307" w:type="dxa"/>
            <w:noWrap/>
            <w:hideMark/>
          </w:tcPr>
          <w:p w14:paraId="1F2AF5DB" w14:textId="77777777" w:rsidR="001D544A" w:rsidRPr="004B0C88" w:rsidRDefault="001D544A" w:rsidP="00011783">
            <w:pPr>
              <w:cnfStyle w:val="000000100000" w:firstRow="0" w:lastRow="0" w:firstColumn="0" w:lastColumn="0" w:oddVBand="0" w:evenVBand="0" w:oddHBand="1" w:evenHBand="0" w:firstRowFirstColumn="0" w:firstRowLastColumn="0" w:lastRowFirstColumn="0" w:lastRowLastColumn="0"/>
            </w:pPr>
            <w:r w:rsidRPr="004B0C88">
              <w:t>0.82781</w:t>
            </w:r>
          </w:p>
        </w:tc>
      </w:tr>
      <w:tr w:rsidR="001D544A" w:rsidRPr="004B0C88" w14:paraId="68B5E2B5" w14:textId="77777777" w:rsidTr="00011783">
        <w:trPr>
          <w:trHeight w:val="900"/>
        </w:trPr>
        <w:tc>
          <w:tcPr>
            <w:cnfStyle w:val="001000000000" w:firstRow="0" w:lastRow="0" w:firstColumn="1" w:lastColumn="0" w:oddVBand="0" w:evenVBand="0" w:oddHBand="0" w:evenHBand="0" w:firstRowFirstColumn="0" w:firstRowLastColumn="0" w:lastRowFirstColumn="0" w:lastRowLastColumn="0"/>
            <w:tcW w:w="2173" w:type="dxa"/>
            <w:hideMark/>
          </w:tcPr>
          <w:p w14:paraId="3B3807AB" w14:textId="3AA3B50B" w:rsidR="001D544A" w:rsidRPr="004B0C88" w:rsidRDefault="001D544A">
            <w:pPr>
              <w:rPr>
                <w:b w:val="0"/>
              </w:rPr>
            </w:pPr>
            <w:r w:rsidRPr="004B0C88">
              <w:rPr>
                <w:b w:val="0"/>
              </w:rPr>
              <w:t xml:space="preserve">MG max growth rate vs. Streptomycin Mutation rates </w:t>
            </w:r>
          </w:p>
        </w:tc>
        <w:tc>
          <w:tcPr>
            <w:tcW w:w="1740" w:type="dxa"/>
            <w:noWrap/>
            <w:hideMark/>
          </w:tcPr>
          <w:p w14:paraId="6F8B0748" w14:textId="4A75779F"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-0.32968347</w:t>
            </w:r>
          </w:p>
        </w:tc>
        <w:tc>
          <w:tcPr>
            <w:tcW w:w="1307" w:type="dxa"/>
            <w:noWrap/>
            <w:hideMark/>
          </w:tcPr>
          <w:p w14:paraId="43A33F08" w14:textId="77777777" w:rsidR="001D544A" w:rsidRPr="004B0C88" w:rsidRDefault="001D544A" w:rsidP="00011783">
            <w:pPr>
              <w:cnfStyle w:val="000000000000" w:firstRow="0" w:lastRow="0" w:firstColumn="0" w:lastColumn="0" w:oddVBand="0" w:evenVBand="0" w:oddHBand="0" w:evenHBand="0" w:firstRowFirstColumn="0" w:firstRowLastColumn="0" w:lastRowFirstColumn="0" w:lastRowLastColumn="0"/>
            </w:pPr>
            <w:r w:rsidRPr="004B0C88">
              <w:t>0.38627</w:t>
            </w:r>
          </w:p>
        </w:tc>
      </w:tr>
    </w:tbl>
    <w:p w14:paraId="77229025" w14:textId="77777777" w:rsidR="00A11B68" w:rsidRDefault="00A11B68" w:rsidP="005B4A6A"/>
    <w:p w14:paraId="2CDADDD4" w14:textId="77777777" w:rsidR="00011783" w:rsidRDefault="00011783"/>
    <w:p w14:paraId="20CA7023" w14:textId="7696F624" w:rsidR="00C53353" w:rsidRDefault="00C53353" w:rsidP="00C53353">
      <w:pPr>
        <w:rPr>
          <w:b/>
        </w:rPr>
      </w:pPr>
      <w:r>
        <w:rPr>
          <w:b/>
        </w:rPr>
        <w:t>S</w:t>
      </w:r>
      <w:r w:rsidR="00FC3809">
        <w:rPr>
          <w:b/>
        </w:rPr>
        <w:t>10</w:t>
      </w:r>
      <w:r w:rsidRPr="00214957">
        <w:rPr>
          <w:b/>
        </w:rPr>
        <w:t xml:space="preserve">. </w:t>
      </w:r>
      <w:proofErr w:type="gramStart"/>
      <w:r>
        <w:rPr>
          <w:b/>
        </w:rPr>
        <w:t xml:space="preserve">Regression of variance over time </w:t>
      </w:r>
      <w:r w:rsidRPr="001D544A">
        <w:rPr>
          <w:b/>
          <w:i/>
        </w:rPr>
        <w:t>vs</w:t>
      </w:r>
      <w:r>
        <w:rPr>
          <w:b/>
        </w:rPr>
        <w:t>. time, for all two fitness proxies (maximum growth rate and final density) for both the LB and MG populations.</w:t>
      </w:r>
      <w:proofErr w:type="gramEnd"/>
    </w:p>
    <w:p w14:paraId="75194728" w14:textId="77777777" w:rsidR="00C53353" w:rsidRPr="00C53353" w:rsidRDefault="00C53353" w:rsidP="00C53353">
      <w:pPr>
        <w:rPr>
          <w:b/>
        </w:rPr>
      </w:pPr>
    </w:p>
    <w:tbl>
      <w:tblPr>
        <w:tblStyle w:val="LightShading"/>
        <w:tblW w:w="0" w:type="auto"/>
        <w:tblLook w:val="04A0" w:firstRow="1" w:lastRow="0" w:firstColumn="1" w:lastColumn="0" w:noHBand="0" w:noVBand="1"/>
      </w:tblPr>
      <w:tblGrid>
        <w:gridCol w:w="3240"/>
        <w:gridCol w:w="1300"/>
        <w:gridCol w:w="1300"/>
      </w:tblGrid>
      <w:tr w:rsidR="00C53353" w:rsidRPr="00C53353" w14:paraId="039D3EC7" w14:textId="77777777" w:rsidTr="00C533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F7456EF" w14:textId="6E1F1B4C" w:rsidR="00C53353" w:rsidRPr="00C53353" w:rsidRDefault="00C777A6">
            <w:r>
              <w:t>Variance in Fitness</w:t>
            </w:r>
          </w:p>
        </w:tc>
        <w:tc>
          <w:tcPr>
            <w:tcW w:w="1300" w:type="dxa"/>
            <w:noWrap/>
            <w:hideMark/>
          </w:tcPr>
          <w:p w14:paraId="4D37CB97" w14:textId="316E06C4" w:rsidR="00C53353" w:rsidRPr="00C53353" w:rsidRDefault="00C53353">
            <w:pPr>
              <w:cnfStyle w:val="100000000000" w:firstRow="1" w:lastRow="0" w:firstColumn="0" w:lastColumn="0" w:oddVBand="0" w:evenVBand="0" w:oddHBand="0" w:evenHBand="0" w:firstRowFirstColumn="0" w:firstRowLastColumn="0" w:lastRowFirstColumn="0" w:lastRowLastColumn="0"/>
            </w:pPr>
            <w:r w:rsidRPr="00C53353">
              <w:t>R</w:t>
            </w:r>
            <w:r w:rsidR="00A03AFB">
              <w:rPr>
                <w:vertAlign w:val="superscript"/>
              </w:rPr>
              <w:t>2</w:t>
            </w:r>
          </w:p>
        </w:tc>
        <w:tc>
          <w:tcPr>
            <w:tcW w:w="1300" w:type="dxa"/>
            <w:noWrap/>
            <w:hideMark/>
          </w:tcPr>
          <w:p w14:paraId="708A459B" w14:textId="65065DE6" w:rsidR="00C53353" w:rsidRPr="00C53353" w:rsidRDefault="00C53353">
            <w:pPr>
              <w:cnfStyle w:val="100000000000" w:firstRow="1" w:lastRow="0" w:firstColumn="0" w:lastColumn="0" w:oddVBand="0" w:evenVBand="0" w:oddHBand="0" w:evenHBand="0" w:firstRowFirstColumn="0" w:firstRowLastColumn="0" w:lastRowFirstColumn="0" w:lastRowLastColumn="0"/>
            </w:pPr>
            <w:proofErr w:type="gramStart"/>
            <w:r w:rsidRPr="00011783">
              <w:rPr>
                <w:i/>
              </w:rPr>
              <w:t>p</w:t>
            </w:r>
            <w:proofErr w:type="gramEnd"/>
            <w:r w:rsidR="00A03AFB">
              <w:t>-</w:t>
            </w:r>
            <w:r w:rsidRPr="00C53353">
              <w:t xml:space="preserve">value </w:t>
            </w:r>
          </w:p>
        </w:tc>
      </w:tr>
      <w:tr w:rsidR="00C53353" w:rsidRPr="00C53353" w14:paraId="737DF531" w14:textId="77777777" w:rsidTr="00C533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27E0852" w14:textId="77777777" w:rsidR="00C53353" w:rsidRPr="00C53353" w:rsidRDefault="00C53353">
            <w:r w:rsidRPr="00C53353">
              <w:t xml:space="preserve">LB max growth rate </w:t>
            </w:r>
          </w:p>
        </w:tc>
        <w:tc>
          <w:tcPr>
            <w:tcW w:w="1300" w:type="dxa"/>
            <w:noWrap/>
            <w:hideMark/>
          </w:tcPr>
          <w:p w14:paraId="78121C2F" w14:textId="77777777" w:rsidR="00C53353" w:rsidRPr="00C53353" w:rsidRDefault="00C53353" w:rsidP="00C53353">
            <w:pPr>
              <w:cnfStyle w:val="000000100000" w:firstRow="0" w:lastRow="0" w:firstColumn="0" w:lastColumn="0" w:oddVBand="0" w:evenVBand="0" w:oddHBand="1" w:evenHBand="0" w:firstRowFirstColumn="0" w:firstRowLastColumn="0" w:lastRowFirstColumn="0" w:lastRowLastColumn="0"/>
            </w:pPr>
            <w:r w:rsidRPr="00C53353">
              <w:t>0.00073</w:t>
            </w:r>
          </w:p>
        </w:tc>
        <w:tc>
          <w:tcPr>
            <w:tcW w:w="1300" w:type="dxa"/>
            <w:noWrap/>
            <w:hideMark/>
          </w:tcPr>
          <w:p w14:paraId="69D03494" w14:textId="77777777" w:rsidR="00C53353" w:rsidRPr="00C53353" w:rsidRDefault="00C53353" w:rsidP="00C53353">
            <w:pPr>
              <w:cnfStyle w:val="000000100000" w:firstRow="0" w:lastRow="0" w:firstColumn="0" w:lastColumn="0" w:oddVBand="0" w:evenVBand="0" w:oddHBand="1" w:evenHBand="0" w:firstRowFirstColumn="0" w:firstRowLastColumn="0" w:lastRowFirstColumn="0" w:lastRowLastColumn="0"/>
            </w:pPr>
            <w:r w:rsidRPr="00C53353">
              <w:t>0.9596</w:t>
            </w:r>
          </w:p>
        </w:tc>
      </w:tr>
      <w:tr w:rsidR="00C53353" w:rsidRPr="00C53353" w14:paraId="09C58868" w14:textId="77777777" w:rsidTr="00C53353">
        <w:trPr>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2345A6D" w14:textId="77777777" w:rsidR="00C53353" w:rsidRPr="00C53353" w:rsidRDefault="00C53353">
            <w:r w:rsidRPr="00C53353">
              <w:t xml:space="preserve">LB final density </w:t>
            </w:r>
          </w:p>
        </w:tc>
        <w:tc>
          <w:tcPr>
            <w:tcW w:w="1300" w:type="dxa"/>
            <w:noWrap/>
            <w:hideMark/>
          </w:tcPr>
          <w:p w14:paraId="6D7DEABA" w14:textId="77777777" w:rsidR="00C53353" w:rsidRPr="00C53353" w:rsidRDefault="00C53353" w:rsidP="00C53353">
            <w:pPr>
              <w:cnfStyle w:val="000000000000" w:firstRow="0" w:lastRow="0" w:firstColumn="0" w:lastColumn="0" w:oddVBand="0" w:evenVBand="0" w:oddHBand="0" w:evenHBand="0" w:firstRowFirstColumn="0" w:firstRowLastColumn="0" w:lastRowFirstColumn="0" w:lastRowLastColumn="0"/>
            </w:pPr>
            <w:r w:rsidRPr="00C53353">
              <w:t>0.00949</w:t>
            </w:r>
          </w:p>
        </w:tc>
        <w:tc>
          <w:tcPr>
            <w:tcW w:w="1300" w:type="dxa"/>
            <w:noWrap/>
            <w:hideMark/>
          </w:tcPr>
          <w:p w14:paraId="12A2C753" w14:textId="77777777" w:rsidR="00C53353" w:rsidRPr="00C53353" w:rsidRDefault="00C53353" w:rsidP="00C53353">
            <w:pPr>
              <w:cnfStyle w:val="000000000000" w:firstRow="0" w:lastRow="0" w:firstColumn="0" w:lastColumn="0" w:oddVBand="0" w:evenVBand="0" w:oddHBand="0" w:evenHBand="0" w:firstRowFirstColumn="0" w:firstRowLastColumn="0" w:lastRowFirstColumn="0" w:lastRowLastColumn="0"/>
            </w:pPr>
            <w:r w:rsidRPr="00C53353">
              <w:t>0.85434</w:t>
            </w:r>
          </w:p>
        </w:tc>
      </w:tr>
      <w:tr w:rsidR="00C53353" w:rsidRPr="00C53353" w14:paraId="2ECAADF2" w14:textId="77777777" w:rsidTr="00C533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A0EBBAB" w14:textId="77777777" w:rsidR="00C53353" w:rsidRPr="00C53353" w:rsidRDefault="00C53353">
            <w:r w:rsidRPr="00C53353">
              <w:t xml:space="preserve">MG max </w:t>
            </w:r>
            <w:proofErr w:type="spellStart"/>
            <w:r w:rsidRPr="00C53353">
              <w:t>grrowth</w:t>
            </w:r>
            <w:proofErr w:type="spellEnd"/>
            <w:r w:rsidRPr="00C53353">
              <w:t xml:space="preserve"> rate </w:t>
            </w:r>
          </w:p>
        </w:tc>
        <w:tc>
          <w:tcPr>
            <w:tcW w:w="1300" w:type="dxa"/>
            <w:noWrap/>
            <w:hideMark/>
          </w:tcPr>
          <w:p w14:paraId="224290AD" w14:textId="77777777" w:rsidR="00C53353" w:rsidRPr="00C53353" w:rsidRDefault="00C53353" w:rsidP="00C53353">
            <w:pPr>
              <w:cnfStyle w:val="000000100000" w:firstRow="0" w:lastRow="0" w:firstColumn="0" w:lastColumn="0" w:oddVBand="0" w:evenVBand="0" w:oddHBand="1" w:evenHBand="0" w:firstRowFirstColumn="0" w:firstRowLastColumn="0" w:lastRowFirstColumn="0" w:lastRowLastColumn="0"/>
            </w:pPr>
            <w:r w:rsidRPr="00C53353">
              <w:t>0.09889</w:t>
            </w:r>
          </w:p>
        </w:tc>
        <w:tc>
          <w:tcPr>
            <w:tcW w:w="1300" w:type="dxa"/>
            <w:noWrap/>
            <w:hideMark/>
          </w:tcPr>
          <w:p w14:paraId="6EB4F292" w14:textId="77777777" w:rsidR="00C53353" w:rsidRPr="00C53353" w:rsidRDefault="00C53353" w:rsidP="00C53353">
            <w:pPr>
              <w:cnfStyle w:val="000000100000" w:firstRow="0" w:lastRow="0" w:firstColumn="0" w:lastColumn="0" w:oddVBand="0" w:evenVBand="0" w:oddHBand="1" w:evenHBand="0" w:firstRowFirstColumn="0" w:firstRowLastColumn="0" w:lastRowFirstColumn="0" w:lastRowLastColumn="0"/>
            </w:pPr>
            <w:r w:rsidRPr="00C53353">
              <w:t>0.54385</w:t>
            </w:r>
          </w:p>
        </w:tc>
      </w:tr>
      <w:tr w:rsidR="00C53353" w:rsidRPr="00C53353" w14:paraId="22C13D0A" w14:textId="77777777" w:rsidTr="00C53353">
        <w:trPr>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07FEDC3" w14:textId="77777777" w:rsidR="00C53353" w:rsidRPr="00C53353" w:rsidRDefault="00C53353">
            <w:r w:rsidRPr="00C53353">
              <w:t xml:space="preserve">MG final density </w:t>
            </w:r>
          </w:p>
        </w:tc>
        <w:tc>
          <w:tcPr>
            <w:tcW w:w="1300" w:type="dxa"/>
            <w:noWrap/>
            <w:hideMark/>
          </w:tcPr>
          <w:p w14:paraId="36D12B4E" w14:textId="77777777" w:rsidR="00C53353" w:rsidRPr="00C53353" w:rsidRDefault="00C53353" w:rsidP="00C53353">
            <w:pPr>
              <w:cnfStyle w:val="000000000000" w:firstRow="0" w:lastRow="0" w:firstColumn="0" w:lastColumn="0" w:oddVBand="0" w:evenVBand="0" w:oddHBand="0" w:evenHBand="0" w:firstRowFirstColumn="0" w:firstRowLastColumn="0" w:lastRowFirstColumn="0" w:lastRowLastColumn="0"/>
            </w:pPr>
            <w:r w:rsidRPr="00C53353">
              <w:t>0.47517</w:t>
            </w:r>
          </w:p>
        </w:tc>
        <w:tc>
          <w:tcPr>
            <w:tcW w:w="1300" w:type="dxa"/>
            <w:noWrap/>
            <w:hideMark/>
          </w:tcPr>
          <w:p w14:paraId="11772488" w14:textId="77777777" w:rsidR="00C53353" w:rsidRPr="00C53353" w:rsidRDefault="00C53353" w:rsidP="00C53353">
            <w:pPr>
              <w:cnfStyle w:val="000000000000" w:firstRow="0" w:lastRow="0" w:firstColumn="0" w:lastColumn="0" w:oddVBand="0" w:evenVBand="0" w:oddHBand="0" w:evenHBand="0" w:firstRowFirstColumn="0" w:firstRowLastColumn="0" w:lastRowFirstColumn="0" w:lastRowLastColumn="0"/>
            </w:pPr>
            <w:r w:rsidRPr="00C53353">
              <w:t>0.12978</w:t>
            </w:r>
          </w:p>
        </w:tc>
      </w:tr>
    </w:tbl>
    <w:p w14:paraId="2D89996D" w14:textId="77777777" w:rsidR="004B2C4D" w:rsidRDefault="004B2C4D"/>
    <w:p w14:paraId="72356606" w14:textId="77777777" w:rsidR="00EB2711" w:rsidRDefault="00EB2711">
      <w:pPr>
        <w:rPr>
          <w:b/>
          <w:i/>
        </w:rPr>
      </w:pPr>
    </w:p>
    <w:p w14:paraId="79B9793E" w14:textId="1F257F49" w:rsidR="00A11B68" w:rsidRPr="004B0C88" w:rsidRDefault="00321FAA">
      <w:pPr>
        <w:rPr>
          <w:b/>
          <w:i/>
        </w:rPr>
      </w:pPr>
      <w:r w:rsidRPr="004B0C88">
        <w:rPr>
          <w:b/>
          <w:i/>
        </w:rPr>
        <w:t xml:space="preserve">References </w:t>
      </w:r>
    </w:p>
    <w:p w14:paraId="023DFD27" w14:textId="77777777" w:rsidR="00321FAA" w:rsidRDefault="00321FAA"/>
    <w:p w14:paraId="33D39887" w14:textId="156AC652" w:rsidR="00321FAA" w:rsidRPr="00321FAA" w:rsidRDefault="00321FAA" w:rsidP="00321FAA">
      <w:pPr>
        <w:widowControl w:val="0"/>
        <w:autoSpaceDE w:val="0"/>
        <w:autoSpaceDN w:val="0"/>
        <w:adjustRightInd w:val="0"/>
        <w:ind w:left="640" w:hanging="640"/>
        <w:rPr>
          <w:rFonts w:ascii="Cambria" w:hAnsi="Cambria"/>
          <w:noProof/>
        </w:rPr>
      </w:pPr>
      <w:r>
        <w:fldChar w:fldCharType="begin" w:fldLock="1"/>
      </w:r>
      <w:r>
        <w:instrText xml:space="preserve">ADDIN Mendeley Bibliography CSL_BIBLIOGRAPHY </w:instrText>
      </w:r>
      <w:r>
        <w:fldChar w:fldCharType="separate"/>
      </w:r>
      <w:r w:rsidRPr="00321FAA">
        <w:rPr>
          <w:rFonts w:ascii="Cambria" w:hAnsi="Cambria"/>
          <w:noProof/>
        </w:rPr>
        <w:t xml:space="preserve">1. </w:t>
      </w:r>
      <w:r w:rsidRPr="00321FAA">
        <w:rPr>
          <w:rFonts w:ascii="Cambria" w:hAnsi="Cambria"/>
          <w:noProof/>
        </w:rPr>
        <w:tab/>
        <w:t xml:space="preserve">Luria SE, Delbrück M. Mutations of Bacteria from Virus Sensitivity to Virus Resistance. Genetics. 1943;28(6):491–511. </w:t>
      </w:r>
    </w:p>
    <w:p w14:paraId="578F44DD" w14:textId="77777777" w:rsidR="00321FAA" w:rsidRPr="00321FAA" w:rsidRDefault="00321FAA" w:rsidP="00321FAA">
      <w:pPr>
        <w:widowControl w:val="0"/>
        <w:autoSpaceDE w:val="0"/>
        <w:autoSpaceDN w:val="0"/>
        <w:adjustRightInd w:val="0"/>
        <w:ind w:left="640" w:hanging="640"/>
        <w:rPr>
          <w:rFonts w:ascii="Cambria" w:hAnsi="Cambria"/>
          <w:noProof/>
        </w:rPr>
      </w:pPr>
      <w:r w:rsidRPr="00321FAA">
        <w:rPr>
          <w:rFonts w:ascii="Cambria" w:hAnsi="Cambria"/>
          <w:noProof/>
        </w:rPr>
        <w:t xml:space="preserve">2. </w:t>
      </w:r>
      <w:r w:rsidRPr="00321FAA">
        <w:rPr>
          <w:rFonts w:ascii="Cambria" w:hAnsi="Cambria"/>
          <w:noProof/>
        </w:rPr>
        <w:tab/>
        <w:t xml:space="preserve">Gerrish P. A simple formula for obtaining markedly improved mutation rate estimates. Genetics. 2008;180(3):1773–8. </w:t>
      </w:r>
    </w:p>
    <w:p w14:paraId="2E51B99D" w14:textId="77777777" w:rsidR="00321FAA" w:rsidRPr="00321FAA" w:rsidRDefault="00321FAA" w:rsidP="00321FAA">
      <w:pPr>
        <w:widowControl w:val="0"/>
        <w:autoSpaceDE w:val="0"/>
        <w:autoSpaceDN w:val="0"/>
        <w:adjustRightInd w:val="0"/>
        <w:ind w:left="640" w:hanging="640"/>
        <w:rPr>
          <w:rFonts w:ascii="Cambria" w:hAnsi="Cambria"/>
          <w:noProof/>
        </w:rPr>
      </w:pPr>
      <w:r w:rsidRPr="00321FAA">
        <w:rPr>
          <w:rFonts w:ascii="Cambria" w:hAnsi="Cambria"/>
          <w:noProof/>
        </w:rPr>
        <w:t xml:space="preserve">3. </w:t>
      </w:r>
      <w:r w:rsidRPr="00321FAA">
        <w:rPr>
          <w:rFonts w:ascii="Cambria" w:hAnsi="Cambria"/>
          <w:noProof/>
        </w:rPr>
        <w:tab/>
        <w:t xml:space="preserve">Gentile CF, Yu S-C, Serrano SA, Gerrish PJ, Sniegowski PD. Competition between high- and higher-mutating strains of Escherichia coli. Biol Lett. 2011;7(3):422–4. </w:t>
      </w:r>
    </w:p>
    <w:p w14:paraId="7C90DD3F" w14:textId="02FA1229" w:rsidR="00321FAA" w:rsidRDefault="00321FAA">
      <w:r>
        <w:fldChar w:fldCharType="end"/>
      </w:r>
    </w:p>
    <w:sectPr w:rsidR="00321FAA" w:rsidSect="00FB793A">
      <w:headerReference w:type="defaul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EC211" w15:done="0"/>
  <w15:commentEx w15:paraId="15A7C63E" w15:done="0"/>
  <w15:commentEx w15:paraId="606CF79D" w15:done="0"/>
  <w15:commentEx w15:paraId="4F6419A0" w15:done="0"/>
  <w15:commentEx w15:paraId="4E37F5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EE887" w14:textId="77777777" w:rsidR="00B96597" w:rsidRDefault="00B96597" w:rsidP="00E35461">
      <w:r>
        <w:separator/>
      </w:r>
    </w:p>
  </w:endnote>
  <w:endnote w:type="continuationSeparator" w:id="0">
    <w:p w14:paraId="053B44A5" w14:textId="77777777" w:rsidR="00B96597" w:rsidRDefault="00B96597" w:rsidP="00E3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7935A" w14:textId="77777777" w:rsidR="00B96597" w:rsidRDefault="00B96597" w:rsidP="00E35461">
      <w:r>
        <w:separator/>
      </w:r>
    </w:p>
  </w:footnote>
  <w:footnote w:type="continuationSeparator" w:id="0">
    <w:p w14:paraId="4E6DF35A" w14:textId="77777777" w:rsidR="00B96597" w:rsidRDefault="00B96597" w:rsidP="00E354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ABF2" w14:textId="177AF8F0" w:rsidR="00B96597" w:rsidRPr="00E35461" w:rsidRDefault="00B96597" w:rsidP="00E35461">
    <w:pPr>
      <w:rPr>
        <w:rFonts w:ascii="Calibri" w:eastAsia="Calibri" w:hAnsi="Calibri" w:cs="Times New Roman"/>
        <w:b/>
        <w:bCs/>
        <w:i/>
      </w:rPr>
    </w:pPr>
    <w:r w:rsidRPr="00E35461">
      <w:rPr>
        <w:rFonts w:ascii="Calibri" w:eastAsia="Calibri" w:hAnsi="Calibri" w:cs="Times New Roman"/>
        <w:b/>
        <w:bCs/>
        <w:i/>
      </w:rPr>
      <w:t xml:space="preserve">Evolution of mutation rates in </w:t>
    </w:r>
    <w:proofErr w:type="spellStart"/>
    <w:r w:rsidRPr="00E35461">
      <w:rPr>
        <w:rFonts w:ascii="Calibri" w:eastAsia="Calibri" w:hAnsi="Calibri" w:cs="Times New Roman"/>
        <w:b/>
        <w:bCs/>
        <w:i/>
      </w:rPr>
      <w:t>hypermutable</w:t>
    </w:r>
    <w:proofErr w:type="spellEnd"/>
    <w:r w:rsidRPr="00E35461">
      <w:rPr>
        <w:rFonts w:ascii="Calibri" w:eastAsia="Calibri" w:hAnsi="Calibri" w:cs="Times New Roman"/>
        <w:b/>
        <w:bCs/>
        <w:i/>
      </w:rPr>
      <w:t xml:space="preserve"> populations of </w:t>
    </w:r>
    <w:r w:rsidRPr="00E35461">
      <w:rPr>
        <w:rFonts w:ascii="Calibri" w:eastAsia="Calibri" w:hAnsi="Calibri" w:cs="Times New Roman"/>
        <w:b/>
        <w:bCs/>
        <w:i/>
        <w:iCs/>
      </w:rPr>
      <w:t>Escherichia coli</w:t>
    </w:r>
    <w:r w:rsidRPr="00E35461">
      <w:rPr>
        <w:rFonts w:ascii="Calibri" w:eastAsia="Calibri" w:hAnsi="Calibri" w:cs="Times New Roman"/>
        <w:b/>
        <w:bCs/>
        <w:i/>
      </w:rPr>
      <w:t xml:space="preserve"> propagated at </w:t>
    </w:r>
    <w:r>
      <w:rPr>
        <w:rFonts w:ascii="Calibri" w:eastAsia="Calibri" w:hAnsi="Calibri" w:cs="Times New Roman"/>
        <w:b/>
        <w:bCs/>
        <w:i/>
      </w:rPr>
      <w:t>very small</w:t>
    </w:r>
    <w:r w:rsidRPr="00E35461">
      <w:rPr>
        <w:rFonts w:ascii="Calibri" w:eastAsia="Calibri" w:hAnsi="Calibri" w:cs="Times New Roman"/>
        <w:b/>
        <w:bCs/>
        <w:i/>
      </w:rPr>
      <w:t xml:space="preserve"> effective population size</w:t>
    </w:r>
  </w:p>
  <w:p w14:paraId="082150B0" w14:textId="0E9F3A59" w:rsidR="00B96597" w:rsidRPr="00E35461" w:rsidRDefault="00B96597" w:rsidP="00E35461">
    <w:pPr>
      <w:rPr>
        <w:rFonts w:ascii="Calibri" w:eastAsia="Calibri" w:hAnsi="Calibri" w:cs="Times New Roman"/>
        <w:b/>
        <w:bCs/>
      </w:rPr>
    </w:pPr>
    <w:r w:rsidRPr="00E35461">
      <w:rPr>
        <w:rFonts w:ascii="Calibri" w:eastAsia="Calibri" w:hAnsi="Calibri" w:cs="Times New Roman"/>
        <w:b/>
        <w:bCs/>
      </w:rPr>
      <w:t xml:space="preserve">Authors: Tanya Singh, Meredith Hyun, Paul </w:t>
    </w:r>
    <w:proofErr w:type="spellStart"/>
    <w:r w:rsidRPr="00E35461">
      <w:rPr>
        <w:rFonts w:ascii="Calibri" w:eastAsia="Calibri" w:hAnsi="Calibri" w:cs="Times New Roman"/>
        <w:b/>
        <w:bCs/>
      </w:rPr>
      <w:t>Sniegowski</w:t>
    </w:r>
    <w:proofErr w:type="spellEnd"/>
  </w:p>
  <w:p w14:paraId="7014CA22" w14:textId="77777777" w:rsidR="00B96597" w:rsidRDefault="00B96597">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BF"/>
    <w:rsid w:val="00011783"/>
    <w:rsid w:val="00061ADD"/>
    <w:rsid w:val="000819CC"/>
    <w:rsid w:val="000B657B"/>
    <w:rsid w:val="000C3139"/>
    <w:rsid w:val="000E2B4D"/>
    <w:rsid w:val="000E75EA"/>
    <w:rsid w:val="00186556"/>
    <w:rsid w:val="001B28EC"/>
    <w:rsid w:val="001D544A"/>
    <w:rsid w:val="00214957"/>
    <w:rsid w:val="002417A7"/>
    <w:rsid w:val="00264CF2"/>
    <w:rsid w:val="00315404"/>
    <w:rsid w:val="00321FAA"/>
    <w:rsid w:val="00373CE3"/>
    <w:rsid w:val="003B278D"/>
    <w:rsid w:val="004B0C88"/>
    <w:rsid w:val="004B2C4D"/>
    <w:rsid w:val="00524289"/>
    <w:rsid w:val="005B4A6A"/>
    <w:rsid w:val="005C7772"/>
    <w:rsid w:val="00635146"/>
    <w:rsid w:val="006652BF"/>
    <w:rsid w:val="006834D1"/>
    <w:rsid w:val="00683E3F"/>
    <w:rsid w:val="006E30C5"/>
    <w:rsid w:val="007159F9"/>
    <w:rsid w:val="007A52EA"/>
    <w:rsid w:val="00870E04"/>
    <w:rsid w:val="008A0529"/>
    <w:rsid w:val="008A4CE0"/>
    <w:rsid w:val="00937ED2"/>
    <w:rsid w:val="009E3AB8"/>
    <w:rsid w:val="00A03AFB"/>
    <w:rsid w:val="00A11B68"/>
    <w:rsid w:val="00B96597"/>
    <w:rsid w:val="00C3473B"/>
    <w:rsid w:val="00C53353"/>
    <w:rsid w:val="00C777A6"/>
    <w:rsid w:val="00CE2E64"/>
    <w:rsid w:val="00CE3B14"/>
    <w:rsid w:val="00D17454"/>
    <w:rsid w:val="00D41B63"/>
    <w:rsid w:val="00D6600A"/>
    <w:rsid w:val="00E35461"/>
    <w:rsid w:val="00EB2711"/>
    <w:rsid w:val="00FA13F6"/>
    <w:rsid w:val="00FB793A"/>
    <w:rsid w:val="00FC0F0A"/>
    <w:rsid w:val="00FC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51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B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2BF"/>
    <w:rPr>
      <w:rFonts w:ascii="Lucida Grande" w:eastAsiaTheme="minorHAnsi" w:hAnsi="Lucida Grande" w:cs="Lucida Grande"/>
      <w:sz w:val="18"/>
      <w:szCs w:val="18"/>
    </w:rPr>
  </w:style>
  <w:style w:type="table" w:styleId="TableGrid">
    <w:name w:val="Table Grid"/>
    <w:basedOn w:val="TableNormal"/>
    <w:uiPriority w:val="59"/>
    <w:rsid w:val="00665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652B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86556"/>
    <w:rPr>
      <w:sz w:val="18"/>
      <w:szCs w:val="18"/>
    </w:rPr>
  </w:style>
  <w:style w:type="paragraph" w:styleId="CommentText">
    <w:name w:val="annotation text"/>
    <w:basedOn w:val="Normal"/>
    <w:link w:val="CommentTextChar"/>
    <w:uiPriority w:val="99"/>
    <w:semiHidden/>
    <w:unhideWhenUsed/>
    <w:rsid w:val="00186556"/>
  </w:style>
  <w:style w:type="character" w:customStyle="1" w:styleId="CommentTextChar">
    <w:name w:val="Comment Text Char"/>
    <w:basedOn w:val="DefaultParagraphFont"/>
    <w:link w:val="CommentText"/>
    <w:uiPriority w:val="99"/>
    <w:semiHidden/>
    <w:rsid w:val="00186556"/>
    <w:rPr>
      <w:rFonts w:eastAsiaTheme="minorHAnsi"/>
    </w:rPr>
  </w:style>
  <w:style w:type="paragraph" w:styleId="CommentSubject">
    <w:name w:val="annotation subject"/>
    <w:basedOn w:val="CommentText"/>
    <w:next w:val="CommentText"/>
    <w:link w:val="CommentSubjectChar"/>
    <w:uiPriority w:val="99"/>
    <w:semiHidden/>
    <w:unhideWhenUsed/>
    <w:rsid w:val="00186556"/>
    <w:rPr>
      <w:b/>
      <w:bCs/>
      <w:sz w:val="20"/>
      <w:szCs w:val="20"/>
    </w:rPr>
  </w:style>
  <w:style w:type="character" w:customStyle="1" w:styleId="CommentSubjectChar">
    <w:name w:val="Comment Subject Char"/>
    <w:basedOn w:val="CommentTextChar"/>
    <w:link w:val="CommentSubject"/>
    <w:uiPriority w:val="99"/>
    <w:semiHidden/>
    <w:rsid w:val="00186556"/>
    <w:rPr>
      <w:rFonts w:eastAsiaTheme="minorHAnsi"/>
      <w:b/>
      <w:bCs/>
      <w:sz w:val="20"/>
      <w:szCs w:val="20"/>
    </w:rPr>
  </w:style>
  <w:style w:type="paragraph" w:styleId="Header">
    <w:name w:val="header"/>
    <w:basedOn w:val="Normal"/>
    <w:link w:val="HeaderChar"/>
    <w:uiPriority w:val="99"/>
    <w:unhideWhenUsed/>
    <w:rsid w:val="00E35461"/>
    <w:pPr>
      <w:tabs>
        <w:tab w:val="center" w:pos="4320"/>
        <w:tab w:val="right" w:pos="8640"/>
      </w:tabs>
    </w:pPr>
  </w:style>
  <w:style w:type="character" w:customStyle="1" w:styleId="HeaderChar">
    <w:name w:val="Header Char"/>
    <w:basedOn w:val="DefaultParagraphFont"/>
    <w:link w:val="Header"/>
    <w:uiPriority w:val="99"/>
    <w:rsid w:val="00E35461"/>
    <w:rPr>
      <w:rFonts w:eastAsiaTheme="minorHAnsi"/>
    </w:rPr>
  </w:style>
  <w:style w:type="paragraph" w:styleId="Footer">
    <w:name w:val="footer"/>
    <w:basedOn w:val="Normal"/>
    <w:link w:val="FooterChar"/>
    <w:uiPriority w:val="99"/>
    <w:unhideWhenUsed/>
    <w:rsid w:val="00E35461"/>
    <w:pPr>
      <w:tabs>
        <w:tab w:val="center" w:pos="4320"/>
        <w:tab w:val="right" w:pos="8640"/>
      </w:tabs>
    </w:pPr>
  </w:style>
  <w:style w:type="character" w:customStyle="1" w:styleId="FooterChar">
    <w:name w:val="Footer Char"/>
    <w:basedOn w:val="DefaultParagraphFont"/>
    <w:link w:val="Footer"/>
    <w:uiPriority w:val="99"/>
    <w:rsid w:val="00E35461"/>
    <w:rPr>
      <w:rFonts w:eastAsiaTheme="minorHAnsi"/>
    </w:rPr>
  </w:style>
  <w:style w:type="paragraph" w:styleId="Revision">
    <w:name w:val="Revision"/>
    <w:hidden/>
    <w:uiPriority w:val="99"/>
    <w:semiHidden/>
    <w:rsid w:val="00011783"/>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B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2BF"/>
    <w:rPr>
      <w:rFonts w:ascii="Lucida Grande" w:eastAsiaTheme="minorHAnsi" w:hAnsi="Lucida Grande" w:cs="Lucida Grande"/>
      <w:sz w:val="18"/>
      <w:szCs w:val="18"/>
    </w:rPr>
  </w:style>
  <w:style w:type="table" w:styleId="TableGrid">
    <w:name w:val="Table Grid"/>
    <w:basedOn w:val="TableNormal"/>
    <w:uiPriority w:val="59"/>
    <w:rsid w:val="00665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652B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86556"/>
    <w:rPr>
      <w:sz w:val="18"/>
      <w:szCs w:val="18"/>
    </w:rPr>
  </w:style>
  <w:style w:type="paragraph" w:styleId="CommentText">
    <w:name w:val="annotation text"/>
    <w:basedOn w:val="Normal"/>
    <w:link w:val="CommentTextChar"/>
    <w:uiPriority w:val="99"/>
    <w:semiHidden/>
    <w:unhideWhenUsed/>
    <w:rsid w:val="00186556"/>
  </w:style>
  <w:style w:type="character" w:customStyle="1" w:styleId="CommentTextChar">
    <w:name w:val="Comment Text Char"/>
    <w:basedOn w:val="DefaultParagraphFont"/>
    <w:link w:val="CommentText"/>
    <w:uiPriority w:val="99"/>
    <w:semiHidden/>
    <w:rsid w:val="00186556"/>
    <w:rPr>
      <w:rFonts w:eastAsiaTheme="minorHAnsi"/>
    </w:rPr>
  </w:style>
  <w:style w:type="paragraph" w:styleId="CommentSubject">
    <w:name w:val="annotation subject"/>
    <w:basedOn w:val="CommentText"/>
    <w:next w:val="CommentText"/>
    <w:link w:val="CommentSubjectChar"/>
    <w:uiPriority w:val="99"/>
    <w:semiHidden/>
    <w:unhideWhenUsed/>
    <w:rsid w:val="00186556"/>
    <w:rPr>
      <w:b/>
      <w:bCs/>
      <w:sz w:val="20"/>
      <w:szCs w:val="20"/>
    </w:rPr>
  </w:style>
  <w:style w:type="character" w:customStyle="1" w:styleId="CommentSubjectChar">
    <w:name w:val="Comment Subject Char"/>
    <w:basedOn w:val="CommentTextChar"/>
    <w:link w:val="CommentSubject"/>
    <w:uiPriority w:val="99"/>
    <w:semiHidden/>
    <w:rsid w:val="00186556"/>
    <w:rPr>
      <w:rFonts w:eastAsiaTheme="minorHAnsi"/>
      <w:b/>
      <w:bCs/>
      <w:sz w:val="20"/>
      <w:szCs w:val="20"/>
    </w:rPr>
  </w:style>
  <w:style w:type="paragraph" w:styleId="Header">
    <w:name w:val="header"/>
    <w:basedOn w:val="Normal"/>
    <w:link w:val="HeaderChar"/>
    <w:uiPriority w:val="99"/>
    <w:unhideWhenUsed/>
    <w:rsid w:val="00E35461"/>
    <w:pPr>
      <w:tabs>
        <w:tab w:val="center" w:pos="4320"/>
        <w:tab w:val="right" w:pos="8640"/>
      </w:tabs>
    </w:pPr>
  </w:style>
  <w:style w:type="character" w:customStyle="1" w:styleId="HeaderChar">
    <w:name w:val="Header Char"/>
    <w:basedOn w:val="DefaultParagraphFont"/>
    <w:link w:val="Header"/>
    <w:uiPriority w:val="99"/>
    <w:rsid w:val="00E35461"/>
    <w:rPr>
      <w:rFonts w:eastAsiaTheme="minorHAnsi"/>
    </w:rPr>
  </w:style>
  <w:style w:type="paragraph" w:styleId="Footer">
    <w:name w:val="footer"/>
    <w:basedOn w:val="Normal"/>
    <w:link w:val="FooterChar"/>
    <w:uiPriority w:val="99"/>
    <w:unhideWhenUsed/>
    <w:rsid w:val="00E35461"/>
    <w:pPr>
      <w:tabs>
        <w:tab w:val="center" w:pos="4320"/>
        <w:tab w:val="right" w:pos="8640"/>
      </w:tabs>
    </w:pPr>
  </w:style>
  <w:style w:type="character" w:customStyle="1" w:styleId="FooterChar">
    <w:name w:val="Footer Char"/>
    <w:basedOn w:val="DefaultParagraphFont"/>
    <w:link w:val="Footer"/>
    <w:uiPriority w:val="99"/>
    <w:rsid w:val="00E35461"/>
    <w:rPr>
      <w:rFonts w:eastAsiaTheme="minorHAnsi"/>
    </w:rPr>
  </w:style>
  <w:style w:type="paragraph" w:styleId="Revision">
    <w:name w:val="Revision"/>
    <w:hidden/>
    <w:uiPriority w:val="99"/>
    <w:semiHidden/>
    <w:rsid w:val="0001178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6200">
      <w:bodyDiv w:val="1"/>
      <w:marLeft w:val="0"/>
      <w:marRight w:val="0"/>
      <w:marTop w:val="0"/>
      <w:marBottom w:val="0"/>
      <w:divBdr>
        <w:top w:val="none" w:sz="0" w:space="0" w:color="auto"/>
        <w:left w:val="none" w:sz="0" w:space="0" w:color="auto"/>
        <w:bottom w:val="none" w:sz="0" w:space="0" w:color="auto"/>
        <w:right w:val="none" w:sz="0" w:space="0" w:color="auto"/>
      </w:divBdr>
    </w:div>
    <w:div w:id="101806087">
      <w:bodyDiv w:val="1"/>
      <w:marLeft w:val="0"/>
      <w:marRight w:val="0"/>
      <w:marTop w:val="0"/>
      <w:marBottom w:val="0"/>
      <w:divBdr>
        <w:top w:val="none" w:sz="0" w:space="0" w:color="auto"/>
        <w:left w:val="none" w:sz="0" w:space="0" w:color="auto"/>
        <w:bottom w:val="none" w:sz="0" w:space="0" w:color="auto"/>
        <w:right w:val="none" w:sz="0" w:space="0" w:color="auto"/>
      </w:divBdr>
    </w:div>
    <w:div w:id="119343085">
      <w:bodyDiv w:val="1"/>
      <w:marLeft w:val="0"/>
      <w:marRight w:val="0"/>
      <w:marTop w:val="0"/>
      <w:marBottom w:val="0"/>
      <w:divBdr>
        <w:top w:val="none" w:sz="0" w:space="0" w:color="auto"/>
        <w:left w:val="none" w:sz="0" w:space="0" w:color="auto"/>
        <w:bottom w:val="none" w:sz="0" w:space="0" w:color="auto"/>
        <w:right w:val="none" w:sz="0" w:space="0" w:color="auto"/>
      </w:divBdr>
    </w:div>
    <w:div w:id="194150318">
      <w:bodyDiv w:val="1"/>
      <w:marLeft w:val="0"/>
      <w:marRight w:val="0"/>
      <w:marTop w:val="0"/>
      <w:marBottom w:val="0"/>
      <w:divBdr>
        <w:top w:val="none" w:sz="0" w:space="0" w:color="auto"/>
        <w:left w:val="none" w:sz="0" w:space="0" w:color="auto"/>
        <w:bottom w:val="none" w:sz="0" w:space="0" w:color="auto"/>
        <w:right w:val="none" w:sz="0" w:space="0" w:color="auto"/>
      </w:divBdr>
    </w:div>
    <w:div w:id="314266989">
      <w:bodyDiv w:val="1"/>
      <w:marLeft w:val="0"/>
      <w:marRight w:val="0"/>
      <w:marTop w:val="0"/>
      <w:marBottom w:val="0"/>
      <w:divBdr>
        <w:top w:val="none" w:sz="0" w:space="0" w:color="auto"/>
        <w:left w:val="none" w:sz="0" w:space="0" w:color="auto"/>
        <w:bottom w:val="none" w:sz="0" w:space="0" w:color="auto"/>
        <w:right w:val="none" w:sz="0" w:space="0" w:color="auto"/>
      </w:divBdr>
    </w:div>
    <w:div w:id="319236491">
      <w:bodyDiv w:val="1"/>
      <w:marLeft w:val="0"/>
      <w:marRight w:val="0"/>
      <w:marTop w:val="0"/>
      <w:marBottom w:val="0"/>
      <w:divBdr>
        <w:top w:val="none" w:sz="0" w:space="0" w:color="auto"/>
        <w:left w:val="none" w:sz="0" w:space="0" w:color="auto"/>
        <w:bottom w:val="none" w:sz="0" w:space="0" w:color="auto"/>
        <w:right w:val="none" w:sz="0" w:space="0" w:color="auto"/>
      </w:divBdr>
    </w:div>
    <w:div w:id="459687373">
      <w:bodyDiv w:val="1"/>
      <w:marLeft w:val="0"/>
      <w:marRight w:val="0"/>
      <w:marTop w:val="0"/>
      <w:marBottom w:val="0"/>
      <w:divBdr>
        <w:top w:val="none" w:sz="0" w:space="0" w:color="auto"/>
        <w:left w:val="none" w:sz="0" w:space="0" w:color="auto"/>
        <w:bottom w:val="none" w:sz="0" w:space="0" w:color="auto"/>
        <w:right w:val="none" w:sz="0" w:space="0" w:color="auto"/>
      </w:divBdr>
    </w:div>
    <w:div w:id="467088336">
      <w:bodyDiv w:val="1"/>
      <w:marLeft w:val="0"/>
      <w:marRight w:val="0"/>
      <w:marTop w:val="0"/>
      <w:marBottom w:val="0"/>
      <w:divBdr>
        <w:top w:val="none" w:sz="0" w:space="0" w:color="auto"/>
        <w:left w:val="none" w:sz="0" w:space="0" w:color="auto"/>
        <w:bottom w:val="none" w:sz="0" w:space="0" w:color="auto"/>
        <w:right w:val="none" w:sz="0" w:space="0" w:color="auto"/>
      </w:divBdr>
    </w:div>
    <w:div w:id="554897571">
      <w:bodyDiv w:val="1"/>
      <w:marLeft w:val="0"/>
      <w:marRight w:val="0"/>
      <w:marTop w:val="0"/>
      <w:marBottom w:val="0"/>
      <w:divBdr>
        <w:top w:val="none" w:sz="0" w:space="0" w:color="auto"/>
        <w:left w:val="none" w:sz="0" w:space="0" w:color="auto"/>
        <w:bottom w:val="none" w:sz="0" w:space="0" w:color="auto"/>
        <w:right w:val="none" w:sz="0" w:space="0" w:color="auto"/>
      </w:divBdr>
    </w:div>
    <w:div w:id="565650791">
      <w:bodyDiv w:val="1"/>
      <w:marLeft w:val="0"/>
      <w:marRight w:val="0"/>
      <w:marTop w:val="0"/>
      <w:marBottom w:val="0"/>
      <w:divBdr>
        <w:top w:val="none" w:sz="0" w:space="0" w:color="auto"/>
        <w:left w:val="none" w:sz="0" w:space="0" w:color="auto"/>
        <w:bottom w:val="none" w:sz="0" w:space="0" w:color="auto"/>
        <w:right w:val="none" w:sz="0" w:space="0" w:color="auto"/>
      </w:divBdr>
    </w:div>
    <w:div w:id="576207477">
      <w:bodyDiv w:val="1"/>
      <w:marLeft w:val="0"/>
      <w:marRight w:val="0"/>
      <w:marTop w:val="0"/>
      <w:marBottom w:val="0"/>
      <w:divBdr>
        <w:top w:val="none" w:sz="0" w:space="0" w:color="auto"/>
        <w:left w:val="none" w:sz="0" w:space="0" w:color="auto"/>
        <w:bottom w:val="none" w:sz="0" w:space="0" w:color="auto"/>
        <w:right w:val="none" w:sz="0" w:space="0" w:color="auto"/>
      </w:divBdr>
    </w:div>
    <w:div w:id="681591429">
      <w:bodyDiv w:val="1"/>
      <w:marLeft w:val="0"/>
      <w:marRight w:val="0"/>
      <w:marTop w:val="0"/>
      <w:marBottom w:val="0"/>
      <w:divBdr>
        <w:top w:val="none" w:sz="0" w:space="0" w:color="auto"/>
        <w:left w:val="none" w:sz="0" w:space="0" w:color="auto"/>
        <w:bottom w:val="none" w:sz="0" w:space="0" w:color="auto"/>
        <w:right w:val="none" w:sz="0" w:space="0" w:color="auto"/>
      </w:divBdr>
    </w:div>
    <w:div w:id="738139703">
      <w:bodyDiv w:val="1"/>
      <w:marLeft w:val="0"/>
      <w:marRight w:val="0"/>
      <w:marTop w:val="0"/>
      <w:marBottom w:val="0"/>
      <w:divBdr>
        <w:top w:val="none" w:sz="0" w:space="0" w:color="auto"/>
        <w:left w:val="none" w:sz="0" w:space="0" w:color="auto"/>
        <w:bottom w:val="none" w:sz="0" w:space="0" w:color="auto"/>
        <w:right w:val="none" w:sz="0" w:space="0" w:color="auto"/>
      </w:divBdr>
    </w:div>
    <w:div w:id="768889404">
      <w:bodyDiv w:val="1"/>
      <w:marLeft w:val="0"/>
      <w:marRight w:val="0"/>
      <w:marTop w:val="0"/>
      <w:marBottom w:val="0"/>
      <w:divBdr>
        <w:top w:val="none" w:sz="0" w:space="0" w:color="auto"/>
        <w:left w:val="none" w:sz="0" w:space="0" w:color="auto"/>
        <w:bottom w:val="none" w:sz="0" w:space="0" w:color="auto"/>
        <w:right w:val="none" w:sz="0" w:space="0" w:color="auto"/>
      </w:divBdr>
    </w:div>
    <w:div w:id="973218669">
      <w:bodyDiv w:val="1"/>
      <w:marLeft w:val="0"/>
      <w:marRight w:val="0"/>
      <w:marTop w:val="0"/>
      <w:marBottom w:val="0"/>
      <w:divBdr>
        <w:top w:val="none" w:sz="0" w:space="0" w:color="auto"/>
        <w:left w:val="none" w:sz="0" w:space="0" w:color="auto"/>
        <w:bottom w:val="none" w:sz="0" w:space="0" w:color="auto"/>
        <w:right w:val="none" w:sz="0" w:space="0" w:color="auto"/>
      </w:divBdr>
    </w:div>
    <w:div w:id="1059213136">
      <w:bodyDiv w:val="1"/>
      <w:marLeft w:val="0"/>
      <w:marRight w:val="0"/>
      <w:marTop w:val="0"/>
      <w:marBottom w:val="0"/>
      <w:divBdr>
        <w:top w:val="none" w:sz="0" w:space="0" w:color="auto"/>
        <w:left w:val="none" w:sz="0" w:space="0" w:color="auto"/>
        <w:bottom w:val="none" w:sz="0" w:space="0" w:color="auto"/>
        <w:right w:val="none" w:sz="0" w:space="0" w:color="auto"/>
      </w:divBdr>
    </w:div>
    <w:div w:id="1084574410">
      <w:bodyDiv w:val="1"/>
      <w:marLeft w:val="0"/>
      <w:marRight w:val="0"/>
      <w:marTop w:val="0"/>
      <w:marBottom w:val="0"/>
      <w:divBdr>
        <w:top w:val="none" w:sz="0" w:space="0" w:color="auto"/>
        <w:left w:val="none" w:sz="0" w:space="0" w:color="auto"/>
        <w:bottom w:val="none" w:sz="0" w:space="0" w:color="auto"/>
        <w:right w:val="none" w:sz="0" w:space="0" w:color="auto"/>
      </w:divBdr>
    </w:div>
    <w:div w:id="1173566681">
      <w:bodyDiv w:val="1"/>
      <w:marLeft w:val="0"/>
      <w:marRight w:val="0"/>
      <w:marTop w:val="0"/>
      <w:marBottom w:val="0"/>
      <w:divBdr>
        <w:top w:val="none" w:sz="0" w:space="0" w:color="auto"/>
        <w:left w:val="none" w:sz="0" w:space="0" w:color="auto"/>
        <w:bottom w:val="none" w:sz="0" w:space="0" w:color="auto"/>
        <w:right w:val="none" w:sz="0" w:space="0" w:color="auto"/>
      </w:divBdr>
    </w:div>
    <w:div w:id="1626696309">
      <w:bodyDiv w:val="1"/>
      <w:marLeft w:val="0"/>
      <w:marRight w:val="0"/>
      <w:marTop w:val="0"/>
      <w:marBottom w:val="0"/>
      <w:divBdr>
        <w:top w:val="none" w:sz="0" w:space="0" w:color="auto"/>
        <w:left w:val="none" w:sz="0" w:space="0" w:color="auto"/>
        <w:bottom w:val="none" w:sz="0" w:space="0" w:color="auto"/>
        <w:right w:val="none" w:sz="0" w:space="0" w:color="auto"/>
      </w:divBdr>
    </w:div>
    <w:div w:id="1937008460">
      <w:bodyDiv w:val="1"/>
      <w:marLeft w:val="0"/>
      <w:marRight w:val="0"/>
      <w:marTop w:val="0"/>
      <w:marBottom w:val="0"/>
      <w:divBdr>
        <w:top w:val="none" w:sz="0" w:space="0" w:color="auto"/>
        <w:left w:val="none" w:sz="0" w:space="0" w:color="auto"/>
        <w:bottom w:val="none" w:sz="0" w:space="0" w:color="auto"/>
        <w:right w:val="none" w:sz="0" w:space="0" w:color="auto"/>
      </w:divBdr>
    </w:div>
    <w:div w:id="1956253796">
      <w:bodyDiv w:val="1"/>
      <w:marLeft w:val="0"/>
      <w:marRight w:val="0"/>
      <w:marTop w:val="0"/>
      <w:marBottom w:val="0"/>
      <w:divBdr>
        <w:top w:val="none" w:sz="0" w:space="0" w:color="auto"/>
        <w:left w:val="none" w:sz="0" w:space="0" w:color="auto"/>
        <w:bottom w:val="none" w:sz="0" w:space="0" w:color="auto"/>
        <w:right w:val="none" w:sz="0" w:space="0" w:color="auto"/>
      </w:divBdr>
    </w:div>
    <w:div w:id="1982882184">
      <w:bodyDiv w:val="1"/>
      <w:marLeft w:val="0"/>
      <w:marRight w:val="0"/>
      <w:marTop w:val="0"/>
      <w:marBottom w:val="0"/>
      <w:divBdr>
        <w:top w:val="none" w:sz="0" w:space="0" w:color="auto"/>
        <w:left w:val="none" w:sz="0" w:space="0" w:color="auto"/>
        <w:bottom w:val="none" w:sz="0" w:space="0" w:color="auto"/>
        <w:right w:val="none" w:sz="0" w:space="0" w:color="auto"/>
      </w:divBdr>
    </w:div>
    <w:div w:id="2086805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anyasingh:Documents:Manuscripts%20:Bio%20Letters%20submission:variance%20in%20fitness%20over%20time%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anyasingh:Documents:Manuscripts%20:Bio%20Letters%20submission:variance%20in%20fitness%20over%20time%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tanyasingh:Documents:Manuscripts%20:Bio%20Letters%20submission:variance%20in%20fitness%20over%20time%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tanyasingh:Documents:Manuscripts%20:Bio%20Letters%20submission:variance%20in%20fitness%20over%20time%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tanyasingh:Desktop:MA%20data:FT_LB_data_strepvsnal_final_with%20extinc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tanyasingh:Desktop:MA%20data:FT_LB_data_strepvsnal_final_with%20extin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800"/>
            </a:pPr>
            <a:r>
              <a:rPr lang="en-US" sz="800"/>
              <a:t>VARIANCE</a:t>
            </a:r>
            <a:r>
              <a:rPr lang="en-US" sz="800" baseline="0"/>
              <a:t> IN </a:t>
            </a:r>
            <a:r>
              <a:rPr lang="en-US" sz="800"/>
              <a:t>LB FINAL DENSITY </a:t>
            </a:r>
          </a:p>
        </c:rich>
      </c:tx>
      <c:layout/>
      <c:overlay val="0"/>
    </c:title>
    <c:autoTitleDeleted val="0"/>
    <c:plotArea>
      <c:layout>
        <c:manualLayout>
          <c:layoutTarget val="inner"/>
          <c:xMode val="edge"/>
          <c:yMode val="edge"/>
          <c:x val="0.210108538653348"/>
          <c:y val="0.269230769230769"/>
          <c:w val="0.716146376914544"/>
          <c:h val="0.536858974358974"/>
        </c:manualLayout>
      </c:layout>
      <c:scatterChart>
        <c:scatterStyle val="lineMarker"/>
        <c:varyColors val="0"/>
        <c:ser>
          <c:idx val="0"/>
          <c:order val="0"/>
          <c:tx>
            <c:strRef>
              <c:f>Sheet1!$A$6</c:f>
              <c:strCache>
                <c:ptCount val="1"/>
                <c:pt idx="0">
                  <c:v>LB FINAL DENSITY </c:v>
                </c:pt>
              </c:strCache>
            </c:strRef>
          </c:tx>
          <c:spPr>
            <a:ln w="47625">
              <a:noFill/>
            </a:ln>
          </c:spPr>
          <c:xVal>
            <c:numRef>
              <c:f>Sheet1!$B$5:$G$5</c:f>
              <c:numCache>
                <c:formatCode>General</c:formatCode>
                <c:ptCount val="6"/>
                <c:pt idx="0">
                  <c:v>0.0</c:v>
                </c:pt>
                <c:pt idx="1">
                  <c:v>10.0</c:v>
                </c:pt>
                <c:pt idx="2">
                  <c:v>20.0</c:v>
                </c:pt>
                <c:pt idx="3">
                  <c:v>30.0</c:v>
                </c:pt>
                <c:pt idx="4">
                  <c:v>40.0</c:v>
                </c:pt>
                <c:pt idx="5">
                  <c:v>50.0</c:v>
                </c:pt>
              </c:numCache>
            </c:numRef>
          </c:xVal>
          <c:yVal>
            <c:numRef>
              <c:f>Sheet1!$B$6:$G$6</c:f>
              <c:numCache>
                <c:formatCode>General</c:formatCode>
                <c:ptCount val="6"/>
                <c:pt idx="0">
                  <c:v>0.0</c:v>
                </c:pt>
                <c:pt idx="1">
                  <c:v>5.655814122293E-5</c:v>
                </c:pt>
                <c:pt idx="2">
                  <c:v>0.000139739771207116</c:v>
                </c:pt>
                <c:pt idx="3">
                  <c:v>0.000544844783447742</c:v>
                </c:pt>
                <c:pt idx="4">
                  <c:v>3.67195020393285E-5</c:v>
                </c:pt>
                <c:pt idx="5">
                  <c:v>7.0447201324507E-6</c:v>
                </c:pt>
              </c:numCache>
            </c:numRef>
          </c:yVal>
          <c:smooth val="0"/>
        </c:ser>
        <c:dLbls>
          <c:showLegendKey val="0"/>
          <c:showVal val="0"/>
          <c:showCatName val="0"/>
          <c:showSerName val="0"/>
          <c:showPercent val="0"/>
          <c:showBubbleSize val="0"/>
        </c:dLbls>
        <c:axId val="-2111527704"/>
        <c:axId val="-2111255656"/>
      </c:scatterChart>
      <c:valAx>
        <c:axId val="-2111527704"/>
        <c:scaling>
          <c:orientation val="minMax"/>
        </c:scaling>
        <c:delete val="0"/>
        <c:axPos val="b"/>
        <c:title>
          <c:tx>
            <c:rich>
              <a:bodyPr/>
              <a:lstStyle/>
              <a:p>
                <a:pPr>
                  <a:defRPr/>
                </a:pPr>
                <a:r>
                  <a:rPr lang="en-US" sz="600"/>
                  <a:t>Days</a:t>
                </a:r>
                <a:r>
                  <a:rPr lang="en-US" sz="600" baseline="0"/>
                  <a:t> of Experiment</a:t>
                </a:r>
                <a:endParaRPr lang="en-US" sz="600"/>
              </a:p>
            </c:rich>
          </c:tx>
          <c:layout>
            <c:manualLayout>
              <c:xMode val="edge"/>
              <c:yMode val="edge"/>
              <c:x val="0.375779068560219"/>
              <c:y val="0.878205128205128"/>
            </c:manualLayout>
          </c:layout>
          <c:overlay val="0"/>
        </c:title>
        <c:numFmt formatCode="General" sourceLinked="1"/>
        <c:majorTickMark val="out"/>
        <c:minorTickMark val="none"/>
        <c:tickLblPos val="nextTo"/>
        <c:txPr>
          <a:bodyPr/>
          <a:lstStyle/>
          <a:p>
            <a:pPr>
              <a:defRPr sz="600" b="1"/>
            </a:pPr>
            <a:endParaRPr lang="en-US"/>
          </a:p>
        </c:txPr>
        <c:crossAx val="-2111255656"/>
        <c:crosses val="autoZero"/>
        <c:crossBetween val="midCat"/>
      </c:valAx>
      <c:valAx>
        <c:axId val="-2111255656"/>
        <c:scaling>
          <c:orientation val="minMax"/>
        </c:scaling>
        <c:delete val="0"/>
        <c:axPos val="l"/>
        <c:title>
          <c:tx>
            <c:rich>
              <a:bodyPr rot="-5400000" vert="horz"/>
              <a:lstStyle/>
              <a:p>
                <a:pPr>
                  <a:defRPr/>
                </a:pPr>
                <a:r>
                  <a:rPr lang="en-US" sz="600"/>
                  <a:t>Variance</a:t>
                </a:r>
                <a:r>
                  <a:rPr lang="en-US" sz="600" baseline="0"/>
                  <a:t> in final denisty</a:t>
                </a:r>
                <a:endParaRPr lang="en-US" sz="600"/>
              </a:p>
            </c:rich>
          </c:tx>
          <c:layout>
            <c:manualLayout>
              <c:xMode val="edge"/>
              <c:yMode val="edge"/>
              <c:x val="0.022206800832755"/>
              <c:y val="0.269230769230769"/>
            </c:manualLayout>
          </c:layout>
          <c:overlay val="0"/>
        </c:title>
        <c:numFmt formatCode="General" sourceLinked="1"/>
        <c:majorTickMark val="out"/>
        <c:minorTickMark val="none"/>
        <c:tickLblPos val="nextTo"/>
        <c:txPr>
          <a:bodyPr/>
          <a:lstStyle/>
          <a:p>
            <a:pPr>
              <a:defRPr sz="600" b="1"/>
            </a:pPr>
            <a:endParaRPr lang="en-US"/>
          </a:p>
        </c:txPr>
        <c:crossAx val="-2111527704"/>
        <c:crosses val="autoZero"/>
        <c:crossBetween val="midCat"/>
        <c:majorUnit val="0.00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800"/>
            </a:pPr>
            <a:r>
              <a:rPr lang="en-US" sz="800"/>
              <a:t>VARIANCE IN MG FINAL DENSITY </a:t>
            </a:r>
          </a:p>
        </c:rich>
      </c:tx>
      <c:layout/>
      <c:overlay val="0"/>
    </c:title>
    <c:autoTitleDeleted val="0"/>
    <c:plotArea>
      <c:layout>
        <c:manualLayout>
          <c:layoutTarget val="inner"/>
          <c:xMode val="edge"/>
          <c:yMode val="edge"/>
          <c:x val="0.166247921299914"/>
          <c:y val="0.239743132358188"/>
          <c:w val="0.760006994267979"/>
          <c:h val="0.546200499464859"/>
        </c:manualLayout>
      </c:layout>
      <c:scatterChart>
        <c:scatterStyle val="lineMarker"/>
        <c:varyColors val="0"/>
        <c:ser>
          <c:idx val="0"/>
          <c:order val="0"/>
          <c:tx>
            <c:strRef>
              <c:f>Sheet1!$A$8</c:f>
              <c:strCache>
                <c:ptCount val="1"/>
                <c:pt idx="0">
                  <c:v>MG FINAL DENSITY </c:v>
                </c:pt>
              </c:strCache>
            </c:strRef>
          </c:tx>
          <c:spPr>
            <a:ln w="47625">
              <a:noFill/>
            </a:ln>
          </c:spPr>
          <c:xVal>
            <c:numRef>
              <c:f>Sheet1!$B$7:$G$7</c:f>
              <c:numCache>
                <c:formatCode>General</c:formatCode>
                <c:ptCount val="6"/>
                <c:pt idx="0">
                  <c:v>0.0</c:v>
                </c:pt>
                <c:pt idx="1">
                  <c:v>10.0</c:v>
                </c:pt>
                <c:pt idx="2">
                  <c:v>20.0</c:v>
                </c:pt>
                <c:pt idx="3">
                  <c:v>30.0</c:v>
                </c:pt>
                <c:pt idx="4">
                  <c:v>40.0</c:v>
                </c:pt>
                <c:pt idx="5">
                  <c:v>50.0</c:v>
                </c:pt>
              </c:numCache>
            </c:numRef>
          </c:xVal>
          <c:yVal>
            <c:numRef>
              <c:f>Sheet1!$B$8:$G$8</c:f>
              <c:numCache>
                <c:formatCode>General</c:formatCode>
                <c:ptCount val="6"/>
                <c:pt idx="0">
                  <c:v>0.0</c:v>
                </c:pt>
                <c:pt idx="1">
                  <c:v>0.00603593603305785</c:v>
                </c:pt>
                <c:pt idx="2">
                  <c:v>0.00926569537190083</c:v>
                </c:pt>
                <c:pt idx="3">
                  <c:v>0.00938869504132231</c:v>
                </c:pt>
                <c:pt idx="4">
                  <c:v>0.00751313652892562</c:v>
                </c:pt>
                <c:pt idx="5">
                  <c:v>0.00816812595041321</c:v>
                </c:pt>
              </c:numCache>
            </c:numRef>
          </c:yVal>
          <c:smooth val="0"/>
        </c:ser>
        <c:dLbls>
          <c:showLegendKey val="0"/>
          <c:showVal val="0"/>
          <c:showCatName val="0"/>
          <c:showSerName val="0"/>
          <c:showPercent val="0"/>
          <c:showBubbleSize val="0"/>
        </c:dLbls>
        <c:axId val="-2110406328"/>
        <c:axId val="-2110745544"/>
      </c:scatterChart>
      <c:valAx>
        <c:axId val="-2110406328"/>
        <c:scaling>
          <c:orientation val="minMax"/>
        </c:scaling>
        <c:delete val="0"/>
        <c:axPos val="b"/>
        <c:title>
          <c:tx>
            <c:rich>
              <a:bodyPr/>
              <a:lstStyle/>
              <a:p>
                <a:pPr>
                  <a:defRPr/>
                </a:pPr>
                <a:r>
                  <a:rPr lang="en-US" sz="600"/>
                  <a:t>Day</a:t>
                </a:r>
                <a:r>
                  <a:rPr lang="en-US" sz="600" baseline="0"/>
                  <a:t> of Experiment</a:t>
                </a:r>
                <a:endParaRPr lang="en-US" sz="600"/>
              </a:p>
            </c:rich>
          </c:tx>
          <c:layout>
            <c:manualLayout>
              <c:xMode val="edge"/>
              <c:yMode val="edge"/>
              <c:x val="0.377387021625767"/>
              <c:y val="0.855868712094185"/>
            </c:manualLayout>
          </c:layout>
          <c:overlay val="0"/>
        </c:title>
        <c:numFmt formatCode="General" sourceLinked="1"/>
        <c:majorTickMark val="out"/>
        <c:minorTickMark val="none"/>
        <c:tickLblPos val="nextTo"/>
        <c:txPr>
          <a:bodyPr/>
          <a:lstStyle/>
          <a:p>
            <a:pPr>
              <a:defRPr sz="600" b="1"/>
            </a:pPr>
            <a:endParaRPr lang="en-US"/>
          </a:p>
        </c:txPr>
        <c:crossAx val="-2110745544"/>
        <c:crosses val="autoZero"/>
        <c:crossBetween val="midCat"/>
      </c:valAx>
      <c:valAx>
        <c:axId val="-2110745544"/>
        <c:scaling>
          <c:orientation val="minMax"/>
        </c:scaling>
        <c:delete val="0"/>
        <c:axPos val="l"/>
        <c:title>
          <c:tx>
            <c:rich>
              <a:bodyPr rot="-5400000" vert="horz"/>
              <a:lstStyle/>
              <a:p>
                <a:pPr>
                  <a:defRPr/>
                </a:pPr>
                <a:r>
                  <a:rPr lang="en-US" sz="600"/>
                  <a:t>Variance in final density</a:t>
                </a:r>
              </a:p>
            </c:rich>
          </c:tx>
          <c:layout/>
          <c:overlay val="0"/>
        </c:title>
        <c:numFmt formatCode="General" sourceLinked="1"/>
        <c:majorTickMark val="out"/>
        <c:minorTickMark val="none"/>
        <c:tickLblPos val="nextTo"/>
        <c:txPr>
          <a:bodyPr/>
          <a:lstStyle/>
          <a:p>
            <a:pPr>
              <a:defRPr sz="600" b="1"/>
            </a:pPr>
            <a:endParaRPr lang="en-US"/>
          </a:p>
        </c:txPr>
        <c:crossAx val="-2110406328"/>
        <c:crosses val="autoZero"/>
        <c:crossBetween val="midCat"/>
        <c:majorUnit val="0.002"/>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800"/>
            </a:pPr>
            <a:r>
              <a:rPr lang="en-US" sz="800"/>
              <a:t>VARIANCE IN</a:t>
            </a:r>
            <a:r>
              <a:rPr lang="en-US" sz="800" baseline="0"/>
              <a:t> </a:t>
            </a:r>
            <a:r>
              <a:rPr lang="en-US" sz="800"/>
              <a:t>LB MAX GROWTH RATE </a:t>
            </a:r>
          </a:p>
        </c:rich>
      </c:tx>
      <c:layout/>
      <c:overlay val="0"/>
    </c:title>
    <c:autoTitleDeleted val="0"/>
    <c:plotArea>
      <c:layout>
        <c:manualLayout>
          <c:layoutTarget val="inner"/>
          <c:xMode val="edge"/>
          <c:yMode val="edge"/>
          <c:x val="0.210108538653348"/>
          <c:y val="0.149888853604319"/>
          <c:w val="0.726081151722794"/>
          <c:h val="0.672276913305811"/>
        </c:manualLayout>
      </c:layout>
      <c:scatterChart>
        <c:scatterStyle val="lineMarker"/>
        <c:varyColors val="0"/>
        <c:ser>
          <c:idx val="0"/>
          <c:order val="0"/>
          <c:tx>
            <c:strRef>
              <c:f>Sheet1!$A$11</c:f>
              <c:strCache>
                <c:ptCount val="1"/>
                <c:pt idx="0">
                  <c:v>LB MAX GROWTH RATE </c:v>
                </c:pt>
              </c:strCache>
            </c:strRef>
          </c:tx>
          <c:spPr>
            <a:ln w="47625">
              <a:noFill/>
            </a:ln>
          </c:spPr>
          <c:xVal>
            <c:numRef>
              <c:f>Sheet1!$B$10:$G$10</c:f>
              <c:numCache>
                <c:formatCode>General</c:formatCode>
                <c:ptCount val="6"/>
                <c:pt idx="0">
                  <c:v>0.0</c:v>
                </c:pt>
                <c:pt idx="1">
                  <c:v>10.0</c:v>
                </c:pt>
                <c:pt idx="2">
                  <c:v>20.0</c:v>
                </c:pt>
                <c:pt idx="3">
                  <c:v>30.0</c:v>
                </c:pt>
                <c:pt idx="4">
                  <c:v>40.0</c:v>
                </c:pt>
                <c:pt idx="5">
                  <c:v>50.0</c:v>
                </c:pt>
              </c:numCache>
            </c:numRef>
          </c:xVal>
          <c:yVal>
            <c:numRef>
              <c:f>Sheet1!$B$11:$G$11</c:f>
              <c:numCache>
                <c:formatCode>General</c:formatCode>
                <c:ptCount val="6"/>
                <c:pt idx="0">
                  <c:v>0.0</c:v>
                </c:pt>
                <c:pt idx="1">
                  <c:v>0.000830131487889275</c:v>
                </c:pt>
                <c:pt idx="2">
                  <c:v>0.000426581314878893</c:v>
                </c:pt>
                <c:pt idx="3">
                  <c:v>0.000572328888888889</c:v>
                </c:pt>
                <c:pt idx="4">
                  <c:v>0.000218109375</c:v>
                </c:pt>
                <c:pt idx="5">
                  <c:v>0.000366913494809689</c:v>
                </c:pt>
              </c:numCache>
            </c:numRef>
          </c:yVal>
          <c:smooth val="0"/>
        </c:ser>
        <c:dLbls>
          <c:showLegendKey val="0"/>
          <c:showVal val="0"/>
          <c:showCatName val="0"/>
          <c:showSerName val="0"/>
          <c:showPercent val="0"/>
          <c:showBubbleSize val="0"/>
        </c:dLbls>
        <c:axId val="-2109864744"/>
        <c:axId val="-2109865960"/>
      </c:scatterChart>
      <c:valAx>
        <c:axId val="-2109864744"/>
        <c:scaling>
          <c:orientation val="minMax"/>
        </c:scaling>
        <c:delete val="0"/>
        <c:axPos val="b"/>
        <c:title>
          <c:tx>
            <c:rich>
              <a:bodyPr/>
              <a:lstStyle/>
              <a:p>
                <a:pPr>
                  <a:defRPr/>
                </a:pPr>
                <a:r>
                  <a:rPr lang="en-US" sz="600" b="1"/>
                  <a:t>Day</a:t>
                </a:r>
                <a:r>
                  <a:rPr lang="en-US" sz="600" b="1" baseline="0"/>
                  <a:t> of Experiment</a:t>
                </a:r>
                <a:endParaRPr lang="en-US" sz="600" b="1"/>
              </a:p>
            </c:rich>
          </c:tx>
          <c:layout/>
          <c:overlay val="0"/>
        </c:title>
        <c:numFmt formatCode="General" sourceLinked="1"/>
        <c:majorTickMark val="out"/>
        <c:minorTickMark val="none"/>
        <c:tickLblPos val="nextTo"/>
        <c:txPr>
          <a:bodyPr/>
          <a:lstStyle/>
          <a:p>
            <a:pPr>
              <a:defRPr sz="600" b="1"/>
            </a:pPr>
            <a:endParaRPr lang="en-US"/>
          </a:p>
        </c:txPr>
        <c:crossAx val="-2109865960"/>
        <c:crosses val="autoZero"/>
        <c:crossBetween val="midCat"/>
      </c:valAx>
      <c:valAx>
        <c:axId val="-2109865960"/>
        <c:scaling>
          <c:orientation val="minMax"/>
        </c:scaling>
        <c:delete val="0"/>
        <c:axPos val="l"/>
        <c:title>
          <c:tx>
            <c:rich>
              <a:bodyPr rot="-5400000" vert="horz"/>
              <a:lstStyle/>
              <a:p>
                <a:pPr>
                  <a:defRPr/>
                </a:pPr>
                <a:r>
                  <a:rPr lang="en-US" sz="600"/>
                  <a:t>Variance</a:t>
                </a:r>
                <a:r>
                  <a:rPr lang="en-US" sz="600" baseline="0"/>
                  <a:t> in max growth rate </a:t>
                </a:r>
                <a:endParaRPr lang="en-US" sz="600"/>
              </a:p>
            </c:rich>
          </c:tx>
          <c:layout>
            <c:manualLayout>
              <c:xMode val="edge"/>
              <c:yMode val="edge"/>
              <c:x val="0.00832755031228313"/>
              <c:y val="0.168731578455606"/>
            </c:manualLayout>
          </c:layout>
          <c:overlay val="0"/>
        </c:title>
        <c:numFmt formatCode="General" sourceLinked="1"/>
        <c:majorTickMark val="out"/>
        <c:minorTickMark val="none"/>
        <c:tickLblPos val="nextTo"/>
        <c:txPr>
          <a:bodyPr/>
          <a:lstStyle/>
          <a:p>
            <a:pPr>
              <a:defRPr sz="600" b="1"/>
            </a:pPr>
            <a:endParaRPr lang="en-US"/>
          </a:p>
        </c:txPr>
        <c:crossAx val="-2109864744"/>
        <c:crosses val="autoZero"/>
        <c:crossBetween val="midCat"/>
        <c:majorUnit val="0.0002"/>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800"/>
            </a:pPr>
            <a:r>
              <a:rPr lang="en-US" sz="800"/>
              <a:t>VARIANCE IN MG MAX GROWTH RATE </a:t>
            </a:r>
          </a:p>
        </c:rich>
      </c:tx>
      <c:layout>
        <c:manualLayout>
          <c:xMode val="edge"/>
          <c:yMode val="edge"/>
          <c:x val="0.19250463647201"/>
          <c:y val="0.0407497962510187"/>
        </c:manualLayout>
      </c:layout>
      <c:overlay val="0"/>
    </c:title>
    <c:autoTitleDeleted val="0"/>
    <c:plotArea>
      <c:layout>
        <c:manualLayout>
          <c:layoutTarget val="inner"/>
          <c:xMode val="edge"/>
          <c:yMode val="edge"/>
          <c:x val="0.210849493917355"/>
          <c:y val="0.175383272689936"/>
          <c:w val="0.721454734882636"/>
          <c:h val="0.677423480830056"/>
        </c:manualLayout>
      </c:layout>
      <c:scatterChart>
        <c:scatterStyle val="lineMarker"/>
        <c:varyColors val="0"/>
        <c:ser>
          <c:idx val="0"/>
          <c:order val="0"/>
          <c:tx>
            <c:strRef>
              <c:f>Sheet1!$A$13</c:f>
              <c:strCache>
                <c:ptCount val="1"/>
                <c:pt idx="0">
                  <c:v>MG MAX GROWTH RATE </c:v>
                </c:pt>
              </c:strCache>
            </c:strRef>
          </c:tx>
          <c:spPr>
            <a:ln w="47625">
              <a:noFill/>
            </a:ln>
          </c:spPr>
          <c:xVal>
            <c:numRef>
              <c:f>Sheet1!$B$12:$G$12</c:f>
              <c:numCache>
                <c:formatCode>General</c:formatCode>
                <c:ptCount val="6"/>
                <c:pt idx="0">
                  <c:v>0.0</c:v>
                </c:pt>
                <c:pt idx="1">
                  <c:v>10.0</c:v>
                </c:pt>
                <c:pt idx="2">
                  <c:v>20.0</c:v>
                </c:pt>
                <c:pt idx="3">
                  <c:v>30.0</c:v>
                </c:pt>
                <c:pt idx="4">
                  <c:v>40.0</c:v>
                </c:pt>
                <c:pt idx="5">
                  <c:v>50.0</c:v>
                </c:pt>
              </c:numCache>
            </c:numRef>
          </c:xVal>
          <c:yVal>
            <c:numRef>
              <c:f>Sheet1!$B$13:$G$13</c:f>
              <c:numCache>
                <c:formatCode>General</c:formatCode>
                <c:ptCount val="6"/>
                <c:pt idx="0">
                  <c:v>0.0</c:v>
                </c:pt>
                <c:pt idx="1">
                  <c:v>0.00111823140495867</c:v>
                </c:pt>
                <c:pt idx="2">
                  <c:v>0.000943728099173556</c:v>
                </c:pt>
                <c:pt idx="3">
                  <c:v>0.000755140495867763</c:v>
                </c:pt>
                <c:pt idx="4">
                  <c:v>0.000563140495867768</c:v>
                </c:pt>
                <c:pt idx="5">
                  <c:v>0.000830429752066115</c:v>
                </c:pt>
              </c:numCache>
            </c:numRef>
          </c:yVal>
          <c:smooth val="0"/>
        </c:ser>
        <c:dLbls>
          <c:showLegendKey val="0"/>
          <c:showVal val="0"/>
          <c:showCatName val="0"/>
          <c:showSerName val="0"/>
          <c:showPercent val="0"/>
          <c:showBubbleSize val="0"/>
        </c:dLbls>
        <c:axId val="-2111379128"/>
        <c:axId val="-2111565352"/>
      </c:scatterChart>
      <c:valAx>
        <c:axId val="-2111379128"/>
        <c:scaling>
          <c:orientation val="minMax"/>
        </c:scaling>
        <c:delete val="0"/>
        <c:axPos val="b"/>
        <c:title>
          <c:tx>
            <c:rich>
              <a:bodyPr/>
              <a:lstStyle/>
              <a:p>
                <a:pPr>
                  <a:defRPr/>
                </a:pPr>
                <a:r>
                  <a:rPr lang="en-US" sz="600"/>
                  <a:t>Da</a:t>
                </a:r>
                <a:r>
                  <a:rPr lang="en-US" sz="600" baseline="0"/>
                  <a:t>y of Experiment</a:t>
                </a:r>
                <a:endParaRPr lang="en-US" sz="600"/>
              </a:p>
            </c:rich>
          </c:tx>
          <c:layout/>
          <c:overlay val="0"/>
        </c:title>
        <c:numFmt formatCode="General" sourceLinked="1"/>
        <c:majorTickMark val="out"/>
        <c:minorTickMark val="none"/>
        <c:tickLblPos val="nextTo"/>
        <c:txPr>
          <a:bodyPr/>
          <a:lstStyle/>
          <a:p>
            <a:pPr>
              <a:defRPr sz="600" b="1"/>
            </a:pPr>
            <a:endParaRPr lang="en-US"/>
          </a:p>
        </c:txPr>
        <c:crossAx val="-2111565352"/>
        <c:crosses val="autoZero"/>
        <c:crossBetween val="midCat"/>
      </c:valAx>
      <c:valAx>
        <c:axId val="-2111565352"/>
        <c:scaling>
          <c:orientation val="minMax"/>
        </c:scaling>
        <c:delete val="0"/>
        <c:axPos val="l"/>
        <c:title>
          <c:tx>
            <c:rich>
              <a:bodyPr rot="-5400000" vert="horz"/>
              <a:lstStyle/>
              <a:p>
                <a:pPr>
                  <a:defRPr/>
                </a:pPr>
                <a:r>
                  <a:rPr lang="en-US" sz="600"/>
                  <a:t>Variance</a:t>
                </a:r>
                <a:r>
                  <a:rPr lang="en-US" sz="600" baseline="0"/>
                  <a:t> in max growth rate </a:t>
                </a:r>
                <a:endParaRPr lang="en-US" sz="600"/>
              </a:p>
            </c:rich>
          </c:tx>
          <c:layout/>
          <c:overlay val="0"/>
        </c:title>
        <c:numFmt formatCode="General" sourceLinked="1"/>
        <c:majorTickMark val="out"/>
        <c:minorTickMark val="none"/>
        <c:tickLblPos val="nextTo"/>
        <c:txPr>
          <a:bodyPr/>
          <a:lstStyle/>
          <a:p>
            <a:pPr>
              <a:defRPr sz="600" b="1"/>
            </a:pPr>
            <a:endParaRPr lang="en-US"/>
          </a:p>
        </c:txPr>
        <c:crossAx val="-2111379128"/>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b="0"/>
            </a:pPr>
            <a:r>
              <a:rPr lang="en-US" sz="1400" b="0"/>
              <a:t>Nalidix Acid Mutation Rate with 95% CI</a:t>
            </a:r>
          </a:p>
        </c:rich>
      </c:tx>
      <c:layout>
        <c:manualLayout>
          <c:xMode val="edge"/>
          <c:yMode val="edge"/>
          <c:x val="0.147241724992709"/>
          <c:y val="0.0424178154825026"/>
        </c:manualLayout>
      </c:layout>
      <c:overlay val="0"/>
      <c:spPr>
        <a:noFill/>
        <a:ln>
          <a:noFill/>
        </a:ln>
        <a:effectLst/>
      </c:spPr>
    </c:title>
    <c:autoTitleDeleted val="0"/>
    <c:plotArea>
      <c:layout/>
      <c:scatterChart>
        <c:scatterStyle val="lineMarker"/>
        <c:varyColors val="0"/>
        <c:ser>
          <c:idx val="0"/>
          <c:order val="0"/>
          <c:tx>
            <c:strRef>
              <c:f>'LB mutation rates '!$K$1</c:f>
              <c:strCache>
                <c:ptCount val="1"/>
                <c:pt idx="0">
                  <c:v>Nal mu</c:v>
                </c:pt>
              </c:strCache>
            </c:strRef>
          </c:tx>
          <c:spPr>
            <a:ln w="31750" cap="rnd">
              <a:no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'LB mutation rates '!$N$2:$N$21</c:f>
                <c:numCache>
                  <c:formatCode>General</c:formatCode>
                  <c:ptCount val="20"/>
                  <c:pt idx="0">
                    <c:v>-0.104846801331778</c:v>
                  </c:pt>
                  <c:pt idx="1">
                    <c:v>-0.198027288849475</c:v>
                  </c:pt>
                  <c:pt idx="2">
                    <c:v>-0.851148630918981</c:v>
                  </c:pt>
                  <c:pt idx="4">
                    <c:v>-0.104333863178044</c:v>
                  </c:pt>
                  <c:pt idx="5">
                    <c:v>-0.179893334959901</c:v>
                  </c:pt>
                  <c:pt idx="6">
                    <c:v>0.0</c:v>
                  </c:pt>
                  <c:pt idx="7">
                    <c:v>-0.210440532284085</c:v>
                  </c:pt>
                  <c:pt idx="8">
                    <c:v>-0.116267807617834</c:v>
                  </c:pt>
                  <c:pt idx="9">
                    <c:v>-0.131974395571032</c:v>
                  </c:pt>
                  <c:pt idx="11">
                    <c:v>-0.0908238835184951</c:v>
                  </c:pt>
                  <c:pt idx="12">
                    <c:v>-0.380295472694165</c:v>
                  </c:pt>
                  <c:pt idx="13">
                    <c:v>-0.0893133238086507</c:v>
                  </c:pt>
                  <c:pt idx="14">
                    <c:v>-0.119487634165489</c:v>
                  </c:pt>
                  <c:pt idx="15">
                    <c:v>0.0</c:v>
                  </c:pt>
                  <c:pt idx="16">
                    <c:v>-0.164100439533637</c:v>
                  </c:pt>
                  <c:pt idx="17">
                    <c:v>-0.113096774101331</c:v>
                  </c:pt>
                  <c:pt idx="18">
                    <c:v>-0.183410873881892</c:v>
                  </c:pt>
                  <c:pt idx="19">
                    <c:v>-0.139889238907588</c:v>
                  </c:pt>
                </c:numCache>
              </c:numRef>
            </c:plus>
            <c:minus>
              <c:numRef>
                <c:f>'LB mutation rates '!$O$2:$O$21</c:f>
                <c:numCache>
                  <c:formatCode>General</c:formatCode>
                  <c:ptCount val="20"/>
                  <c:pt idx="0">
                    <c:v>-0.104846790189169</c:v>
                  </c:pt>
                  <c:pt idx="1">
                    <c:v>-0.198027219489968</c:v>
                  </c:pt>
                  <c:pt idx="2">
                    <c:v>-0.851148676808077</c:v>
                  </c:pt>
                  <c:pt idx="4">
                    <c:v>-0.104333848580023</c:v>
                  </c:pt>
                  <c:pt idx="5">
                    <c:v>-0.179893406721003</c:v>
                  </c:pt>
                  <c:pt idx="6">
                    <c:v>0.0</c:v>
                  </c:pt>
                  <c:pt idx="7">
                    <c:v>-0.210440640783371</c:v>
                  </c:pt>
                  <c:pt idx="8">
                    <c:v>-0.116267978348142</c:v>
                  </c:pt>
                  <c:pt idx="9">
                    <c:v>-0.131974570214952</c:v>
                  </c:pt>
                  <c:pt idx="11">
                    <c:v>-0.0908239259833676</c:v>
                  </c:pt>
                  <c:pt idx="12">
                    <c:v>-0.380295340692553</c:v>
                  </c:pt>
                  <c:pt idx="13">
                    <c:v>-0.0893130235231014</c:v>
                  </c:pt>
                  <c:pt idx="14">
                    <c:v>-0.119487545600196</c:v>
                  </c:pt>
                  <c:pt idx="15">
                    <c:v>0.0</c:v>
                  </c:pt>
                  <c:pt idx="16">
                    <c:v>-0.164100511993167</c:v>
                  </c:pt>
                  <c:pt idx="17">
                    <c:v>-0.113127775575313</c:v>
                  </c:pt>
                  <c:pt idx="18">
                    <c:v>-0.1834107614306</c:v>
                  </c:pt>
                  <c:pt idx="19">
                    <c:v>-0.139889226314648</c:v>
                  </c:pt>
                </c:numCache>
              </c:numRef>
            </c:minus>
            <c:spPr>
              <a:noFill/>
              <a:ln w="9525" cap="flat" cmpd="sng" algn="ctr">
                <a:solidFill>
                  <a:schemeClr val="tx1">
                    <a:lumMod val="65000"/>
                    <a:lumOff val="35000"/>
                  </a:schemeClr>
                </a:solidFill>
                <a:round/>
              </a:ln>
              <a:effectLst/>
            </c:spPr>
          </c:errBars>
          <c:xVal>
            <c:numRef>
              <c:f>'LB mutation rates '!$J$2:$J$21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'LB mutation rates '!$K$2:$K$21</c:f>
              <c:numCache>
                <c:formatCode>0.00E+00</c:formatCode>
                <c:ptCount val="20"/>
                <c:pt idx="0">
                  <c:v>-5.750278357882657</c:v>
                </c:pt>
                <c:pt idx="1">
                  <c:v>-6.91938289163173</c:v>
                </c:pt>
                <c:pt idx="2">
                  <c:v>-7.137824239013196</c:v>
                </c:pt>
                <c:pt idx="4">
                  <c:v>-5.188602166114648</c:v>
                </c:pt>
                <c:pt idx="5">
                  <c:v>-6.335802981136227</c:v>
                </c:pt>
                <c:pt idx="7">
                  <c:v>-6.550021254831001</c:v>
                </c:pt>
                <c:pt idx="8">
                  <c:v>-5.965044041228878</c:v>
                </c:pt>
                <c:pt idx="9">
                  <c:v>-6.064881758105505</c:v>
                </c:pt>
                <c:pt idx="11">
                  <c:v>-6.031714350007105</c:v>
                </c:pt>
                <c:pt idx="12">
                  <c:v>-6.55045279797203</c:v>
                </c:pt>
                <c:pt idx="13">
                  <c:v>-5.759958474063396</c:v>
                </c:pt>
                <c:pt idx="14">
                  <c:v>-6.2918193456</c:v>
                </c:pt>
                <c:pt idx="16">
                  <c:v>-6.169262913926084</c:v>
                </c:pt>
                <c:pt idx="17">
                  <c:v>-4.688246138944245</c:v>
                </c:pt>
                <c:pt idx="18">
                  <c:v>-6.760756094097167</c:v>
                </c:pt>
                <c:pt idx="19">
                  <c:v>-6.69965303494631</c:v>
                </c:pt>
              </c:numCache>
            </c:numRef>
          </c:yVal>
          <c:smooth val="0"/>
        </c:ser>
        <c:ser>
          <c:idx val="1"/>
          <c:order val="1"/>
          <c:tx>
            <c:v>Nal_anc</c:v>
          </c:tx>
          <c:spPr>
            <a:ln w="25400" cap="rnd">
              <a:solidFill>
                <a:schemeClr val="accent1"/>
              </a:solidFill>
              <a:round/>
            </a:ln>
            <a:effectLst/>
          </c:spPr>
          <c:marker>
            <c:symbol val="none"/>
          </c:marker>
          <c:xVal>
            <c:numRef>
              <c:f>'LB mutation rates '!$J$2:$J$21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'LB mutation rates '!$P$2:$P$21</c:f>
              <c:numCache>
                <c:formatCode>0.00E+00</c:formatCode>
                <c:ptCount val="20"/>
                <c:pt idx="0">
                  <c:v>-5.452023204009001</c:v>
                </c:pt>
                <c:pt idx="1">
                  <c:v>-5.452023204009001</c:v>
                </c:pt>
                <c:pt idx="2">
                  <c:v>-5.452023204009001</c:v>
                </c:pt>
                <c:pt idx="3">
                  <c:v>-5.452023204009001</c:v>
                </c:pt>
                <c:pt idx="4">
                  <c:v>-5.452023204009001</c:v>
                </c:pt>
                <c:pt idx="5">
                  <c:v>-5.452023204009001</c:v>
                </c:pt>
                <c:pt idx="6">
                  <c:v>-5.452023204009001</c:v>
                </c:pt>
                <c:pt idx="7">
                  <c:v>-5.452023204009001</c:v>
                </c:pt>
                <c:pt idx="8">
                  <c:v>-5.452023204009001</c:v>
                </c:pt>
                <c:pt idx="9">
                  <c:v>-5.452023204009001</c:v>
                </c:pt>
                <c:pt idx="10">
                  <c:v>-5.452023204009001</c:v>
                </c:pt>
                <c:pt idx="11">
                  <c:v>-5.452023204009001</c:v>
                </c:pt>
                <c:pt idx="12">
                  <c:v>-5.452023204009001</c:v>
                </c:pt>
                <c:pt idx="13">
                  <c:v>-5.452023204009001</c:v>
                </c:pt>
                <c:pt idx="14">
                  <c:v>-5.452023204009001</c:v>
                </c:pt>
                <c:pt idx="15">
                  <c:v>-5.452023204009001</c:v>
                </c:pt>
                <c:pt idx="16">
                  <c:v>-5.452023204009001</c:v>
                </c:pt>
                <c:pt idx="17">
                  <c:v>-5.452023204009001</c:v>
                </c:pt>
                <c:pt idx="18">
                  <c:v>-5.45222529461218</c:v>
                </c:pt>
                <c:pt idx="19">
                  <c:v>-5.452023204009001</c:v>
                </c:pt>
              </c:numCache>
            </c:numRef>
          </c:yVal>
          <c:smooth val="0"/>
        </c:ser>
        <c:ser>
          <c:idx val="2"/>
          <c:order val="2"/>
          <c:spPr>
            <a:ln w="25400" cap="rnd">
              <a:solidFill>
                <a:schemeClr val="accent1"/>
              </a:solidFill>
              <a:prstDash val="dashDot"/>
              <a:round/>
            </a:ln>
            <a:effectLst/>
          </c:spPr>
          <c:marker>
            <c:symbol val="none"/>
          </c:marker>
          <c:xVal>
            <c:numRef>
              <c:f>'LB mutation rates '!$J$2:$J$21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'LB mutation rates '!$Q$2:$Q$21</c:f>
              <c:numCache>
                <c:formatCode>0.00E+00</c:formatCode>
                <c:ptCount val="20"/>
                <c:pt idx="0">
                  <c:v>-5.549917403148773</c:v>
                </c:pt>
                <c:pt idx="1">
                  <c:v>-5.549917403148773</c:v>
                </c:pt>
                <c:pt idx="2">
                  <c:v>-5.549917403148773</c:v>
                </c:pt>
                <c:pt idx="3">
                  <c:v>-5.549917403148773</c:v>
                </c:pt>
                <c:pt idx="4">
                  <c:v>-5.549917403148773</c:v>
                </c:pt>
                <c:pt idx="5">
                  <c:v>-5.549917403148773</c:v>
                </c:pt>
                <c:pt idx="6">
                  <c:v>-5.549917403148773</c:v>
                </c:pt>
                <c:pt idx="7">
                  <c:v>-5.549917403148773</c:v>
                </c:pt>
                <c:pt idx="8">
                  <c:v>-5.549917403148773</c:v>
                </c:pt>
                <c:pt idx="9">
                  <c:v>-5.549917403148773</c:v>
                </c:pt>
                <c:pt idx="10">
                  <c:v>-5.549917403148773</c:v>
                </c:pt>
                <c:pt idx="11">
                  <c:v>-5.549917403148773</c:v>
                </c:pt>
                <c:pt idx="12">
                  <c:v>-5.549917403148773</c:v>
                </c:pt>
                <c:pt idx="13">
                  <c:v>-5.549917403148773</c:v>
                </c:pt>
                <c:pt idx="14">
                  <c:v>-5.549917403148773</c:v>
                </c:pt>
                <c:pt idx="15">
                  <c:v>-5.549917403148773</c:v>
                </c:pt>
                <c:pt idx="16">
                  <c:v>-5.549917403148773</c:v>
                </c:pt>
                <c:pt idx="17">
                  <c:v>-5.549917403148773</c:v>
                </c:pt>
                <c:pt idx="18">
                  <c:v>-5.549917403148773</c:v>
                </c:pt>
                <c:pt idx="19">
                  <c:v>-5.549917403148773</c:v>
                </c:pt>
              </c:numCache>
            </c:numRef>
          </c:yVal>
          <c:smooth val="0"/>
        </c:ser>
        <c:ser>
          <c:idx val="3"/>
          <c:order val="3"/>
          <c:spPr>
            <a:ln w="25400" cap="rnd">
              <a:solidFill>
                <a:schemeClr val="accent1"/>
              </a:solidFill>
              <a:prstDash val="dashDot"/>
              <a:round/>
            </a:ln>
            <a:effectLst/>
          </c:spPr>
          <c:marker>
            <c:symbol val="none"/>
          </c:marker>
          <c:xVal>
            <c:numRef>
              <c:f>'LB mutation rates '!$J$2:$J$21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'LB mutation rates '!$R$2:$R$21</c:f>
              <c:numCache>
                <c:formatCode>0.00E+00</c:formatCode>
                <c:ptCount val="20"/>
                <c:pt idx="0">
                  <c:v>-5.354128929644426</c:v>
                </c:pt>
                <c:pt idx="1">
                  <c:v>-5.354128929644426</c:v>
                </c:pt>
                <c:pt idx="2">
                  <c:v>-5.354128929644426</c:v>
                </c:pt>
                <c:pt idx="3">
                  <c:v>-5.354128929644426</c:v>
                </c:pt>
                <c:pt idx="4">
                  <c:v>-5.354128929644426</c:v>
                </c:pt>
                <c:pt idx="5">
                  <c:v>-5.354128929644426</c:v>
                </c:pt>
                <c:pt idx="6">
                  <c:v>-5.354128929644426</c:v>
                </c:pt>
                <c:pt idx="7">
                  <c:v>-5.354128929644426</c:v>
                </c:pt>
                <c:pt idx="8">
                  <c:v>-5.354128929644426</c:v>
                </c:pt>
                <c:pt idx="9">
                  <c:v>-5.354128929644426</c:v>
                </c:pt>
                <c:pt idx="10">
                  <c:v>-5.354128929644426</c:v>
                </c:pt>
                <c:pt idx="11">
                  <c:v>-5.354128929644426</c:v>
                </c:pt>
                <c:pt idx="12">
                  <c:v>-5.354128929644426</c:v>
                </c:pt>
                <c:pt idx="13">
                  <c:v>-5.354128929644426</c:v>
                </c:pt>
                <c:pt idx="14">
                  <c:v>-5.354128929644426</c:v>
                </c:pt>
                <c:pt idx="15">
                  <c:v>-5.354128929644426</c:v>
                </c:pt>
                <c:pt idx="16">
                  <c:v>-5.354128929644426</c:v>
                </c:pt>
                <c:pt idx="17">
                  <c:v>-5.354128929644426</c:v>
                </c:pt>
                <c:pt idx="18">
                  <c:v>-5.354128929644426</c:v>
                </c:pt>
                <c:pt idx="19">
                  <c:v>-5.354128929644426</c:v>
                </c:pt>
              </c:numCache>
            </c:numRef>
          </c:yVal>
          <c:smooth val="0"/>
        </c:ser>
        <c:ser>
          <c:idx val="4"/>
          <c:order val="4"/>
          <c:tx>
            <c:v>Nal_pop_redo</c:v>
          </c:tx>
          <c:spPr>
            <a:ln w="25400" cap="rnd">
              <a:noFill/>
              <a:round/>
            </a:ln>
            <a:effectLst/>
          </c:spPr>
          <c:marker>
            <c:symbol val="circle"/>
            <c:size val="5"/>
            <c:spPr>
              <a:solidFill>
                <a:schemeClr val="accent2"/>
              </a:solidFill>
              <a:ln w="9525">
                <a:solidFill>
                  <a:schemeClr val="accent5"/>
                </a:solidFill>
              </a:ln>
              <a:effectLst/>
            </c:spPr>
          </c:marker>
          <c:errBars>
            <c:errDir val="y"/>
            <c:errBarType val="both"/>
            <c:errValType val="cust"/>
            <c:noEndCap val="0"/>
            <c:plus>
              <c:numRef>
                <c:f>'LB mutation rates '!$C$24:$C$43</c:f>
                <c:numCache>
                  <c:formatCode>General</c:formatCode>
                  <c:ptCount val="20"/>
                  <c:pt idx="0">
                    <c:v>0.107450266775966</c:v>
                  </c:pt>
                  <c:pt idx="1">
                    <c:v>0.12596358556502</c:v>
                  </c:pt>
                  <c:pt idx="4">
                    <c:v>0.149942321523043</c:v>
                  </c:pt>
                  <c:pt idx="5">
                    <c:v>0.172119053443543</c:v>
                  </c:pt>
                  <c:pt idx="6">
                    <c:v>0.118801557061848</c:v>
                  </c:pt>
                  <c:pt idx="7">
                    <c:v>0.233327019205944</c:v>
                  </c:pt>
                  <c:pt idx="8">
                    <c:v>0.085577512194364</c:v>
                  </c:pt>
                  <c:pt idx="9">
                    <c:v>0.0956094418029129</c:v>
                  </c:pt>
                  <c:pt idx="11">
                    <c:v>0.0851567539225497</c:v>
                  </c:pt>
                  <c:pt idx="12">
                    <c:v>0.701182544646527</c:v>
                  </c:pt>
                  <c:pt idx="13">
                    <c:v>0.0913867136947868</c:v>
                  </c:pt>
                  <c:pt idx="14">
                    <c:v>0.153723127175646</c:v>
                  </c:pt>
                  <c:pt idx="15">
                    <c:v>0.0851538684964339</c:v>
                  </c:pt>
                  <c:pt idx="16">
                    <c:v>0.401996479839539</c:v>
                  </c:pt>
                  <c:pt idx="17">
                    <c:v>0.150634839386691</c:v>
                  </c:pt>
                  <c:pt idx="18">
                    <c:v>0.156351573823533</c:v>
                  </c:pt>
                  <c:pt idx="19">
                    <c:v>0.156282603172045</c:v>
                  </c:pt>
                </c:numCache>
              </c:numRef>
            </c:plus>
            <c:minus>
              <c:numRef>
                <c:f>'LB mutation rates '!$D$24:$D$43</c:f>
                <c:numCache>
                  <c:formatCode>General</c:formatCode>
                  <c:ptCount val="20"/>
                  <c:pt idx="0">
                    <c:v>0.107449861835965</c:v>
                  </c:pt>
                  <c:pt idx="1">
                    <c:v>0.125963456803885</c:v>
                  </c:pt>
                  <c:pt idx="4">
                    <c:v>0.149942326090548</c:v>
                  </c:pt>
                  <c:pt idx="5">
                    <c:v>0.172119043175023</c:v>
                  </c:pt>
                  <c:pt idx="6">
                    <c:v>0.118801418995512</c:v>
                  </c:pt>
                  <c:pt idx="7">
                    <c:v>0.23332713789663</c:v>
                  </c:pt>
                  <c:pt idx="8">
                    <c:v>0.0855779395171208</c:v>
                  </c:pt>
                  <c:pt idx="9">
                    <c:v>0.0956093583403632</c:v>
                  </c:pt>
                  <c:pt idx="11">
                    <c:v>0.0851563885131234</c:v>
                  </c:pt>
                  <c:pt idx="12">
                    <c:v>0.700432191339804</c:v>
                  </c:pt>
                  <c:pt idx="13">
                    <c:v>0.0913867397939656</c:v>
                  </c:pt>
                  <c:pt idx="14">
                    <c:v>0.153723191664102</c:v>
                  </c:pt>
                  <c:pt idx="15">
                    <c:v>0.0851538020361575</c:v>
                  </c:pt>
                  <c:pt idx="16">
                    <c:v>0.401996636990869</c:v>
                  </c:pt>
                  <c:pt idx="17">
                    <c:v>0.150634813772716</c:v>
                  </c:pt>
                  <c:pt idx="18">
                    <c:v>0.156351665211957</c:v>
                  </c:pt>
                  <c:pt idx="19">
                    <c:v>0.156282960498558</c:v>
                  </c:pt>
                </c:numCache>
              </c:numRef>
            </c:minus>
            <c:spPr>
              <a:noFill/>
              <a:ln w="9525" cap="flat" cmpd="sng" algn="ctr">
                <a:solidFill>
                  <a:schemeClr val="tx1">
                    <a:lumMod val="65000"/>
                    <a:lumOff val="35000"/>
                  </a:schemeClr>
                </a:solidFill>
                <a:round/>
              </a:ln>
              <a:effectLst/>
            </c:spPr>
          </c:errBars>
          <c:xVal>
            <c:numRef>
              <c:f>'LB mutation rates '!$A$24:$A$43</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'LB mutation rates '!$B$24:$B$43</c:f>
              <c:numCache>
                <c:formatCode>General</c:formatCode>
                <c:ptCount val="20"/>
                <c:pt idx="0">
                  <c:v>-5.754534959135284</c:v>
                </c:pt>
                <c:pt idx="1">
                  <c:v>-6.25851016153411</c:v>
                </c:pt>
                <c:pt idx="4">
                  <c:v>-5.152142983423011</c:v>
                </c:pt>
                <c:pt idx="5">
                  <c:v>-6.35814669191865</c:v>
                </c:pt>
                <c:pt idx="6">
                  <c:v>-5.90558128334811</c:v>
                </c:pt>
                <c:pt idx="7">
                  <c:v>-5.787473884436162</c:v>
                </c:pt>
                <c:pt idx="8">
                  <c:v>-5.815539970690377</c:v>
                </c:pt>
                <c:pt idx="9">
                  <c:v>-5.945980580387975</c:v>
                </c:pt>
                <c:pt idx="11">
                  <c:v>-5.882702514855985</c:v>
                </c:pt>
                <c:pt idx="12">
                  <c:v>-4.829738284605042</c:v>
                </c:pt>
                <c:pt idx="13">
                  <c:v>-5.798084490074566</c:v>
                </c:pt>
                <c:pt idx="14">
                  <c:v>-6.065062880450617</c:v>
                </c:pt>
                <c:pt idx="15">
                  <c:v>-6.066536604066679</c:v>
                </c:pt>
                <c:pt idx="16">
                  <c:v>-5.52665903581407</c:v>
                </c:pt>
                <c:pt idx="17">
                  <c:v>-5.237760077618306</c:v>
                </c:pt>
                <c:pt idx="18">
                  <c:v>-6.684272465748365</c:v>
                </c:pt>
                <c:pt idx="19">
                  <c:v>-6.665675551128944</c:v>
                </c:pt>
              </c:numCache>
            </c:numRef>
          </c:yVal>
          <c:smooth val="0"/>
        </c:ser>
        <c:dLbls>
          <c:showLegendKey val="0"/>
          <c:showVal val="0"/>
          <c:showCatName val="0"/>
          <c:showSerName val="0"/>
          <c:showPercent val="0"/>
          <c:showBubbleSize val="0"/>
        </c:dLbls>
        <c:axId val="-2112066040"/>
        <c:axId val="-2111964984"/>
      </c:scatterChart>
      <c:valAx>
        <c:axId val="-2112066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Population Number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111964984"/>
        <c:crosses val="autoZero"/>
        <c:crossBetween val="midCat"/>
      </c:valAx>
      <c:valAx>
        <c:axId val="-2111964984"/>
        <c:scaling>
          <c:orientation val="minMax"/>
          <c:max val="-4.0"/>
          <c:min val="-9.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log10 (mutation rate)</a:t>
                </a:r>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112066040"/>
        <c:crosses val="autoZero"/>
        <c:crossBetween val="midCat"/>
        <c:majorUnit val="1.0"/>
        <c:minorUnit val="0.2"/>
      </c:valAx>
      <c:spPr>
        <a:solidFill>
          <a:schemeClr val="bg1"/>
        </a:solidFill>
        <a:ln w="19050" cmpd="sng">
          <a:solidFill>
            <a:schemeClr val="tx1"/>
          </a:solidFill>
        </a:ln>
        <a:effectLst/>
      </c:spPr>
    </c:plotArea>
    <c:legend>
      <c:legendPos val="r"/>
      <c:legendEntry>
        <c:idx val="2"/>
        <c:delete val="1"/>
      </c:legendEntry>
      <c:legendEntry>
        <c:idx val="3"/>
        <c:delete val="1"/>
      </c:legendEntry>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00000"/>
                </a:solidFill>
                <a:latin typeface="+mn-lt"/>
                <a:ea typeface="+mn-ea"/>
                <a:cs typeface="+mn-cs"/>
              </a:defRPr>
            </a:pPr>
            <a:r>
              <a:rPr lang="en-US">
                <a:solidFill>
                  <a:srgbClr val="000000"/>
                </a:solidFill>
              </a:rPr>
              <a:t>Nalidixic Acid Mutation</a:t>
            </a:r>
            <a:r>
              <a:rPr lang="en-US" baseline="0">
                <a:solidFill>
                  <a:srgbClr val="000000"/>
                </a:solidFill>
              </a:rPr>
              <a:t> Rate with 95% CI</a:t>
            </a:r>
            <a:endParaRPr lang="en-US">
              <a:solidFill>
                <a:srgbClr val="000000"/>
              </a:solidFill>
            </a:endParaRPr>
          </a:p>
        </c:rich>
      </c:tx>
      <c:layout>
        <c:manualLayout>
          <c:xMode val="edge"/>
          <c:yMode val="edge"/>
          <c:x val="0.147169364246136"/>
          <c:y val="0.0504071345482745"/>
        </c:manualLayout>
      </c:layout>
      <c:overlay val="0"/>
      <c:spPr>
        <a:noFill/>
        <a:ln>
          <a:noFill/>
        </a:ln>
        <a:effectLst/>
      </c:spPr>
    </c:title>
    <c:autoTitleDeleted val="0"/>
    <c:plotArea>
      <c:layout/>
      <c:scatterChart>
        <c:scatterStyle val="lineMarker"/>
        <c:varyColors val="0"/>
        <c:ser>
          <c:idx val="0"/>
          <c:order val="0"/>
          <c:tx>
            <c:strRef>
              <c:f>'MG mutation rates'!$B$1</c:f>
              <c:strCache>
                <c:ptCount val="1"/>
                <c:pt idx="0">
                  <c:v>Nal mu</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'MG mutation rates'!$A$2:$A$18</c:f>
              <c:numCache>
                <c:formatCode>General</c:formatCode>
                <c:ptCount val="17"/>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numCache>
            </c:numRef>
          </c:xVal>
          <c:yVal>
            <c:numRef>
              <c:f>'MG mutation rates'!$B$2:$B$18</c:f>
            </c:numRef>
          </c:yVal>
          <c:smooth val="0"/>
        </c:ser>
        <c:ser>
          <c:idx val="1"/>
          <c:order val="1"/>
          <c:tx>
            <c:strRef>
              <c:f>'MG mutation rates'!$C$1</c:f>
              <c:strCache>
                <c:ptCount val="1"/>
                <c:pt idx="0">
                  <c:v>95% +VE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'MG mutation rates'!$A$2:$A$18</c:f>
              <c:numCache>
                <c:formatCode>General</c:formatCode>
                <c:ptCount val="17"/>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numCache>
            </c:numRef>
          </c:xVal>
          <c:yVal>
            <c:numRef>
              <c:f>'MG mutation rates'!$C$2:$C$18</c:f>
            </c:numRef>
          </c:yVal>
          <c:smooth val="0"/>
        </c:ser>
        <c:ser>
          <c:idx val="2"/>
          <c:order val="2"/>
          <c:tx>
            <c:strRef>
              <c:f>'MG mutation rates'!$D$1</c:f>
              <c:strCache>
                <c:ptCount val="1"/>
                <c:pt idx="0">
                  <c:v>95% -VE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'MG mutation rates'!$A$2:$A$18</c:f>
              <c:numCache>
                <c:formatCode>General</c:formatCode>
                <c:ptCount val="17"/>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numCache>
            </c:numRef>
          </c:xVal>
          <c:yVal>
            <c:numRef>
              <c:f>'MG mutation rates'!$D$2:$D$18</c:f>
            </c:numRef>
          </c:yVal>
          <c:smooth val="0"/>
        </c:ser>
        <c:ser>
          <c:idx val="3"/>
          <c:order val="3"/>
          <c:tx>
            <c:v>Nal_Pop</c:v>
          </c:tx>
          <c:spPr>
            <a:ln w="31750" cap="rnd">
              <a:no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'MG mutation rates'!$H$2:$H$18</c:f>
                <c:numCache>
                  <c:formatCode>General</c:formatCode>
                  <c:ptCount val="17"/>
                  <c:pt idx="1">
                    <c:v>0.215802256268306</c:v>
                  </c:pt>
                  <c:pt idx="4">
                    <c:v>0.267092703256194</c:v>
                  </c:pt>
                  <c:pt idx="5">
                    <c:v>0.252654136277108</c:v>
                  </c:pt>
                  <c:pt idx="6">
                    <c:v>0.368400882839953</c:v>
                  </c:pt>
                  <c:pt idx="8">
                    <c:v>0.171831031079911</c:v>
                  </c:pt>
                  <c:pt idx="12">
                    <c:v>0.609913193475195</c:v>
                  </c:pt>
                  <c:pt idx="13">
                    <c:v>0.156835928705999</c:v>
                  </c:pt>
                  <c:pt idx="15">
                    <c:v>0.412621224615735</c:v>
                  </c:pt>
                  <c:pt idx="16">
                    <c:v>0.330578070599456</c:v>
                  </c:pt>
                </c:numCache>
              </c:numRef>
            </c:plus>
            <c:minus>
              <c:numRef>
                <c:f>'MG mutation rates'!$I$2:$I$18</c:f>
                <c:numCache>
                  <c:formatCode>General</c:formatCode>
                  <c:ptCount val="17"/>
                  <c:pt idx="1">
                    <c:v>0.21580238663523</c:v>
                  </c:pt>
                  <c:pt idx="4">
                    <c:v>0.267092679473894</c:v>
                  </c:pt>
                  <c:pt idx="5">
                    <c:v>0.252653994795328</c:v>
                  </c:pt>
                  <c:pt idx="6">
                    <c:v>0.368401126452975</c:v>
                  </c:pt>
                  <c:pt idx="8">
                    <c:v>0.171831143092747</c:v>
                  </c:pt>
                  <c:pt idx="12">
                    <c:v>0.609913218805313</c:v>
                  </c:pt>
                  <c:pt idx="13">
                    <c:v>0.156836071235165</c:v>
                  </c:pt>
                  <c:pt idx="15">
                    <c:v>0.412621006106506</c:v>
                  </c:pt>
                  <c:pt idx="16">
                    <c:v>0.330578172757306</c:v>
                  </c:pt>
                </c:numCache>
              </c:numRef>
            </c:minus>
            <c:spPr>
              <a:noFill/>
              <a:ln w="9525" cap="flat" cmpd="sng" algn="ctr">
                <a:solidFill>
                  <a:schemeClr val="tx1">
                    <a:lumMod val="65000"/>
                    <a:lumOff val="35000"/>
                  </a:schemeClr>
                </a:solidFill>
                <a:round/>
              </a:ln>
              <a:effectLst/>
            </c:spPr>
          </c:errBars>
          <c:xVal>
            <c:numRef>
              <c:f>'MG mutation rates'!$A$2:$A$18</c:f>
              <c:numCache>
                <c:formatCode>General</c:formatCode>
                <c:ptCount val="17"/>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numCache>
            </c:numRef>
          </c:xVal>
          <c:yVal>
            <c:numRef>
              <c:f>'MG mutation rates'!$E$2:$E$18</c:f>
              <c:numCache>
                <c:formatCode>General</c:formatCode>
                <c:ptCount val="17"/>
                <c:pt idx="1">
                  <c:v>-7.082002341432706</c:v>
                </c:pt>
                <c:pt idx="4">
                  <c:v>-7.341177945593028</c:v>
                </c:pt>
                <c:pt idx="5">
                  <c:v>-8.001943990378615</c:v>
                </c:pt>
                <c:pt idx="6">
                  <c:v>-7.822319528623225</c:v>
                </c:pt>
                <c:pt idx="8">
                  <c:v>-7.309590547678965</c:v>
                </c:pt>
                <c:pt idx="12">
                  <c:v>-8.294376755080489</c:v>
                </c:pt>
                <c:pt idx="13">
                  <c:v>-6.92324708389155</c:v>
                </c:pt>
                <c:pt idx="15">
                  <c:v>-8.39645963609383</c:v>
                </c:pt>
                <c:pt idx="16">
                  <c:v>-8.05611850132878</c:v>
                </c:pt>
              </c:numCache>
            </c:numRef>
          </c:yVal>
          <c:smooth val="0"/>
        </c:ser>
        <c:ser>
          <c:idx val="4"/>
          <c:order val="4"/>
          <c:tx>
            <c:strRef>
              <c:f>'MG mutation rates'!$C$1</c:f>
              <c:strCache>
                <c:ptCount val="1"/>
                <c:pt idx="0">
                  <c:v>95% +VE </c:v>
                </c:pt>
              </c:strCache>
            </c:strRef>
          </c:tx>
          <c:spPr>
            <a:ln w="25400" cap="rnd">
              <a:solidFill>
                <a:schemeClr val="accent1"/>
              </a:solidFill>
              <a:round/>
            </a:ln>
            <a:effectLst/>
          </c:spPr>
          <c:marker>
            <c:symbol val="none"/>
          </c:marker>
          <c:xVal>
            <c:numRef>
              <c:f>'MG mutation rates'!$A$2:$A$18</c:f>
              <c:numCache>
                <c:formatCode>General</c:formatCode>
                <c:ptCount val="17"/>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numCache>
            </c:numRef>
          </c:xVal>
          <c:yVal>
            <c:numRef>
              <c:f>'MG mutation rates'!$M$2:$M$18</c:f>
              <c:numCache>
                <c:formatCode>General</c:formatCode>
                <c:ptCount val="17"/>
                <c:pt idx="0">
                  <c:v>-6.862168490493487</c:v>
                </c:pt>
                <c:pt idx="1">
                  <c:v>-6.862168490493487</c:v>
                </c:pt>
                <c:pt idx="2">
                  <c:v>-6.862168490493487</c:v>
                </c:pt>
                <c:pt idx="3">
                  <c:v>-6.862168490493487</c:v>
                </c:pt>
                <c:pt idx="4">
                  <c:v>-6.862168490493487</c:v>
                </c:pt>
                <c:pt idx="5">
                  <c:v>-6.862168490493487</c:v>
                </c:pt>
                <c:pt idx="6">
                  <c:v>-6.862168490493487</c:v>
                </c:pt>
                <c:pt idx="7">
                  <c:v>-6.862168490493487</c:v>
                </c:pt>
                <c:pt idx="8">
                  <c:v>-6.862168490493487</c:v>
                </c:pt>
                <c:pt idx="9">
                  <c:v>-6.862168490493487</c:v>
                </c:pt>
                <c:pt idx="10">
                  <c:v>-6.862168490493487</c:v>
                </c:pt>
                <c:pt idx="11">
                  <c:v>-6.862168490493487</c:v>
                </c:pt>
                <c:pt idx="12">
                  <c:v>-6.862168490493487</c:v>
                </c:pt>
                <c:pt idx="13">
                  <c:v>-6.862168490493487</c:v>
                </c:pt>
                <c:pt idx="14">
                  <c:v>-6.862168490493487</c:v>
                </c:pt>
                <c:pt idx="15">
                  <c:v>-6.862168490493487</c:v>
                </c:pt>
                <c:pt idx="16">
                  <c:v>-6.862168490493487</c:v>
                </c:pt>
              </c:numCache>
            </c:numRef>
          </c:yVal>
          <c:smooth val="0"/>
        </c:ser>
        <c:ser>
          <c:idx val="5"/>
          <c:order val="5"/>
          <c:spPr>
            <a:ln w="25400" cap="rnd">
              <a:solidFill>
                <a:schemeClr val="accent1"/>
              </a:solidFill>
              <a:prstDash val="dashDot"/>
              <a:round/>
            </a:ln>
            <a:effectLst/>
          </c:spPr>
          <c:marker>
            <c:symbol val="none"/>
          </c:marker>
          <c:xVal>
            <c:numRef>
              <c:f>'MG mutation rates'!$A$2:$A$18</c:f>
              <c:numCache>
                <c:formatCode>General</c:formatCode>
                <c:ptCount val="17"/>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numCache>
            </c:numRef>
          </c:xVal>
          <c:yVal>
            <c:numRef>
              <c:f>'MG mutation rates'!$N$2:$N$18</c:f>
              <c:numCache>
                <c:formatCode>General</c:formatCode>
                <c:ptCount val="17"/>
                <c:pt idx="0">
                  <c:v>-6.976534767617585</c:v>
                </c:pt>
                <c:pt idx="1">
                  <c:v>-6.976534767617585</c:v>
                </c:pt>
                <c:pt idx="2">
                  <c:v>-6.976534767617585</c:v>
                </c:pt>
                <c:pt idx="3">
                  <c:v>-6.976534767617585</c:v>
                </c:pt>
                <c:pt idx="4">
                  <c:v>-6.976534767617585</c:v>
                </c:pt>
                <c:pt idx="5">
                  <c:v>-6.976534767617585</c:v>
                </c:pt>
                <c:pt idx="6">
                  <c:v>-6.976534767617585</c:v>
                </c:pt>
                <c:pt idx="7">
                  <c:v>-6.976534767617585</c:v>
                </c:pt>
                <c:pt idx="8">
                  <c:v>-6.976534767617585</c:v>
                </c:pt>
                <c:pt idx="9">
                  <c:v>-6.976534767617585</c:v>
                </c:pt>
                <c:pt idx="10">
                  <c:v>-6.976534767617585</c:v>
                </c:pt>
                <c:pt idx="11">
                  <c:v>-6.976534767617585</c:v>
                </c:pt>
                <c:pt idx="12">
                  <c:v>-6.976534767617585</c:v>
                </c:pt>
                <c:pt idx="13">
                  <c:v>-6.976534767617585</c:v>
                </c:pt>
                <c:pt idx="14">
                  <c:v>-6.976534767617585</c:v>
                </c:pt>
                <c:pt idx="15">
                  <c:v>-6.976534767617585</c:v>
                </c:pt>
                <c:pt idx="16">
                  <c:v>-6.976534767617585</c:v>
                </c:pt>
              </c:numCache>
            </c:numRef>
          </c:yVal>
          <c:smooth val="0"/>
        </c:ser>
        <c:ser>
          <c:idx val="6"/>
          <c:order val="6"/>
          <c:spPr>
            <a:ln w="25400" cap="rnd">
              <a:solidFill>
                <a:schemeClr val="accent1"/>
              </a:solidFill>
              <a:prstDash val="dashDot"/>
              <a:round/>
            </a:ln>
            <a:effectLst/>
          </c:spPr>
          <c:marker>
            <c:symbol val="none"/>
          </c:marker>
          <c:xVal>
            <c:numRef>
              <c:f>'MG mutation rates'!$A$2:$A$18</c:f>
              <c:numCache>
                <c:formatCode>General</c:formatCode>
                <c:ptCount val="17"/>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numCache>
            </c:numRef>
          </c:xVal>
          <c:yVal>
            <c:numRef>
              <c:f>'MG mutation rates'!$O$2:$O$18</c:f>
              <c:numCache>
                <c:formatCode>General</c:formatCode>
                <c:ptCount val="17"/>
                <c:pt idx="0">
                  <c:v>-6.747802301646056</c:v>
                </c:pt>
                <c:pt idx="1">
                  <c:v>-6.747802301646056</c:v>
                </c:pt>
                <c:pt idx="2">
                  <c:v>-6.747802301646056</c:v>
                </c:pt>
                <c:pt idx="3">
                  <c:v>-6.747802301646056</c:v>
                </c:pt>
                <c:pt idx="4">
                  <c:v>-6.747802301646056</c:v>
                </c:pt>
                <c:pt idx="5">
                  <c:v>-6.747802301646056</c:v>
                </c:pt>
                <c:pt idx="6">
                  <c:v>-6.747802301646056</c:v>
                </c:pt>
                <c:pt idx="7">
                  <c:v>-6.747802301646056</c:v>
                </c:pt>
                <c:pt idx="8">
                  <c:v>-6.747802301646056</c:v>
                </c:pt>
                <c:pt idx="9">
                  <c:v>-6.747802301646056</c:v>
                </c:pt>
                <c:pt idx="10">
                  <c:v>-6.747802301646056</c:v>
                </c:pt>
                <c:pt idx="11">
                  <c:v>-6.747802301646056</c:v>
                </c:pt>
                <c:pt idx="12">
                  <c:v>-6.747802301646056</c:v>
                </c:pt>
                <c:pt idx="13">
                  <c:v>-6.747802301646056</c:v>
                </c:pt>
                <c:pt idx="14">
                  <c:v>-6.747802301646056</c:v>
                </c:pt>
                <c:pt idx="15">
                  <c:v>-6.747802301646056</c:v>
                </c:pt>
                <c:pt idx="16">
                  <c:v>-6.747802301646056</c:v>
                </c:pt>
              </c:numCache>
            </c:numRef>
          </c:yVal>
          <c:smooth val="0"/>
        </c:ser>
        <c:ser>
          <c:idx val="7"/>
          <c:order val="7"/>
          <c:tx>
            <c:v>Nal_pop_redo</c:v>
          </c:tx>
          <c:spPr>
            <a:ln w="19050">
              <a:noFill/>
            </a:ln>
          </c:spPr>
          <c:marker>
            <c:symbol val="circle"/>
            <c:size val="5"/>
            <c:spPr>
              <a:solidFill>
                <a:srgbClr val="FF0000"/>
              </a:solidFill>
              <a:ln>
                <a:solidFill>
                  <a:schemeClr val="accent2">
                    <a:lumMod val="75000"/>
                  </a:schemeClr>
                </a:solidFill>
              </a:ln>
            </c:spPr>
          </c:marker>
          <c:errBars>
            <c:errDir val="y"/>
            <c:errBarType val="both"/>
            <c:errValType val="cust"/>
            <c:noEndCap val="0"/>
            <c:plus>
              <c:numRef>
                <c:f>'MG mutation rates'!$H$21:$H$37</c:f>
                <c:numCache>
                  <c:formatCode>General</c:formatCode>
                  <c:ptCount val="17"/>
                  <c:pt idx="1">
                    <c:v>0.126230832733399</c:v>
                  </c:pt>
                  <c:pt idx="4">
                    <c:v>0.217480358663567</c:v>
                  </c:pt>
                  <c:pt idx="5">
                    <c:v>0.238934757803041</c:v>
                  </c:pt>
                  <c:pt idx="6">
                    <c:v>0.277046750013498</c:v>
                  </c:pt>
                  <c:pt idx="8">
                    <c:v>0.142917136316382</c:v>
                  </c:pt>
                  <c:pt idx="12">
                    <c:v>0.406184396955096</c:v>
                  </c:pt>
                  <c:pt idx="13">
                    <c:v>0.100550274861571</c:v>
                  </c:pt>
                  <c:pt idx="15">
                    <c:v>0.182947137691173</c:v>
                  </c:pt>
                  <c:pt idx="16">
                    <c:v>0.17623518072278</c:v>
                  </c:pt>
                </c:numCache>
              </c:numRef>
            </c:plus>
            <c:minus>
              <c:numRef>
                <c:f>'MG mutation rates'!$I$21:$I$37</c:f>
                <c:numCache>
                  <c:formatCode>General</c:formatCode>
                  <c:ptCount val="17"/>
                  <c:pt idx="1">
                    <c:v>0.126230896281712</c:v>
                  </c:pt>
                  <c:pt idx="4">
                    <c:v>0.217480442362779</c:v>
                  </c:pt>
                  <c:pt idx="5">
                    <c:v>0.238934890621516</c:v>
                  </c:pt>
                  <c:pt idx="6">
                    <c:v>0.277046500686708</c:v>
                  </c:pt>
                  <c:pt idx="8">
                    <c:v>0.142916979377806</c:v>
                  </c:pt>
                  <c:pt idx="12">
                    <c:v>0.40618435016106</c:v>
                  </c:pt>
                  <c:pt idx="13">
                    <c:v>0.100550351930959</c:v>
                  </c:pt>
                  <c:pt idx="15">
                    <c:v>0.182947031691363</c:v>
                  </c:pt>
                  <c:pt idx="16">
                    <c:v>0.176235133044108</c:v>
                  </c:pt>
                </c:numCache>
              </c:numRef>
            </c:minus>
          </c:errBars>
          <c:xVal>
            <c:numRef>
              <c:f>'MG mutation rates'!$A$21:$A$37</c:f>
              <c:numCache>
                <c:formatCode>General</c:formatCode>
                <c:ptCount val="17"/>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numCache>
            </c:numRef>
          </c:xVal>
          <c:yVal>
            <c:numRef>
              <c:f>'MG mutation rates'!$N$21:$N$37</c:f>
              <c:numCache>
                <c:formatCode>General</c:formatCode>
                <c:ptCount val="17"/>
                <c:pt idx="1">
                  <c:v>-6.873667352060436</c:v>
                </c:pt>
                <c:pt idx="4">
                  <c:v>-7.784291172716733</c:v>
                </c:pt>
                <c:pt idx="5">
                  <c:v>-8.019004042505866</c:v>
                </c:pt>
                <c:pt idx="6">
                  <c:v>-7.498646653136904</c:v>
                </c:pt>
                <c:pt idx="8">
                  <c:v>-7.035394183309943</c:v>
                </c:pt>
                <c:pt idx="12">
                  <c:v>-8.337832985318833</c:v>
                </c:pt>
                <c:pt idx="13">
                  <c:v>-6.92324708389155</c:v>
                </c:pt>
                <c:pt idx="15">
                  <c:v>-7.743800870971047</c:v>
                </c:pt>
                <c:pt idx="16">
                  <c:v>-7.088515350248024</c:v>
                </c:pt>
              </c:numCache>
            </c:numRef>
          </c:yVal>
          <c:smooth val="0"/>
        </c:ser>
        <c:dLbls>
          <c:showLegendKey val="0"/>
          <c:showVal val="0"/>
          <c:showCatName val="0"/>
          <c:showSerName val="0"/>
          <c:showPercent val="0"/>
          <c:showBubbleSize val="0"/>
        </c:dLbls>
        <c:axId val="-2111638456"/>
        <c:axId val="-2111631704"/>
      </c:scatterChart>
      <c:valAx>
        <c:axId val="-2111638456"/>
        <c:scaling>
          <c:orientation val="minMax"/>
        </c:scaling>
        <c:delete val="0"/>
        <c:axPos val="b"/>
        <c:title>
          <c:tx>
            <c:rich>
              <a:bodyPr rot="0" spcFirstLastPara="1" vertOverflow="ellipsis" vert="horz" wrap="square" anchor="ctr" anchorCtr="1"/>
              <a:lstStyle/>
              <a:p>
                <a:pPr>
                  <a:defRPr sz="1000" b="1" i="0" u="none" strike="noStrike" kern="1200" baseline="0">
                    <a:solidFill>
                      <a:srgbClr val="000000"/>
                    </a:solidFill>
                    <a:latin typeface="+mn-lt"/>
                    <a:ea typeface="+mn-ea"/>
                    <a:cs typeface="+mn-cs"/>
                  </a:defRPr>
                </a:pPr>
                <a:r>
                  <a:rPr lang="en-US" b="1">
                    <a:solidFill>
                      <a:srgbClr val="000000"/>
                    </a:solidFill>
                  </a:rPr>
                  <a:t>Population</a:t>
                </a:r>
                <a:r>
                  <a:rPr lang="en-US" b="1" baseline="0">
                    <a:solidFill>
                      <a:srgbClr val="000000"/>
                    </a:solidFill>
                  </a:rPr>
                  <a:t> Number</a:t>
                </a:r>
                <a:endParaRPr lang="en-US" b="1">
                  <a:solidFill>
                    <a:srgbClr val="000000"/>
                  </a:solidFill>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rgbClr val="000000"/>
                </a:solidFill>
                <a:latin typeface="+mn-lt"/>
                <a:ea typeface="+mn-ea"/>
                <a:cs typeface="+mn-cs"/>
              </a:defRPr>
            </a:pPr>
            <a:endParaRPr lang="en-US"/>
          </a:p>
        </c:txPr>
        <c:crossAx val="-2111631704"/>
        <c:crosses val="autoZero"/>
        <c:crossBetween val="midCat"/>
      </c:valAx>
      <c:valAx>
        <c:axId val="-2111631704"/>
        <c:scaling>
          <c:orientation val="minMax"/>
          <c:max val="-5.0"/>
        </c:scaling>
        <c:delete val="0"/>
        <c:axPos val="l"/>
        <c:title>
          <c:tx>
            <c:rich>
              <a:bodyPr rot="-5400000" spcFirstLastPara="1" vertOverflow="ellipsis" vert="horz" wrap="square" anchor="ctr" anchorCtr="1"/>
              <a:lstStyle/>
              <a:p>
                <a:pPr>
                  <a:defRPr sz="1000" b="0" i="0" u="none" strike="noStrike" kern="1200" baseline="0">
                    <a:solidFill>
                      <a:srgbClr val="000000"/>
                    </a:solidFill>
                    <a:latin typeface="+mn-lt"/>
                    <a:ea typeface="+mn-ea"/>
                    <a:cs typeface="+mn-cs"/>
                  </a:defRPr>
                </a:pPr>
                <a:r>
                  <a:rPr lang="en-US" b="1">
                    <a:solidFill>
                      <a:srgbClr val="000000"/>
                    </a:solidFill>
                  </a:rPr>
                  <a:t>log</a:t>
                </a:r>
                <a:r>
                  <a:rPr lang="en-US" b="1" baseline="-25000">
                    <a:solidFill>
                      <a:srgbClr val="000000"/>
                    </a:solidFill>
                  </a:rPr>
                  <a:t>10</a:t>
                </a:r>
                <a:r>
                  <a:rPr lang="en-US" b="1">
                    <a:solidFill>
                      <a:srgbClr val="000000"/>
                    </a:solidFill>
                  </a:rPr>
                  <a:t>(Mutation</a:t>
                </a:r>
                <a:r>
                  <a:rPr lang="en-US" b="1" baseline="0">
                    <a:solidFill>
                      <a:srgbClr val="000000"/>
                    </a:solidFill>
                  </a:rPr>
                  <a:t> Rate)</a:t>
                </a:r>
                <a:endParaRPr lang="en-US" b="1">
                  <a:solidFill>
                    <a:srgbClr val="000000"/>
                  </a:solidFill>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2111638456"/>
        <c:crosses val="autoZero"/>
        <c:crossBetween val="midCat"/>
        <c:majorUnit val="1.0"/>
      </c:valAx>
      <c:spPr>
        <a:noFill/>
        <a:ln w="19050" cmpd="sng">
          <a:solidFill>
            <a:schemeClr val="tx1"/>
          </a:solidFill>
        </a:ln>
        <a:effectLst/>
      </c:spPr>
    </c:plotArea>
    <c:legend>
      <c:legendPos val="r"/>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2210</Words>
  <Characters>12603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Univeristy of Pennsylvania</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Singh</dc:creator>
  <cp:keywords/>
  <dc:description/>
  <cp:lastModifiedBy>Tanya Singh</cp:lastModifiedBy>
  <cp:revision>4</cp:revision>
  <dcterms:created xsi:type="dcterms:W3CDTF">2017-02-07T12:45:00Z</dcterms:created>
  <dcterms:modified xsi:type="dcterms:W3CDTF">2017-02-08T21:03:00Z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ff320cac-12a0-3a9b-8ba9-66749017a24a</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http://www.zotero.org/styles/mis-quarterly</vt:lpwstr>
  </property>
  <property fmtid="{D5CDD505-2E9C-101B-9397-08002B2CF9AE}" pid="20" name="Mendeley Recent Style Name 7_1">
    <vt:lpwstr>MIS Quarterly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