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0CF3F" w14:textId="61FA9D58" w:rsidR="004E2B87" w:rsidRDefault="00E67DFB" w:rsidP="008473D7">
      <w:pPr>
        <w:pStyle w:val="Heading1"/>
        <w:rPr>
          <w:rFonts w:ascii="Times New Roman" w:hAnsi="Times New Roman" w:cs="Times New Roman"/>
          <w:b/>
          <w:color w:val="auto"/>
        </w:rPr>
      </w:pPr>
      <w:r w:rsidRPr="00090523">
        <w:rPr>
          <w:rFonts w:ascii="Times New Roman" w:hAnsi="Times New Roman" w:cs="Times New Roman"/>
          <w:b/>
          <w:color w:val="auto"/>
        </w:rPr>
        <w:t xml:space="preserve">Supplementary </w:t>
      </w:r>
      <w:r w:rsidRPr="009C643B">
        <w:rPr>
          <w:rFonts w:ascii="Times New Roman" w:hAnsi="Times New Roman" w:cs="Times New Roman"/>
          <w:b/>
          <w:color w:val="auto"/>
        </w:rPr>
        <w:t>information for “</w:t>
      </w:r>
      <w:proofErr w:type="spellStart"/>
      <w:r w:rsidR="009C643B" w:rsidRPr="009C643B">
        <w:rPr>
          <w:rFonts w:ascii="Times New Roman" w:hAnsi="Times New Roman" w:cs="Times New Roman"/>
          <w:b/>
          <w:color w:val="222222"/>
          <w:shd w:val="clear" w:color="auto" w:fill="FFFFFF"/>
        </w:rPr>
        <w:t>Mesocosm</w:t>
      </w:r>
      <w:proofErr w:type="spellEnd"/>
      <w:r w:rsidR="009C643B" w:rsidRPr="009C643B">
        <w:rPr>
          <w:rFonts w:ascii="Times New Roman" w:hAnsi="Times New Roman" w:cs="Times New Roman"/>
          <w:b/>
          <w:color w:val="222222"/>
          <w:shd w:val="clear" w:color="auto" w:fill="FFFFFF"/>
        </w:rPr>
        <w:t xml:space="preserve"> experiment reveals scale-dependence of movement tendencies in sticklebacks</w:t>
      </w:r>
      <w:r w:rsidRPr="009C643B">
        <w:rPr>
          <w:rFonts w:ascii="Times New Roman" w:hAnsi="Times New Roman" w:cs="Times New Roman"/>
          <w:b/>
          <w:color w:val="auto"/>
        </w:rPr>
        <w:t>”</w:t>
      </w:r>
    </w:p>
    <w:p w14:paraId="1593312C" w14:textId="77777777" w:rsidR="007F1B6C" w:rsidRPr="00A06FCF" w:rsidRDefault="007F1B6C" w:rsidP="00A06FCF"/>
    <w:p w14:paraId="13B43D92" w14:textId="3A3032BC" w:rsidR="00A06FCF" w:rsidRPr="00A06FCF" w:rsidRDefault="00A06FCF" w:rsidP="00A06FCF">
      <w:pPr>
        <w:spacing w:before="120" w:line="480" w:lineRule="auto"/>
        <w:jc w:val="both"/>
        <w:rPr>
          <w:rFonts w:ascii="Times New Roman" w:hAnsi="Times New Roman" w:cs="Times New Roman"/>
        </w:rPr>
      </w:pPr>
      <w:r w:rsidRPr="00A06FCF">
        <w:rPr>
          <w:rFonts w:ascii="Times New Roman" w:hAnsi="Times New Roman" w:cs="Times New Roman"/>
          <w:bCs/>
          <w:iCs/>
          <w:color w:val="000000"/>
        </w:rPr>
        <w:t xml:space="preserve">A. Ramesh, J. </w:t>
      </w:r>
      <w:proofErr w:type="spellStart"/>
      <w:r w:rsidRPr="00A06FCF">
        <w:rPr>
          <w:rFonts w:ascii="Times New Roman" w:hAnsi="Times New Roman" w:cs="Times New Roman"/>
          <w:bCs/>
          <w:iCs/>
          <w:color w:val="000000"/>
        </w:rPr>
        <w:t>Gismann</w:t>
      </w:r>
      <w:proofErr w:type="spellEnd"/>
      <w:r w:rsidRPr="00A06FCF">
        <w:rPr>
          <w:rFonts w:ascii="Times New Roman" w:hAnsi="Times New Roman" w:cs="Times New Roman"/>
          <w:bCs/>
          <w:iCs/>
          <w:color w:val="000000"/>
        </w:rPr>
        <w:t xml:space="preserve">, T.G.G. </w:t>
      </w:r>
      <w:proofErr w:type="spellStart"/>
      <w:r w:rsidRPr="00A06FCF">
        <w:rPr>
          <w:rFonts w:ascii="Times New Roman" w:hAnsi="Times New Roman" w:cs="Times New Roman"/>
          <w:bCs/>
          <w:iCs/>
          <w:color w:val="000000"/>
        </w:rPr>
        <w:t>Groothuis</w:t>
      </w:r>
      <w:proofErr w:type="spellEnd"/>
      <w:r w:rsidRPr="00A06FCF">
        <w:rPr>
          <w:rFonts w:ascii="Times New Roman" w:hAnsi="Times New Roman" w:cs="Times New Roman"/>
          <w:bCs/>
          <w:iCs/>
          <w:color w:val="000000"/>
        </w:rPr>
        <w:t xml:space="preserve">, F.J. </w:t>
      </w:r>
      <w:proofErr w:type="spellStart"/>
      <w:r w:rsidRPr="00A06FCF">
        <w:rPr>
          <w:rFonts w:ascii="Times New Roman" w:hAnsi="Times New Roman" w:cs="Times New Roman"/>
          <w:bCs/>
          <w:iCs/>
          <w:color w:val="000000"/>
        </w:rPr>
        <w:t>Weissing</w:t>
      </w:r>
      <w:proofErr w:type="spellEnd"/>
      <w:r w:rsidRPr="00A06FCF">
        <w:rPr>
          <w:rFonts w:ascii="Times New Roman" w:hAnsi="Times New Roman" w:cs="Times New Roman"/>
          <w:bCs/>
          <w:iCs/>
          <w:color w:val="000000"/>
        </w:rPr>
        <w:t xml:space="preserve"> and M. Nicolaus</w:t>
      </w:r>
    </w:p>
    <w:p w14:paraId="4A28D2ED" w14:textId="23B0F139" w:rsidR="00AD0FFA" w:rsidRPr="004C6AED" w:rsidRDefault="000A6688" w:rsidP="004C6AED">
      <w:pPr>
        <w:spacing w:line="276" w:lineRule="auto"/>
        <w:rPr>
          <w:rFonts w:ascii="Times New Roman" w:hAnsi="Times New Roman" w:cs="Times New Roman"/>
          <w:b/>
        </w:rPr>
      </w:pPr>
      <w:r>
        <w:rPr>
          <w:rFonts w:ascii="Times New Roman" w:hAnsi="Times New Roman" w:cs="Times New Roman"/>
          <w:b/>
        </w:rPr>
        <w:t>Supplementary information 1</w:t>
      </w:r>
      <w:r w:rsidR="00C609C4" w:rsidRPr="006A241F">
        <w:rPr>
          <w:rFonts w:ascii="Times New Roman" w:hAnsi="Times New Roman" w:cs="Times New Roman"/>
          <w:b/>
        </w:rPr>
        <w:t>:</w:t>
      </w:r>
      <w:r w:rsidR="00C609C4" w:rsidRPr="00EA77E1">
        <w:rPr>
          <w:rFonts w:ascii="Times New Roman" w:hAnsi="Times New Roman" w:cs="Times New Roman"/>
          <w:b/>
        </w:rPr>
        <w:t xml:space="preserve"> Description of </w:t>
      </w:r>
      <w:r w:rsidR="006252DE">
        <w:rPr>
          <w:rFonts w:ascii="Times New Roman" w:hAnsi="Times New Roman" w:cs="Times New Roman"/>
          <w:b/>
        </w:rPr>
        <w:t xml:space="preserve">the </w:t>
      </w:r>
      <w:proofErr w:type="spellStart"/>
      <w:r w:rsidR="00C609C4" w:rsidRPr="00EA77E1">
        <w:rPr>
          <w:rFonts w:ascii="Times New Roman" w:hAnsi="Times New Roman" w:cs="Times New Roman"/>
          <w:b/>
        </w:rPr>
        <w:t>mesocosm</w:t>
      </w:r>
      <w:proofErr w:type="spellEnd"/>
      <w:r w:rsidR="00C609C4" w:rsidRPr="00EA77E1">
        <w:rPr>
          <w:rFonts w:ascii="Times New Roman" w:hAnsi="Times New Roman" w:cs="Times New Roman"/>
          <w:b/>
        </w:rPr>
        <w:t xml:space="preserve"> and the tracking setup</w:t>
      </w:r>
    </w:p>
    <w:p w14:paraId="256D2178" w14:textId="2407EE25" w:rsidR="003254DE" w:rsidRDefault="000A6688" w:rsidP="00360219">
      <w:pPr>
        <w:spacing w:line="276" w:lineRule="auto"/>
        <w:jc w:val="both"/>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Experiment-</w:t>
      </w:r>
      <w:r w:rsidR="003254DE">
        <w:rPr>
          <w:rFonts w:ascii="Times New Roman" w:eastAsia="Times New Roman" w:hAnsi="Times New Roman" w:cs="Times New Roman"/>
          <w:i/>
          <w:iCs/>
          <w:color w:val="000000"/>
          <w:lang w:eastAsia="en-GB"/>
        </w:rPr>
        <w:t>1</w:t>
      </w:r>
    </w:p>
    <w:p w14:paraId="24B1B1A3" w14:textId="6606C244" w:rsidR="00E82DCC" w:rsidRPr="006A241F" w:rsidRDefault="003254DE" w:rsidP="00360219">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i/>
          <w:iCs/>
          <w:color w:val="000000"/>
          <w:lang w:eastAsia="en-GB"/>
        </w:rPr>
        <w:t>Within-pond movement</w:t>
      </w:r>
      <w:r w:rsidR="004A4345">
        <w:rPr>
          <w:rFonts w:ascii="Times New Roman" w:eastAsia="Times New Roman" w:hAnsi="Times New Roman" w:cs="Times New Roman"/>
          <w:i/>
          <w:iCs/>
          <w:color w:val="000000"/>
          <w:lang w:eastAsia="en-GB"/>
        </w:rPr>
        <w:t>s</w:t>
      </w:r>
      <w:r>
        <w:rPr>
          <w:rFonts w:ascii="Times New Roman" w:eastAsia="Times New Roman" w:hAnsi="Times New Roman" w:cs="Times New Roman"/>
          <w:i/>
          <w:iCs/>
          <w:color w:val="000000"/>
          <w:lang w:eastAsia="en-GB"/>
        </w:rPr>
        <w:t xml:space="preserve"> </w:t>
      </w:r>
    </w:p>
    <w:p w14:paraId="68C044BC" w14:textId="40C48DFF" w:rsidR="004C3F32" w:rsidRPr="0025622F" w:rsidRDefault="00AD48D5" w:rsidP="00360219">
      <w:pPr>
        <w:spacing w:line="276"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On the morning of testing (~</w:t>
      </w:r>
      <w:r w:rsidR="00E82DCC" w:rsidRPr="006A241F">
        <w:rPr>
          <w:rFonts w:ascii="Times New Roman" w:eastAsia="Times New Roman" w:hAnsi="Times New Roman" w:cs="Times New Roman"/>
          <w:color w:val="000000"/>
          <w:lang w:eastAsia="en-GB"/>
        </w:rPr>
        <w:t xml:space="preserve">10 a.m.), one test group of each origin was released into the </w:t>
      </w:r>
      <w:r w:rsidR="008A5456">
        <w:rPr>
          <w:rFonts w:ascii="Times New Roman" w:eastAsia="Times New Roman" w:hAnsi="Times New Roman" w:cs="Times New Roman"/>
          <w:color w:val="000000"/>
          <w:lang w:eastAsia="en-GB"/>
        </w:rPr>
        <w:t xml:space="preserve">first pond that was </w:t>
      </w:r>
      <w:r w:rsidR="00A46878">
        <w:rPr>
          <w:rFonts w:ascii="Times New Roman" w:eastAsia="Times New Roman" w:hAnsi="Times New Roman" w:cs="Times New Roman"/>
          <w:color w:val="000000"/>
          <w:lang w:eastAsia="en-GB"/>
        </w:rPr>
        <w:t xml:space="preserve">temporarily </w:t>
      </w:r>
      <w:r w:rsidR="008A5456">
        <w:rPr>
          <w:rFonts w:ascii="Times New Roman" w:eastAsia="Times New Roman" w:hAnsi="Times New Roman" w:cs="Times New Roman"/>
          <w:color w:val="000000"/>
          <w:lang w:eastAsia="en-GB"/>
        </w:rPr>
        <w:t>disconnected from the other ponds by</w:t>
      </w:r>
      <w:r w:rsidR="00E82DCC" w:rsidRPr="006A241F">
        <w:rPr>
          <w:rFonts w:ascii="Times New Roman" w:eastAsia="Times New Roman" w:hAnsi="Times New Roman" w:cs="Times New Roman"/>
          <w:color w:val="000000"/>
          <w:lang w:eastAsia="en-GB"/>
        </w:rPr>
        <w:t xml:space="preserve"> a cap blocking the entrance to the corridor. There was no water flow when recording </w:t>
      </w:r>
      <w:r w:rsidR="003254DE">
        <w:rPr>
          <w:rFonts w:ascii="Times New Roman" w:eastAsia="Times New Roman" w:hAnsi="Times New Roman" w:cs="Times New Roman"/>
          <w:color w:val="000000"/>
          <w:lang w:eastAsia="en-GB"/>
        </w:rPr>
        <w:t>within-pond</w:t>
      </w:r>
      <w:r w:rsidR="00E82DCC" w:rsidRPr="006A241F">
        <w:rPr>
          <w:rFonts w:ascii="Times New Roman" w:eastAsia="Times New Roman" w:hAnsi="Times New Roman" w:cs="Times New Roman"/>
          <w:color w:val="000000"/>
          <w:lang w:eastAsia="en-GB"/>
        </w:rPr>
        <w:t xml:space="preserve"> movement tendencies. Five circular antennas were placed upright on t</w:t>
      </w:r>
      <w:r w:rsidR="002D4958">
        <w:rPr>
          <w:rFonts w:ascii="Times New Roman" w:eastAsia="Times New Roman" w:hAnsi="Times New Roman" w:cs="Times New Roman"/>
          <w:color w:val="000000"/>
          <w:lang w:eastAsia="en-GB"/>
        </w:rPr>
        <w:t>he bottom of the pond (“bottom antennas</w:t>
      </w:r>
      <w:r w:rsidR="00E82DCC" w:rsidRPr="006A241F">
        <w:rPr>
          <w:rFonts w:ascii="Times New Roman" w:eastAsia="Times New Roman" w:hAnsi="Times New Roman" w:cs="Times New Roman"/>
          <w:color w:val="000000"/>
          <w:lang w:eastAsia="en-GB"/>
        </w:rPr>
        <w:t xml:space="preserve">”), and four antennas were placed just below the water surface (“surface </w:t>
      </w:r>
      <w:r w:rsidR="002D4958">
        <w:rPr>
          <w:rFonts w:ascii="Times New Roman" w:eastAsia="Times New Roman" w:hAnsi="Times New Roman" w:cs="Times New Roman"/>
          <w:color w:val="000000"/>
          <w:lang w:eastAsia="en-GB"/>
        </w:rPr>
        <w:t>antennas</w:t>
      </w:r>
      <w:r w:rsidR="002A1A02">
        <w:rPr>
          <w:rFonts w:ascii="Times New Roman" w:eastAsia="Times New Roman" w:hAnsi="Times New Roman" w:cs="Times New Roman"/>
          <w:color w:val="000000"/>
          <w:lang w:eastAsia="en-GB"/>
        </w:rPr>
        <w:t>”) (Fig. 1</w:t>
      </w:r>
      <w:r w:rsidR="00EE0A2B">
        <w:rPr>
          <w:rFonts w:ascii="Times New Roman" w:eastAsia="Times New Roman" w:hAnsi="Times New Roman" w:cs="Times New Roman"/>
          <w:color w:val="000000"/>
          <w:lang w:eastAsia="en-GB"/>
        </w:rPr>
        <w:t>). T</w:t>
      </w:r>
      <w:r w:rsidR="00E82DCC" w:rsidRPr="006A241F">
        <w:rPr>
          <w:rFonts w:ascii="Times New Roman" w:eastAsia="Times New Roman" w:hAnsi="Times New Roman" w:cs="Times New Roman"/>
          <w:color w:val="000000"/>
          <w:lang w:eastAsia="en-GB"/>
        </w:rPr>
        <w:t xml:space="preserve">o assess </w:t>
      </w:r>
      <w:r w:rsidR="003254DE">
        <w:rPr>
          <w:rFonts w:ascii="Times New Roman" w:eastAsia="Times New Roman" w:hAnsi="Times New Roman" w:cs="Times New Roman"/>
          <w:color w:val="000000"/>
          <w:lang w:eastAsia="en-GB"/>
        </w:rPr>
        <w:t>within-pond</w:t>
      </w:r>
      <w:r w:rsidR="00E82DCC" w:rsidRPr="006A241F">
        <w:rPr>
          <w:rFonts w:ascii="Times New Roman" w:eastAsia="Times New Roman" w:hAnsi="Times New Roman" w:cs="Times New Roman"/>
          <w:color w:val="000000"/>
          <w:lang w:eastAsia="en-GB"/>
        </w:rPr>
        <w:t xml:space="preserve"> movements</w:t>
      </w:r>
      <w:r w:rsidR="00EE0A2B">
        <w:rPr>
          <w:rFonts w:ascii="Times New Roman" w:eastAsia="Times New Roman" w:hAnsi="Times New Roman" w:cs="Times New Roman"/>
          <w:color w:val="000000"/>
          <w:lang w:eastAsia="en-GB"/>
        </w:rPr>
        <w:t>, we computed crosses tha</w:t>
      </w:r>
      <w:r w:rsidR="004A4345">
        <w:rPr>
          <w:rFonts w:ascii="Times New Roman" w:eastAsia="Times New Roman" w:hAnsi="Times New Roman" w:cs="Times New Roman"/>
          <w:color w:val="000000"/>
          <w:lang w:eastAsia="en-GB"/>
        </w:rPr>
        <w:t>t</w:t>
      </w:r>
      <w:r w:rsidR="00EE0A2B">
        <w:rPr>
          <w:rFonts w:ascii="Times New Roman" w:eastAsia="Times New Roman" w:hAnsi="Times New Roman" w:cs="Times New Roman"/>
          <w:color w:val="000000"/>
          <w:lang w:eastAsia="en-GB"/>
        </w:rPr>
        <w:t xml:space="preserve"> an individual made between bottom antennas or the surface antennas separately. Crosses that were made between a bottom and surface antenna were excluded as </w:t>
      </w:r>
      <w:r w:rsidR="004A4345">
        <w:rPr>
          <w:rFonts w:ascii="Times New Roman" w:eastAsia="Times New Roman" w:hAnsi="Times New Roman" w:cs="Times New Roman"/>
          <w:color w:val="000000"/>
          <w:lang w:eastAsia="en-GB"/>
        </w:rPr>
        <w:t xml:space="preserve">these </w:t>
      </w:r>
      <w:r w:rsidR="00EE0A2B">
        <w:rPr>
          <w:rFonts w:ascii="Times New Roman" w:eastAsia="Times New Roman" w:hAnsi="Times New Roman" w:cs="Times New Roman"/>
          <w:color w:val="000000"/>
          <w:lang w:eastAsia="en-GB"/>
        </w:rPr>
        <w:t>hardly occurr</w:t>
      </w:r>
      <w:r w:rsidR="004A4345">
        <w:rPr>
          <w:rFonts w:ascii="Times New Roman" w:eastAsia="Times New Roman" w:hAnsi="Times New Roman" w:cs="Times New Roman"/>
          <w:color w:val="000000"/>
          <w:lang w:eastAsia="en-GB"/>
        </w:rPr>
        <w:t>ed</w:t>
      </w:r>
      <w:r w:rsidR="00E82DCC" w:rsidRPr="006A241F">
        <w:rPr>
          <w:rFonts w:ascii="Times New Roman" w:eastAsia="Times New Roman" w:hAnsi="Times New Roman" w:cs="Times New Roman"/>
          <w:color w:val="000000"/>
          <w:lang w:eastAsia="en-GB"/>
        </w:rPr>
        <w:t>. The experiment lasted for five hours. </w:t>
      </w:r>
    </w:p>
    <w:p w14:paraId="20ECCCF1" w14:textId="514CABFE" w:rsidR="00E82DCC" w:rsidRPr="006A241F" w:rsidRDefault="004A4345" w:rsidP="00360219">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i/>
          <w:iCs/>
          <w:color w:val="000000"/>
          <w:lang w:eastAsia="en-GB"/>
        </w:rPr>
        <w:t>Between</w:t>
      </w:r>
      <w:r w:rsidR="00A06FCF">
        <w:rPr>
          <w:rFonts w:ascii="Times New Roman" w:eastAsia="Times New Roman" w:hAnsi="Times New Roman" w:cs="Times New Roman"/>
          <w:i/>
          <w:iCs/>
          <w:color w:val="000000"/>
          <w:lang w:eastAsia="en-GB"/>
        </w:rPr>
        <w:t>-pond</w:t>
      </w:r>
      <w:r w:rsidR="003254DE">
        <w:rPr>
          <w:rFonts w:ascii="Times New Roman" w:eastAsia="Times New Roman" w:hAnsi="Times New Roman" w:cs="Times New Roman"/>
          <w:i/>
          <w:iCs/>
          <w:color w:val="000000"/>
          <w:lang w:eastAsia="en-GB"/>
        </w:rPr>
        <w:t xml:space="preserve"> movement</w:t>
      </w:r>
      <w:r>
        <w:rPr>
          <w:rFonts w:ascii="Times New Roman" w:eastAsia="Times New Roman" w:hAnsi="Times New Roman" w:cs="Times New Roman"/>
          <w:i/>
          <w:iCs/>
          <w:color w:val="000000"/>
          <w:lang w:eastAsia="en-GB"/>
        </w:rPr>
        <w:t>s</w:t>
      </w:r>
    </w:p>
    <w:p w14:paraId="2070FC81" w14:textId="40A0D25C" w:rsidR="00E82DCC" w:rsidRDefault="00E82DCC" w:rsidP="00360219">
      <w:pPr>
        <w:spacing w:line="276" w:lineRule="auto"/>
        <w:jc w:val="both"/>
        <w:rPr>
          <w:rFonts w:ascii="Times New Roman" w:eastAsia="Times New Roman" w:hAnsi="Times New Roman" w:cs="Times New Roman"/>
          <w:lang w:eastAsia="en-GB"/>
        </w:rPr>
      </w:pPr>
      <w:r w:rsidRPr="006A241F">
        <w:rPr>
          <w:rFonts w:ascii="Times New Roman" w:eastAsia="Times New Roman" w:hAnsi="Times New Roman" w:cs="Times New Roman"/>
          <w:color w:val="000000"/>
          <w:lang w:eastAsia="en-GB"/>
        </w:rPr>
        <w:t>After five hours, we gently removed all antennas from the first pond. At this point we also turned on the flow in the system to create a cue for migration (Fig. 1c). Fish were given 30 minutes to recover from the disturbance caused by removing the antennas after which the connection from pond 1 to the other ponds was gently opened. We then recorded the movement of fish between the five connected ponds (“</w:t>
      </w:r>
      <w:r w:rsidR="00C66E56">
        <w:rPr>
          <w:rFonts w:ascii="Times New Roman" w:eastAsia="Times New Roman" w:hAnsi="Times New Roman" w:cs="Times New Roman"/>
          <w:color w:val="000000"/>
          <w:lang w:eastAsia="en-GB"/>
        </w:rPr>
        <w:t>crosses</w:t>
      </w:r>
      <w:r w:rsidRPr="006A241F">
        <w:rPr>
          <w:rFonts w:ascii="Times New Roman" w:eastAsia="Times New Roman" w:hAnsi="Times New Roman" w:cs="Times New Roman"/>
          <w:color w:val="000000"/>
          <w:lang w:eastAsia="en-GB"/>
        </w:rPr>
        <w:t>”) for the next 16.5h (~3.30 p.m. -8 a.m.). At the end of the experiment, fish were returned to their original smaller housing ponds.</w:t>
      </w:r>
      <w:r w:rsidR="00C66E56">
        <w:rPr>
          <w:rFonts w:ascii="Times New Roman" w:eastAsia="Times New Roman" w:hAnsi="Times New Roman" w:cs="Times New Roman"/>
          <w:color w:val="000000"/>
          <w:lang w:eastAsia="en-GB"/>
        </w:rPr>
        <w:t xml:space="preserve"> </w:t>
      </w:r>
      <w:r w:rsidRPr="006A241F">
        <w:rPr>
          <w:rFonts w:ascii="Times New Roman" w:eastAsia="Times New Roman" w:hAnsi="Times New Roman" w:cs="Times New Roman"/>
          <w:color w:val="000000"/>
          <w:lang w:eastAsia="en-GB"/>
        </w:rPr>
        <w:t>Testing all 5 migrant and 6 resident groups took place over a week (temperature ranged between 12</w:t>
      </w:r>
      <w:r w:rsidRPr="006A241F">
        <w:rPr>
          <w:rFonts w:ascii="Times New Roman" w:eastAsia="Times New Roman" w:hAnsi="Times New Roman" w:cs="Times New Roman"/>
          <w:color w:val="000000"/>
          <w:vertAlign w:val="superscript"/>
          <w:lang w:eastAsia="en-GB"/>
        </w:rPr>
        <w:t>0</w:t>
      </w:r>
      <w:r w:rsidRPr="006A241F">
        <w:rPr>
          <w:rFonts w:ascii="Times New Roman" w:eastAsia="Times New Roman" w:hAnsi="Times New Roman" w:cs="Times New Roman"/>
          <w:color w:val="000000"/>
          <w:lang w:eastAsia="en-GB"/>
        </w:rPr>
        <w:t>C and 15</w:t>
      </w:r>
      <w:r w:rsidRPr="006A241F">
        <w:rPr>
          <w:rFonts w:ascii="Times New Roman" w:eastAsia="Times New Roman" w:hAnsi="Times New Roman" w:cs="Times New Roman"/>
          <w:color w:val="000000"/>
          <w:vertAlign w:val="superscript"/>
          <w:lang w:eastAsia="en-GB"/>
        </w:rPr>
        <w:t>0</w:t>
      </w:r>
      <w:r w:rsidRPr="006A241F">
        <w:rPr>
          <w:rFonts w:ascii="Times New Roman" w:eastAsia="Times New Roman" w:hAnsi="Times New Roman" w:cs="Times New Roman"/>
          <w:color w:val="000000"/>
          <w:lang w:eastAsia="en-GB"/>
        </w:rPr>
        <w:t xml:space="preserve">C). All fish were checked at the end of the experiment to see if they still carried the tags and if the tags functioned correctly. </w:t>
      </w:r>
    </w:p>
    <w:p w14:paraId="08BD2117" w14:textId="77777777" w:rsidR="003254DE" w:rsidRPr="003254DE" w:rsidRDefault="003254DE" w:rsidP="00360219">
      <w:pPr>
        <w:spacing w:line="276" w:lineRule="auto"/>
        <w:jc w:val="both"/>
        <w:rPr>
          <w:rFonts w:ascii="Times New Roman" w:eastAsia="Times New Roman" w:hAnsi="Times New Roman" w:cs="Times New Roman"/>
          <w:lang w:eastAsia="en-GB"/>
        </w:rPr>
      </w:pPr>
    </w:p>
    <w:p w14:paraId="284E7729" w14:textId="615B3A58" w:rsidR="003254DE" w:rsidRDefault="000A6688" w:rsidP="00360219">
      <w:pPr>
        <w:spacing w:line="276" w:lineRule="auto"/>
        <w:jc w:val="both"/>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Experiment</w:t>
      </w:r>
      <w:r w:rsidR="003254DE">
        <w:rPr>
          <w:rFonts w:ascii="Times New Roman" w:eastAsia="Times New Roman" w:hAnsi="Times New Roman" w:cs="Times New Roman"/>
          <w:i/>
          <w:iCs/>
          <w:color w:val="000000"/>
          <w:lang w:eastAsia="en-GB"/>
        </w:rPr>
        <w:t>-2</w:t>
      </w:r>
    </w:p>
    <w:p w14:paraId="29939CBC" w14:textId="316E6A59" w:rsidR="00E82DCC" w:rsidRPr="006A241F" w:rsidRDefault="004A4345" w:rsidP="00360219">
      <w:pPr>
        <w:spacing w:line="276" w:lineRule="auto"/>
        <w:jc w:val="both"/>
        <w:rPr>
          <w:rFonts w:ascii="Times New Roman" w:eastAsia="Times New Roman" w:hAnsi="Times New Roman" w:cs="Times New Roman"/>
          <w:lang w:eastAsia="en-GB"/>
        </w:rPr>
      </w:pPr>
      <w:r>
        <w:rPr>
          <w:rFonts w:ascii="Times New Roman" w:eastAsia="Times New Roman" w:hAnsi="Times New Roman" w:cs="Times New Roman"/>
          <w:i/>
          <w:iCs/>
          <w:color w:val="000000"/>
          <w:lang w:eastAsia="en-GB"/>
        </w:rPr>
        <w:t>Between</w:t>
      </w:r>
      <w:r w:rsidR="00A06FCF">
        <w:rPr>
          <w:rFonts w:ascii="Times New Roman" w:eastAsia="Times New Roman" w:hAnsi="Times New Roman" w:cs="Times New Roman"/>
          <w:i/>
          <w:iCs/>
          <w:color w:val="000000"/>
          <w:lang w:eastAsia="en-GB"/>
        </w:rPr>
        <w:t>-pond</w:t>
      </w:r>
      <w:r w:rsidR="003254DE">
        <w:rPr>
          <w:rFonts w:ascii="Times New Roman" w:eastAsia="Times New Roman" w:hAnsi="Times New Roman" w:cs="Times New Roman"/>
          <w:i/>
          <w:iCs/>
          <w:color w:val="000000"/>
          <w:lang w:eastAsia="en-GB"/>
        </w:rPr>
        <w:t xml:space="preserve"> movement</w:t>
      </w:r>
      <w:r>
        <w:rPr>
          <w:rFonts w:ascii="Times New Roman" w:eastAsia="Times New Roman" w:hAnsi="Times New Roman" w:cs="Times New Roman"/>
          <w:i/>
          <w:iCs/>
          <w:color w:val="000000"/>
          <w:lang w:eastAsia="en-GB"/>
        </w:rPr>
        <w:t>s</w:t>
      </w:r>
    </w:p>
    <w:p w14:paraId="6BD01D58" w14:textId="01867094" w:rsidR="00092002" w:rsidRDefault="00E82DCC" w:rsidP="00360219">
      <w:pPr>
        <w:spacing w:line="276" w:lineRule="auto"/>
        <w:jc w:val="both"/>
        <w:rPr>
          <w:rFonts w:ascii="Times New Roman" w:eastAsia="Times New Roman" w:hAnsi="Times New Roman" w:cs="Times New Roman"/>
          <w:color w:val="000000"/>
          <w:lang w:eastAsia="en-GB"/>
        </w:rPr>
      </w:pPr>
      <w:r w:rsidRPr="006A241F">
        <w:rPr>
          <w:rFonts w:ascii="Times New Roman" w:hAnsi="Times New Roman" w:cs="Times New Roman"/>
        </w:rPr>
        <w:t xml:space="preserve">Two weeks after we finished recording each individual for movement tendencies as above, </w:t>
      </w:r>
      <w:r w:rsidR="003254DE">
        <w:rPr>
          <w:rFonts w:ascii="Times New Roman" w:hAnsi="Times New Roman" w:cs="Times New Roman"/>
        </w:rPr>
        <w:t xml:space="preserve">we created one large group each of migrant and resident by combining all the fish </w:t>
      </w:r>
      <w:r w:rsidRPr="006A241F">
        <w:rPr>
          <w:rFonts w:ascii="Times New Roman" w:eastAsia="Times New Roman" w:hAnsi="Times New Roman" w:cs="Times New Roman"/>
          <w:color w:val="000000"/>
          <w:lang w:eastAsia="en-GB"/>
        </w:rPr>
        <w:t>(</w:t>
      </w:r>
      <w:proofErr w:type="spellStart"/>
      <w:r w:rsidRPr="006A241F">
        <w:rPr>
          <w:rFonts w:ascii="Times New Roman" w:eastAsia="Times New Roman" w:hAnsi="Times New Roman" w:cs="Times New Roman"/>
          <w:i/>
          <w:iCs/>
          <w:color w:val="000000"/>
          <w:lang w:eastAsia="en-GB"/>
        </w:rPr>
        <w:t>Nmig</w:t>
      </w:r>
      <w:proofErr w:type="spellEnd"/>
      <w:r w:rsidRPr="006A241F">
        <w:rPr>
          <w:rFonts w:ascii="Times New Roman" w:eastAsia="Times New Roman" w:hAnsi="Times New Roman" w:cs="Times New Roman"/>
          <w:color w:val="000000"/>
          <w:lang w:eastAsia="en-GB"/>
        </w:rPr>
        <w:t xml:space="preserve"> = </w:t>
      </w:r>
      <w:r w:rsidR="00092002">
        <w:rPr>
          <w:rFonts w:ascii="Times New Roman" w:eastAsia="Times New Roman" w:hAnsi="Times New Roman" w:cs="Times New Roman"/>
          <w:color w:val="000000"/>
          <w:lang w:eastAsia="en-GB"/>
        </w:rPr>
        <w:t xml:space="preserve">1 groups, </w:t>
      </w:r>
      <w:r w:rsidRPr="006A241F">
        <w:rPr>
          <w:rFonts w:ascii="Times New Roman" w:eastAsia="Times New Roman" w:hAnsi="Times New Roman" w:cs="Times New Roman"/>
          <w:color w:val="000000"/>
          <w:lang w:eastAsia="en-GB"/>
        </w:rPr>
        <w:t>45</w:t>
      </w:r>
      <w:r w:rsidR="00092002">
        <w:rPr>
          <w:rFonts w:ascii="Times New Roman" w:eastAsia="Times New Roman" w:hAnsi="Times New Roman" w:cs="Times New Roman"/>
          <w:color w:val="000000"/>
          <w:lang w:eastAsia="en-GB"/>
        </w:rPr>
        <w:t xml:space="preserve"> individuals;</w:t>
      </w:r>
      <w:r w:rsidRPr="006A241F">
        <w:rPr>
          <w:rFonts w:ascii="Times New Roman" w:eastAsia="Times New Roman" w:hAnsi="Times New Roman" w:cs="Times New Roman"/>
          <w:color w:val="000000"/>
          <w:lang w:eastAsia="en-GB"/>
        </w:rPr>
        <w:t xml:space="preserve"> </w:t>
      </w:r>
      <w:proofErr w:type="spellStart"/>
      <w:r w:rsidRPr="006A241F">
        <w:rPr>
          <w:rFonts w:ascii="Times New Roman" w:eastAsia="Times New Roman" w:hAnsi="Times New Roman" w:cs="Times New Roman"/>
          <w:i/>
          <w:iCs/>
          <w:color w:val="000000"/>
          <w:lang w:eastAsia="en-GB"/>
        </w:rPr>
        <w:t>Nres</w:t>
      </w:r>
      <w:proofErr w:type="spellEnd"/>
      <w:r w:rsidR="003254DE">
        <w:rPr>
          <w:rFonts w:ascii="Times New Roman" w:eastAsia="Times New Roman" w:hAnsi="Times New Roman" w:cs="Times New Roman"/>
          <w:color w:val="000000"/>
          <w:lang w:eastAsia="en-GB"/>
        </w:rPr>
        <w:t xml:space="preserve"> = </w:t>
      </w:r>
      <w:r w:rsidR="00092002">
        <w:rPr>
          <w:rFonts w:ascii="Times New Roman" w:eastAsia="Times New Roman" w:hAnsi="Times New Roman" w:cs="Times New Roman"/>
          <w:color w:val="000000"/>
          <w:lang w:eastAsia="en-GB"/>
        </w:rPr>
        <w:t xml:space="preserve">1 group, </w:t>
      </w:r>
      <w:r w:rsidR="003254DE">
        <w:rPr>
          <w:rFonts w:ascii="Times New Roman" w:eastAsia="Times New Roman" w:hAnsi="Times New Roman" w:cs="Times New Roman"/>
          <w:color w:val="000000"/>
          <w:lang w:eastAsia="en-GB"/>
        </w:rPr>
        <w:t>52</w:t>
      </w:r>
      <w:r w:rsidR="00092002">
        <w:rPr>
          <w:rFonts w:ascii="Times New Roman" w:eastAsia="Times New Roman" w:hAnsi="Times New Roman" w:cs="Times New Roman"/>
          <w:color w:val="000000"/>
          <w:lang w:eastAsia="en-GB"/>
        </w:rPr>
        <w:t xml:space="preserve"> individuals</w:t>
      </w:r>
      <w:r w:rsidR="003254DE">
        <w:rPr>
          <w:rFonts w:ascii="Times New Roman" w:eastAsia="Times New Roman" w:hAnsi="Times New Roman" w:cs="Times New Roman"/>
          <w:color w:val="000000"/>
          <w:lang w:eastAsia="en-GB"/>
        </w:rPr>
        <w:t>) and monitored only the</w:t>
      </w:r>
      <w:r w:rsidRPr="006A241F">
        <w:rPr>
          <w:rFonts w:ascii="Times New Roman" w:eastAsia="Times New Roman" w:hAnsi="Times New Roman" w:cs="Times New Roman"/>
          <w:color w:val="000000"/>
          <w:lang w:eastAsia="en-GB"/>
        </w:rPr>
        <w:t xml:space="preserve"> movement tendencies </w:t>
      </w:r>
      <w:r w:rsidR="004A4345">
        <w:rPr>
          <w:rFonts w:ascii="Times New Roman" w:eastAsia="Times New Roman" w:hAnsi="Times New Roman" w:cs="Times New Roman"/>
          <w:color w:val="000000"/>
          <w:lang w:eastAsia="en-GB"/>
        </w:rPr>
        <w:t>between</w:t>
      </w:r>
      <w:r w:rsidR="003254DE">
        <w:rPr>
          <w:rFonts w:ascii="Times New Roman" w:eastAsia="Times New Roman" w:hAnsi="Times New Roman" w:cs="Times New Roman"/>
          <w:color w:val="000000"/>
          <w:lang w:eastAsia="en-GB"/>
        </w:rPr>
        <w:t xml:space="preserve">-ponds </w:t>
      </w:r>
      <w:r w:rsidR="000C4A79">
        <w:rPr>
          <w:rFonts w:ascii="Times New Roman" w:eastAsia="Times New Roman" w:hAnsi="Times New Roman" w:cs="Times New Roman"/>
          <w:color w:val="000000"/>
          <w:lang w:eastAsia="en-GB"/>
        </w:rPr>
        <w:t xml:space="preserve">simultaneously for the two groups and </w:t>
      </w:r>
      <w:r w:rsidRPr="006A241F">
        <w:rPr>
          <w:rFonts w:ascii="Times New Roman" w:eastAsia="Times New Roman" w:hAnsi="Times New Roman" w:cs="Times New Roman"/>
          <w:color w:val="000000"/>
          <w:lang w:eastAsia="en-GB"/>
        </w:rPr>
        <w:t xml:space="preserve">continuously for four consecutive days. During the </w:t>
      </w:r>
      <w:r w:rsidR="003B1294">
        <w:rPr>
          <w:rFonts w:ascii="Times New Roman" w:eastAsia="Times New Roman" w:hAnsi="Times New Roman" w:cs="Times New Roman"/>
          <w:color w:val="000000"/>
          <w:lang w:eastAsia="en-GB"/>
        </w:rPr>
        <w:t>study period</w:t>
      </w:r>
      <w:r w:rsidRPr="006A241F">
        <w:rPr>
          <w:rFonts w:ascii="Times New Roman" w:eastAsia="Times New Roman" w:hAnsi="Times New Roman" w:cs="Times New Roman"/>
          <w:color w:val="000000"/>
          <w:lang w:eastAsia="en-GB"/>
        </w:rPr>
        <w:t xml:space="preserve">, we furthermore alternated days with and without water flow </w:t>
      </w:r>
      <w:r w:rsidR="000C4A79">
        <w:rPr>
          <w:rFonts w:ascii="Times New Roman" w:eastAsia="Times New Roman" w:hAnsi="Times New Roman" w:cs="Times New Roman"/>
          <w:color w:val="000000"/>
          <w:lang w:eastAsia="en-GB"/>
        </w:rPr>
        <w:t>(flow turned on / off at 10</w:t>
      </w:r>
      <w:r w:rsidR="004A4345">
        <w:rPr>
          <w:rFonts w:ascii="Times New Roman" w:eastAsia="Times New Roman" w:hAnsi="Times New Roman" w:cs="Times New Roman"/>
          <w:color w:val="000000"/>
          <w:lang w:eastAsia="en-GB"/>
        </w:rPr>
        <w:t>:</w:t>
      </w:r>
      <w:r w:rsidR="000C4A79">
        <w:rPr>
          <w:rFonts w:ascii="Times New Roman" w:eastAsia="Times New Roman" w:hAnsi="Times New Roman" w:cs="Times New Roman"/>
          <w:color w:val="000000"/>
          <w:lang w:eastAsia="en-GB"/>
        </w:rPr>
        <w:t xml:space="preserve">00 </w:t>
      </w:r>
      <w:r w:rsidR="004A4345">
        <w:rPr>
          <w:rFonts w:ascii="Times New Roman" w:eastAsia="Times New Roman" w:hAnsi="Times New Roman" w:cs="Times New Roman"/>
          <w:color w:val="000000"/>
          <w:lang w:eastAsia="en-GB"/>
        </w:rPr>
        <w:t xml:space="preserve">AM </w:t>
      </w:r>
      <w:r w:rsidR="000C4A79">
        <w:rPr>
          <w:rFonts w:ascii="Times New Roman" w:eastAsia="Times New Roman" w:hAnsi="Times New Roman" w:cs="Times New Roman"/>
          <w:color w:val="000000"/>
          <w:lang w:eastAsia="en-GB"/>
        </w:rPr>
        <w:t>each day and hence kept in that condition for ~24 hours)</w:t>
      </w:r>
      <w:r w:rsidR="003B1294">
        <w:rPr>
          <w:rFonts w:ascii="Times New Roman" w:eastAsia="Times New Roman" w:hAnsi="Times New Roman" w:cs="Times New Roman"/>
          <w:color w:val="000000"/>
          <w:lang w:eastAsia="en-GB"/>
        </w:rPr>
        <w:t>. The flow treatment allowed</w:t>
      </w:r>
      <w:r w:rsidRPr="006A241F">
        <w:rPr>
          <w:rFonts w:ascii="Times New Roman" w:eastAsia="Times New Roman" w:hAnsi="Times New Roman" w:cs="Times New Roman"/>
          <w:color w:val="000000"/>
          <w:lang w:eastAsia="en-GB"/>
        </w:rPr>
        <w:t xml:space="preserve"> </w:t>
      </w:r>
      <w:r w:rsidR="004A4345">
        <w:rPr>
          <w:rFonts w:ascii="Times New Roman" w:eastAsia="Times New Roman" w:hAnsi="Times New Roman" w:cs="Times New Roman"/>
          <w:color w:val="000000"/>
          <w:lang w:eastAsia="en-GB"/>
        </w:rPr>
        <w:t>testing</w:t>
      </w:r>
      <w:r w:rsidRPr="006A241F">
        <w:rPr>
          <w:rFonts w:ascii="Times New Roman" w:eastAsia="Times New Roman" w:hAnsi="Times New Roman" w:cs="Times New Roman"/>
          <w:color w:val="000000"/>
          <w:lang w:eastAsia="en-GB"/>
        </w:rPr>
        <w:t xml:space="preserve"> whether the populations react differently to </w:t>
      </w:r>
      <w:r w:rsidR="003B1294">
        <w:rPr>
          <w:rFonts w:ascii="Times New Roman" w:eastAsia="Times New Roman" w:hAnsi="Times New Roman" w:cs="Times New Roman"/>
          <w:color w:val="000000"/>
          <w:lang w:eastAsia="en-GB"/>
        </w:rPr>
        <w:t xml:space="preserve">the presence of a </w:t>
      </w:r>
      <w:r w:rsidR="00912983">
        <w:rPr>
          <w:rFonts w:ascii="Times New Roman" w:eastAsia="Times New Roman" w:hAnsi="Times New Roman" w:cs="Times New Roman"/>
          <w:color w:val="000000"/>
          <w:lang w:eastAsia="en-GB"/>
        </w:rPr>
        <w:t>migration</w:t>
      </w:r>
      <w:r w:rsidR="003B1294">
        <w:rPr>
          <w:rFonts w:ascii="Times New Roman" w:eastAsia="Times New Roman" w:hAnsi="Times New Roman" w:cs="Times New Roman"/>
          <w:color w:val="000000"/>
          <w:lang w:eastAsia="en-GB"/>
        </w:rPr>
        <w:t xml:space="preserve"> cue</w:t>
      </w:r>
      <w:r w:rsidR="00912983">
        <w:rPr>
          <w:rFonts w:ascii="Times New Roman" w:eastAsia="Times New Roman" w:hAnsi="Times New Roman" w:cs="Times New Roman"/>
          <w:color w:val="000000"/>
          <w:lang w:eastAsia="en-GB"/>
        </w:rPr>
        <w:t>.</w:t>
      </w:r>
      <w:r w:rsidR="003254DE">
        <w:rPr>
          <w:rFonts w:ascii="Times New Roman" w:eastAsia="Times New Roman" w:hAnsi="Times New Roman" w:cs="Times New Roman"/>
          <w:color w:val="000000"/>
          <w:lang w:eastAsia="en-GB"/>
        </w:rPr>
        <w:t xml:space="preserve"> </w:t>
      </w:r>
    </w:p>
    <w:p w14:paraId="2CEEEAC0" w14:textId="1ECB5749" w:rsidR="00736BB6" w:rsidRDefault="00736BB6">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14:paraId="373B34C0" w14:textId="7FD7E1A1" w:rsidR="000A6688" w:rsidRPr="00EA77E1" w:rsidRDefault="000A6688" w:rsidP="000A6688">
      <w:pPr>
        <w:spacing w:line="276" w:lineRule="auto"/>
        <w:rPr>
          <w:rFonts w:ascii="Times New Roman" w:hAnsi="Times New Roman" w:cs="Times New Roman"/>
          <w:b/>
        </w:rPr>
      </w:pPr>
      <w:r>
        <w:rPr>
          <w:rFonts w:ascii="Times New Roman" w:hAnsi="Times New Roman" w:cs="Times New Roman"/>
          <w:b/>
        </w:rPr>
        <w:lastRenderedPageBreak/>
        <w:t xml:space="preserve">Supplementary information 2: </w:t>
      </w:r>
      <w:r w:rsidRPr="00EA77E1">
        <w:rPr>
          <w:rFonts w:ascii="Times New Roman" w:hAnsi="Times New Roman" w:cs="Times New Roman"/>
          <w:b/>
        </w:rPr>
        <w:t>Study populations and housing of fish</w:t>
      </w:r>
    </w:p>
    <w:p w14:paraId="75636DDB" w14:textId="7A46ADF8" w:rsidR="000A6688" w:rsidRPr="00E63284" w:rsidRDefault="000A6688" w:rsidP="000A6688">
      <w:pPr>
        <w:pStyle w:val="subsection"/>
        <w:spacing w:before="120" w:line="276" w:lineRule="auto"/>
        <w:rPr>
          <w:i w:val="0"/>
          <w:sz w:val="22"/>
          <w:szCs w:val="22"/>
        </w:rPr>
      </w:pPr>
      <w:r w:rsidRPr="00E63284">
        <w:rPr>
          <w:i w:val="0"/>
          <w:sz w:val="22"/>
          <w:szCs w:val="22"/>
        </w:rPr>
        <w:t xml:space="preserve">We caught incoming migrants at a sea lock at the mouth of a river in </w:t>
      </w:r>
      <w:proofErr w:type="spellStart"/>
      <w:r w:rsidRPr="00E63284">
        <w:rPr>
          <w:i w:val="0"/>
          <w:sz w:val="22"/>
          <w:szCs w:val="22"/>
        </w:rPr>
        <w:t>Nieuwe</w:t>
      </w:r>
      <w:proofErr w:type="spellEnd"/>
      <w:r w:rsidRPr="00E63284">
        <w:rPr>
          <w:i w:val="0"/>
          <w:sz w:val="22"/>
          <w:szCs w:val="22"/>
        </w:rPr>
        <w:t xml:space="preserve"> </w:t>
      </w:r>
      <w:proofErr w:type="spellStart"/>
      <w:r w:rsidRPr="00E63284">
        <w:rPr>
          <w:i w:val="0"/>
          <w:sz w:val="22"/>
          <w:szCs w:val="22"/>
        </w:rPr>
        <w:t>Statenzijl</w:t>
      </w:r>
      <w:proofErr w:type="spellEnd"/>
      <w:r w:rsidRPr="00E63284">
        <w:rPr>
          <w:i w:val="0"/>
          <w:sz w:val="22"/>
          <w:szCs w:val="22"/>
        </w:rPr>
        <w:t xml:space="preserve"> (“NSTZ”; 53013’54.49’’, 7012’30.99’’), and resident sticklebacks in an adjacent land-locked polder (“LL-A”; 53017’56.14’’, 702’1.28’’) in the province of Groningen, The Netherlands</w:t>
      </w:r>
      <w:r w:rsidR="00B7005B">
        <w:rPr>
          <w:i w:val="0"/>
          <w:sz w:val="22"/>
          <w:szCs w:val="22"/>
        </w:rPr>
        <w:t xml:space="preserve"> </w:t>
      </w:r>
      <w:r w:rsidR="00E3368F" w:rsidRPr="00E3368F">
        <w:rPr>
          <w:i w:val="0"/>
          <w:noProof/>
          <w:sz w:val="22"/>
          <w:szCs w:val="22"/>
        </w:rPr>
        <w:t>(1)</w:t>
      </w:r>
      <w:r w:rsidRPr="00E63284">
        <w:rPr>
          <w:i w:val="0"/>
          <w:sz w:val="22"/>
          <w:szCs w:val="22"/>
        </w:rPr>
        <w:t xml:space="preserve">. Fish were caught at the onset of inland migration, over a period of four weeks in March and April 2020. Fish of ≥4 cm in total length (from the tip of the snout to the tip of the tail) were transported to the lab in aerated plastic bags within two hours of capture. After acclimatization, fish were housed in groups of 25, separated by their origin (migrant or resident), for a week prior to experimentation in small holding ponds (~ 100 L tanks filled with freshwater from a nearby ditch) under natural temperature and light conditions. Fish were fed a mixture of brine shrimps and bloodworms (3F Frozen Fish Food </w:t>
      </w:r>
      <w:proofErr w:type="spellStart"/>
      <w:r w:rsidRPr="00E63284">
        <w:rPr>
          <w:i w:val="0"/>
          <w:sz w:val="22"/>
          <w:szCs w:val="22"/>
        </w:rPr>
        <w:t>bv</w:t>
      </w:r>
      <w:proofErr w:type="spellEnd"/>
      <w:r w:rsidRPr="00E63284">
        <w:rPr>
          <w:i w:val="0"/>
          <w:sz w:val="22"/>
          <w:szCs w:val="22"/>
        </w:rPr>
        <w:t xml:space="preserve">.), once a day, ad libitum. </w:t>
      </w:r>
      <w:r w:rsidR="00603B31">
        <w:rPr>
          <w:i w:val="0"/>
          <w:sz w:val="22"/>
          <w:szCs w:val="22"/>
        </w:rPr>
        <w:t>Fish</w:t>
      </w:r>
      <w:r w:rsidRPr="00E63284">
        <w:rPr>
          <w:i w:val="0"/>
          <w:sz w:val="22"/>
          <w:szCs w:val="22"/>
        </w:rPr>
        <w:t xml:space="preserve"> were tagged with 8 mm Passive Integrated Transponders (PIT tag; </w:t>
      </w:r>
      <w:proofErr w:type="spellStart"/>
      <w:r w:rsidRPr="00E63284">
        <w:rPr>
          <w:i w:val="0"/>
          <w:sz w:val="22"/>
          <w:szCs w:val="22"/>
        </w:rPr>
        <w:t>Trovan</w:t>
      </w:r>
      <w:proofErr w:type="spellEnd"/>
      <w:r w:rsidRPr="00E63284">
        <w:rPr>
          <w:i w:val="0"/>
          <w:sz w:val="22"/>
          <w:szCs w:val="22"/>
        </w:rPr>
        <w:t>, Ltd., Santa Barbara, California) for individual identification, under anaesthetization in buffered MS-222 solution (0.25 – 0.3 g/L, pH=7.5-8.0). PIT tags were injected in the abdominal cavity (following</w:t>
      </w:r>
      <w:r w:rsidR="00E3368F">
        <w:rPr>
          <w:i w:val="0"/>
          <w:sz w:val="22"/>
          <w:szCs w:val="22"/>
        </w:rPr>
        <w:t xml:space="preserve"> </w:t>
      </w:r>
      <w:r w:rsidR="00E3368F" w:rsidRPr="00E3368F">
        <w:rPr>
          <w:i w:val="0"/>
          <w:noProof/>
          <w:sz w:val="22"/>
          <w:szCs w:val="22"/>
        </w:rPr>
        <w:t>(2)</w:t>
      </w:r>
      <w:r w:rsidR="00E3368F">
        <w:rPr>
          <w:i w:val="0"/>
          <w:sz w:val="22"/>
          <w:szCs w:val="22"/>
        </w:rPr>
        <w:t>)</w:t>
      </w:r>
      <w:r w:rsidRPr="00E63284">
        <w:rPr>
          <w:i w:val="0"/>
          <w:sz w:val="22"/>
          <w:szCs w:val="22"/>
        </w:rPr>
        <w:t>.</w:t>
      </w:r>
      <w:r w:rsidRPr="00E63284">
        <w:rPr>
          <w:sz w:val="22"/>
          <w:szCs w:val="22"/>
        </w:rPr>
        <w:t xml:space="preserve"> </w:t>
      </w:r>
      <w:r w:rsidRPr="00E63284">
        <w:rPr>
          <w:i w:val="0"/>
          <w:sz w:val="22"/>
          <w:szCs w:val="22"/>
        </w:rPr>
        <w:t xml:space="preserve">Before experiments, all fish were allowed at least five days of recovery in the housing pond with the same group. </w:t>
      </w:r>
      <w:r w:rsidR="00A46878">
        <w:rPr>
          <w:i w:val="0"/>
          <w:sz w:val="22"/>
          <w:szCs w:val="22"/>
        </w:rPr>
        <w:t>The mortality</w:t>
      </w:r>
      <w:r w:rsidR="00A46878" w:rsidRPr="00E63284">
        <w:rPr>
          <w:i w:val="0"/>
          <w:sz w:val="22"/>
          <w:szCs w:val="22"/>
        </w:rPr>
        <w:t xml:space="preserve"> </w:t>
      </w:r>
      <w:r w:rsidRPr="00E63284">
        <w:rPr>
          <w:i w:val="0"/>
          <w:sz w:val="22"/>
          <w:szCs w:val="22"/>
        </w:rPr>
        <w:t xml:space="preserve">rate after PIT tagging was very low (&lt;1% in the first week). </w:t>
      </w:r>
      <w:r w:rsidR="002D1A65">
        <w:rPr>
          <w:i w:val="0"/>
          <w:sz w:val="22"/>
          <w:szCs w:val="22"/>
        </w:rPr>
        <w:t xml:space="preserve">In addition, we did not find evidence </w:t>
      </w:r>
      <w:r w:rsidR="00D30CEB">
        <w:rPr>
          <w:i w:val="0"/>
          <w:sz w:val="22"/>
          <w:szCs w:val="22"/>
        </w:rPr>
        <w:t xml:space="preserve">for </w:t>
      </w:r>
      <w:r w:rsidR="002D1A65">
        <w:rPr>
          <w:i w:val="0"/>
          <w:sz w:val="22"/>
          <w:szCs w:val="22"/>
        </w:rPr>
        <w:t>difference</w:t>
      </w:r>
      <w:r w:rsidR="00D30CEB">
        <w:rPr>
          <w:i w:val="0"/>
          <w:sz w:val="22"/>
          <w:szCs w:val="22"/>
        </w:rPr>
        <w:t>s</w:t>
      </w:r>
      <w:r w:rsidR="002D1A65">
        <w:rPr>
          <w:i w:val="0"/>
          <w:sz w:val="22"/>
          <w:szCs w:val="22"/>
        </w:rPr>
        <w:t xml:space="preserve"> in </w:t>
      </w:r>
      <w:r w:rsidR="00D30CEB">
        <w:rPr>
          <w:i w:val="0"/>
          <w:sz w:val="22"/>
          <w:szCs w:val="22"/>
        </w:rPr>
        <w:t xml:space="preserve">the </w:t>
      </w:r>
      <w:r w:rsidR="002D1A65">
        <w:rPr>
          <w:i w:val="0"/>
          <w:sz w:val="22"/>
          <w:szCs w:val="22"/>
        </w:rPr>
        <w:t>effect of PIT tag</w:t>
      </w:r>
      <w:r w:rsidR="00D30CEB">
        <w:rPr>
          <w:i w:val="0"/>
          <w:sz w:val="22"/>
          <w:szCs w:val="22"/>
        </w:rPr>
        <w:t>s</w:t>
      </w:r>
      <w:r w:rsidR="002D1A65">
        <w:rPr>
          <w:i w:val="0"/>
          <w:sz w:val="22"/>
          <w:szCs w:val="22"/>
        </w:rPr>
        <w:t xml:space="preserve"> </w:t>
      </w:r>
      <w:r w:rsidR="00D30CEB">
        <w:rPr>
          <w:i w:val="0"/>
          <w:sz w:val="22"/>
          <w:szCs w:val="22"/>
        </w:rPr>
        <w:t xml:space="preserve">in regard to the </w:t>
      </w:r>
      <w:r w:rsidR="002D1A65">
        <w:rPr>
          <w:i w:val="0"/>
          <w:sz w:val="22"/>
          <w:szCs w:val="22"/>
        </w:rPr>
        <w:t>size</w:t>
      </w:r>
      <w:r w:rsidR="00D30CEB">
        <w:rPr>
          <w:i w:val="0"/>
          <w:sz w:val="22"/>
          <w:szCs w:val="22"/>
        </w:rPr>
        <w:t xml:space="preserve"> of fish</w:t>
      </w:r>
      <w:r w:rsidR="002D1A65">
        <w:rPr>
          <w:i w:val="0"/>
          <w:sz w:val="22"/>
          <w:szCs w:val="22"/>
        </w:rPr>
        <w:t xml:space="preserve">, when performing our daily check on </w:t>
      </w:r>
      <w:r w:rsidR="00A46878">
        <w:rPr>
          <w:i w:val="0"/>
          <w:sz w:val="22"/>
          <w:szCs w:val="22"/>
        </w:rPr>
        <w:t xml:space="preserve">the </w:t>
      </w:r>
      <w:r w:rsidR="002D1A65">
        <w:rPr>
          <w:i w:val="0"/>
          <w:sz w:val="22"/>
          <w:szCs w:val="22"/>
        </w:rPr>
        <w:t xml:space="preserve">welfare and behaviour of fish. </w:t>
      </w:r>
    </w:p>
    <w:p w14:paraId="6ECFDC16" w14:textId="77777777" w:rsidR="000A6688" w:rsidRDefault="000A6688" w:rsidP="00360219">
      <w:pPr>
        <w:spacing w:line="276" w:lineRule="auto"/>
        <w:jc w:val="both"/>
        <w:rPr>
          <w:rFonts w:ascii="Times New Roman" w:eastAsia="Times New Roman" w:hAnsi="Times New Roman" w:cs="Times New Roman"/>
          <w:color w:val="000000"/>
          <w:lang w:eastAsia="en-GB"/>
        </w:rPr>
      </w:pPr>
    </w:p>
    <w:p w14:paraId="440E6E97" w14:textId="46499389" w:rsidR="00EA77E1" w:rsidRDefault="00EA77E1" w:rsidP="00EA77E1">
      <w:pPr>
        <w:spacing w:line="276" w:lineRule="auto"/>
        <w:rPr>
          <w:rFonts w:ascii="Times New Roman" w:hAnsi="Times New Roman" w:cs="Times New Roman"/>
          <w:b/>
        </w:rPr>
      </w:pPr>
      <w:r>
        <w:rPr>
          <w:rFonts w:ascii="Times New Roman" w:hAnsi="Times New Roman" w:cs="Times New Roman"/>
          <w:b/>
        </w:rPr>
        <w:t>Supplementary information 3</w:t>
      </w:r>
      <w:r w:rsidRPr="006A241F">
        <w:rPr>
          <w:rFonts w:ascii="Times New Roman" w:hAnsi="Times New Roman" w:cs="Times New Roman"/>
          <w:b/>
        </w:rPr>
        <w:t>:</w:t>
      </w:r>
      <w:r w:rsidRPr="00EA77E1">
        <w:rPr>
          <w:rFonts w:ascii="Times New Roman" w:hAnsi="Times New Roman" w:cs="Times New Roman"/>
          <w:b/>
        </w:rPr>
        <w:t xml:space="preserve"> </w:t>
      </w:r>
      <w:r w:rsidR="00A46878">
        <w:rPr>
          <w:rFonts w:ascii="Times New Roman" w:hAnsi="Times New Roman" w:cs="Times New Roman"/>
          <w:b/>
        </w:rPr>
        <w:t>C</w:t>
      </w:r>
      <w:r w:rsidR="00343BA6">
        <w:rPr>
          <w:rFonts w:ascii="Times New Roman" w:hAnsi="Times New Roman" w:cs="Times New Roman"/>
          <w:b/>
        </w:rPr>
        <w:t>onsistenc</w:t>
      </w:r>
      <w:r w:rsidR="00AB3456">
        <w:rPr>
          <w:rFonts w:ascii="Times New Roman" w:hAnsi="Times New Roman" w:cs="Times New Roman"/>
          <w:b/>
        </w:rPr>
        <w:t>y of between-pond movement</w:t>
      </w:r>
      <w:r w:rsidR="004A4345">
        <w:rPr>
          <w:rFonts w:ascii="Times New Roman" w:hAnsi="Times New Roman" w:cs="Times New Roman"/>
          <w:b/>
        </w:rPr>
        <w:t>s</w:t>
      </w:r>
      <w:r w:rsidR="00787F31">
        <w:rPr>
          <w:rFonts w:ascii="Times New Roman" w:hAnsi="Times New Roman" w:cs="Times New Roman"/>
          <w:b/>
        </w:rPr>
        <w:t xml:space="preserve"> across ecological and social context</w:t>
      </w:r>
      <w:r w:rsidR="00AB3456">
        <w:rPr>
          <w:rFonts w:ascii="Times New Roman" w:hAnsi="Times New Roman" w:cs="Times New Roman"/>
          <w:b/>
        </w:rPr>
        <w:t>.</w:t>
      </w:r>
    </w:p>
    <w:p w14:paraId="7A0E73B3" w14:textId="31118D2A" w:rsidR="009B2E83" w:rsidRDefault="00EE5151" w:rsidP="00BB3CC8">
      <w:pPr>
        <w:spacing w:line="276" w:lineRule="auto"/>
        <w:jc w:val="both"/>
        <w:rPr>
          <w:rFonts w:ascii="Times New Roman" w:hAnsi="Times New Roman" w:cs="Times New Roman"/>
        </w:rPr>
      </w:pPr>
      <w:r>
        <w:rPr>
          <w:rFonts w:ascii="Times New Roman" w:hAnsi="Times New Roman" w:cs="Times New Roman"/>
        </w:rPr>
        <w:t>To</w:t>
      </w:r>
      <w:r w:rsidR="00DE0582" w:rsidRPr="00DE0582">
        <w:rPr>
          <w:rFonts w:ascii="Times New Roman" w:hAnsi="Times New Roman" w:cs="Times New Roman"/>
        </w:rPr>
        <w:t xml:space="preserve"> </w:t>
      </w:r>
      <w:r w:rsidR="009B2E83">
        <w:rPr>
          <w:rFonts w:ascii="Times New Roman" w:hAnsi="Times New Roman" w:cs="Times New Roman"/>
        </w:rPr>
        <w:t xml:space="preserve">quantify </w:t>
      </w:r>
      <w:r w:rsidR="004A4345">
        <w:rPr>
          <w:rFonts w:ascii="Times New Roman" w:hAnsi="Times New Roman" w:cs="Times New Roman"/>
        </w:rPr>
        <w:t>individual</w:t>
      </w:r>
      <w:r w:rsidR="004A4345" w:rsidRPr="00DE0582">
        <w:rPr>
          <w:rFonts w:ascii="Times New Roman" w:hAnsi="Times New Roman" w:cs="Times New Roman"/>
        </w:rPr>
        <w:t xml:space="preserve"> </w:t>
      </w:r>
      <w:r w:rsidR="00DE0582" w:rsidRPr="00DE0582">
        <w:rPr>
          <w:rFonts w:ascii="Times New Roman" w:hAnsi="Times New Roman" w:cs="Times New Roman"/>
        </w:rPr>
        <w:t>consistency</w:t>
      </w:r>
      <w:r w:rsidR="00AB3456">
        <w:rPr>
          <w:rFonts w:ascii="Times New Roman" w:hAnsi="Times New Roman" w:cs="Times New Roman"/>
        </w:rPr>
        <w:t xml:space="preserve"> </w:t>
      </w:r>
      <w:r>
        <w:rPr>
          <w:rFonts w:ascii="Times New Roman" w:hAnsi="Times New Roman" w:cs="Times New Roman"/>
        </w:rPr>
        <w:t>in between-pond movements</w:t>
      </w:r>
      <w:r w:rsidRPr="00DE0582">
        <w:rPr>
          <w:rFonts w:ascii="Times New Roman" w:hAnsi="Times New Roman" w:cs="Times New Roman"/>
        </w:rPr>
        <w:t xml:space="preserve"> </w:t>
      </w:r>
      <w:r w:rsidR="00DE0582" w:rsidRPr="00DE0582">
        <w:rPr>
          <w:rFonts w:ascii="Times New Roman" w:hAnsi="Times New Roman" w:cs="Times New Roman"/>
        </w:rPr>
        <w:t xml:space="preserve">across </w:t>
      </w:r>
      <w:r>
        <w:rPr>
          <w:rFonts w:ascii="Times New Roman" w:hAnsi="Times New Roman" w:cs="Times New Roman"/>
        </w:rPr>
        <w:t xml:space="preserve">ecological </w:t>
      </w:r>
      <w:r w:rsidR="00DE0582" w:rsidRPr="00DE0582">
        <w:rPr>
          <w:rFonts w:ascii="Times New Roman" w:hAnsi="Times New Roman" w:cs="Times New Roman"/>
        </w:rPr>
        <w:t>contexts (</w:t>
      </w:r>
      <w:r w:rsidR="00787F31">
        <w:rPr>
          <w:rFonts w:ascii="Times New Roman" w:hAnsi="Times New Roman" w:cs="Times New Roman"/>
        </w:rPr>
        <w:t xml:space="preserve">i.e., individuals’ movement under </w:t>
      </w:r>
      <w:r w:rsidR="00DE0582" w:rsidRPr="00DE0582">
        <w:rPr>
          <w:rFonts w:ascii="Times New Roman" w:hAnsi="Times New Roman" w:cs="Times New Roman"/>
        </w:rPr>
        <w:t>flow</w:t>
      </w:r>
      <w:r w:rsidR="00787F31">
        <w:rPr>
          <w:rFonts w:ascii="Times New Roman" w:hAnsi="Times New Roman" w:cs="Times New Roman"/>
        </w:rPr>
        <w:t xml:space="preserve"> vs </w:t>
      </w:r>
      <w:r w:rsidR="00DE0582" w:rsidRPr="00DE0582">
        <w:rPr>
          <w:rFonts w:ascii="Times New Roman" w:hAnsi="Times New Roman" w:cs="Times New Roman"/>
        </w:rPr>
        <w:t>no</w:t>
      </w:r>
      <w:r w:rsidR="00787F31">
        <w:rPr>
          <w:rFonts w:ascii="Times New Roman" w:hAnsi="Times New Roman" w:cs="Times New Roman"/>
        </w:rPr>
        <w:t>-</w:t>
      </w:r>
      <w:r w:rsidR="00DE0582" w:rsidRPr="00DE0582">
        <w:rPr>
          <w:rFonts w:ascii="Times New Roman" w:hAnsi="Times New Roman" w:cs="Times New Roman"/>
        </w:rPr>
        <w:t>flow</w:t>
      </w:r>
      <w:r w:rsidR="00787F31">
        <w:rPr>
          <w:rFonts w:ascii="Times New Roman" w:hAnsi="Times New Roman" w:cs="Times New Roman"/>
        </w:rPr>
        <w:t xml:space="preserve"> conditions</w:t>
      </w:r>
      <w:r w:rsidR="00DE0582" w:rsidRPr="00DE0582">
        <w:rPr>
          <w:rFonts w:ascii="Times New Roman" w:hAnsi="Times New Roman" w:cs="Times New Roman"/>
        </w:rPr>
        <w:t>)</w:t>
      </w:r>
      <w:r>
        <w:rPr>
          <w:rFonts w:ascii="Times New Roman" w:hAnsi="Times New Roman" w:cs="Times New Roman"/>
        </w:rPr>
        <w:t xml:space="preserve">, </w:t>
      </w:r>
      <w:r w:rsidR="00AB3456">
        <w:rPr>
          <w:rFonts w:ascii="Times New Roman" w:hAnsi="Times New Roman" w:cs="Times New Roman"/>
        </w:rPr>
        <w:t xml:space="preserve">we </w:t>
      </w:r>
      <w:r>
        <w:rPr>
          <w:rFonts w:ascii="Times New Roman" w:hAnsi="Times New Roman" w:cs="Times New Roman"/>
        </w:rPr>
        <w:t xml:space="preserve">ran </w:t>
      </w:r>
      <w:r w:rsidR="00AB3456" w:rsidRPr="00DE0582">
        <w:rPr>
          <w:rFonts w:ascii="Times New Roman" w:hAnsi="Times New Roman" w:cs="Times New Roman"/>
        </w:rPr>
        <w:t>univariate generali</w:t>
      </w:r>
      <w:r w:rsidR="00E76719">
        <w:rPr>
          <w:rFonts w:ascii="Times New Roman" w:hAnsi="Times New Roman" w:cs="Times New Roman"/>
        </w:rPr>
        <w:t>s</w:t>
      </w:r>
      <w:r w:rsidR="00AB3456" w:rsidRPr="00DE0582">
        <w:rPr>
          <w:rFonts w:ascii="Times New Roman" w:hAnsi="Times New Roman" w:cs="Times New Roman"/>
        </w:rPr>
        <w:t xml:space="preserve">ed linear mixed </w:t>
      </w:r>
      <w:r w:rsidR="00A46878">
        <w:rPr>
          <w:rFonts w:ascii="Times New Roman" w:hAnsi="Times New Roman" w:cs="Times New Roman"/>
        </w:rPr>
        <w:t xml:space="preserve">models </w:t>
      </w:r>
      <w:r w:rsidR="00AB3456">
        <w:rPr>
          <w:rFonts w:ascii="Times New Roman" w:hAnsi="Times New Roman" w:cs="Times New Roman"/>
        </w:rPr>
        <w:t>(GLMMs) with Poisson errors</w:t>
      </w:r>
      <w:r w:rsidR="009D7EF8">
        <w:rPr>
          <w:rFonts w:ascii="Times New Roman" w:hAnsi="Times New Roman" w:cs="Times New Roman"/>
        </w:rPr>
        <w:t xml:space="preserve"> using </w:t>
      </w:r>
      <w:r>
        <w:rPr>
          <w:rFonts w:ascii="Times New Roman" w:hAnsi="Times New Roman" w:cs="Times New Roman"/>
        </w:rPr>
        <w:t xml:space="preserve">the dataset from Experiment-2 and </w:t>
      </w:r>
      <w:r w:rsidR="009D7EF8">
        <w:rPr>
          <w:rFonts w:ascii="Times New Roman" w:hAnsi="Times New Roman" w:cs="Times New Roman"/>
        </w:rPr>
        <w:t>the lme4 pac</w:t>
      </w:r>
      <w:r w:rsidR="00736BB6">
        <w:rPr>
          <w:rFonts w:ascii="Times New Roman" w:hAnsi="Times New Roman" w:cs="Times New Roman"/>
        </w:rPr>
        <w:t xml:space="preserve">kage </w:t>
      </w:r>
      <w:r w:rsidR="00736BB6" w:rsidRPr="00736BB6">
        <w:rPr>
          <w:rFonts w:ascii="Times New Roman" w:hAnsi="Times New Roman" w:cs="Times New Roman"/>
          <w:noProof/>
        </w:rPr>
        <w:t>(3)</w:t>
      </w:r>
      <w:r w:rsidR="00787F31">
        <w:rPr>
          <w:rFonts w:ascii="Times New Roman" w:hAnsi="Times New Roman" w:cs="Times New Roman"/>
          <w:noProof/>
        </w:rPr>
        <w:t xml:space="preserve"> and calculated </w:t>
      </w:r>
      <w:r w:rsidR="00685B28">
        <w:rPr>
          <w:rFonts w:ascii="Times New Roman" w:hAnsi="Times New Roman" w:cs="Times New Roman"/>
          <w:noProof/>
        </w:rPr>
        <w:t xml:space="preserve">repeatabilities </w:t>
      </w:r>
      <w:r w:rsidR="00685B28" w:rsidRPr="00753EDE">
        <w:rPr>
          <w:rFonts w:ascii="Times New Roman" w:hAnsi="Times New Roman" w:cs="Times New Roman"/>
        </w:rPr>
        <w:t>using the ‘</w:t>
      </w:r>
      <w:proofErr w:type="spellStart"/>
      <w:r w:rsidR="00685B28" w:rsidRPr="00753EDE">
        <w:rPr>
          <w:rFonts w:ascii="Times New Roman" w:hAnsi="Times New Roman" w:cs="Times New Roman"/>
        </w:rPr>
        <w:t>rptR</w:t>
      </w:r>
      <w:proofErr w:type="spellEnd"/>
      <w:r w:rsidR="00685B28" w:rsidRPr="00753EDE">
        <w:rPr>
          <w:rFonts w:ascii="Times New Roman" w:hAnsi="Times New Roman" w:cs="Times New Roman"/>
        </w:rPr>
        <w:t xml:space="preserve">’ package </w:t>
      </w:r>
      <w:r w:rsidR="00685B28" w:rsidRPr="00753EDE">
        <w:rPr>
          <w:rFonts w:ascii="Times New Roman" w:hAnsi="Times New Roman" w:cs="Times New Roman"/>
          <w:noProof/>
        </w:rPr>
        <w:t>(</w:t>
      </w:r>
      <w:r w:rsidR="00685B28">
        <w:rPr>
          <w:rFonts w:ascii="Times New Roman" w:hAnsi="Times New Roman" w:cs="Times New Roman"/>
          <w:noProof/>
        </w:rPr>
        <w:t>4</w:t>
      </w:r>
      <w:r w:rsidR="00685B28" w:rsidRPr="00753EDE">
        <w:rPr>
          <w:rFonts w:ascii="Times New Roman" w:hAnsi="Times New Roman" w:cs="Times New Roman"/>
          <w:noProof/>
        </w:rPr>
        <w:t>)</w:t>
      </w:r>
      <w:r w:rsidR="009D7EF8">
        <w:rPr>
          <w:rFonts w:ascii="Times New Roman" w:hAnsi="Times New Roman" w:cs="Times New Roman"/>
        </w:rPr>
        <w:t xml:space="preserve">. For </w:t>
      </w:r>
      <w:r w:rsidR="009B2E83">
        <w:rPr>
          <w:rFonts w:ascii="Times New Roman" w:hAnsi="Times New Roman" w:cs="Times New Roman"/>
        </w:rPr>
        <w:t xml:space="preserve">repeatability </w:t>
      </w:r>
      <w:r w:rsidR="009D7EF8">
        <w:rPr>
          <w:rFonts w:ascii="Times New Roman" w:hAnsi="Times New Roman" w:cs="Times New Roman"/>
        </w:rPr>
        <w:t xml:space="preserve">across social </w:t>
      </w:r>
      <w:r w:rsidR="00787F31">
        <w:rPr>
          <w:rFonts w:ascii="Times New Roman" w:hAnsi="Times New Roman" w:cs="Times New Roman"/>
        </w:rPr>
        <w:t xml:space="preserve">context </w:t>
      </w:r>
      <w:r w:rsidR="009D7EF8">
        <w:rPr>
          <w:rFonts w:ascii="Times New Roman" w:hAnsi="Times New Roman" w:cs="Times New Roman"/>
        </w:rPr>
        <w:t>(</w:t>
      </w:r>
      <w:r w:rsidR="00787F31">
        <w:rPr>
          <w:rFonts w:ascii="Times New Roman" w:hAnsi="Times New Roman" w:cs="Times New Roman"/>
        </w:rPr>
        <w:t xml:space="preserve">i.e., individuals’ movement in </w:t>
      </w:r>
      <w:r w:rsidR="009D7EF8">
        <w:rPr>
          <w:rFonts w:ascii="Times New Roman" w:hAnsi="Times New Roman" w:cs="Times New Roman"/>
        </w:rPr>
        <w:t>small vs large group</w:t>
      </w:r>
      <w:r w:rsidR="00787F31">
        <w:rPr>
          <w:rFonts w:ascii="Times New Roman" w:hAnsi="Times New Roman" w:cs="Times New Roman"/>
        </w:rPr>
        <w:t>s</w:t>
      </w:r>
      <w:r w:rsidR="009D7EF8">
        <w:rPr>
          <w:rFonts w:ascii="Times New Roman" w:hAnsi="Times New Roman" w:cs="Times New Roman"/>
        </w:rPr>
        <w:t>), we combined</w:t>
      </w:r>
      <w:r w:rsidR="00AB3456">
        <w:rPr>
          <w:rFonts w:ascii="Times New Roman" w:hAnsi="Times New Roman" w:cs="Times New Roman"/>
        </w:rPr>
        <w:t xml:space="preserve"> the data </w:t>
      </w:r>
      <w:r w:rsidR="008F1817">
        <w:rPr>
          <w:rFonts w:ascii="Times New Roman" w:hAnsi="Times New Roman" w:cs="Times New Roman"/>
        </w:rPr>
        <w:t xml:space="preserve">on the number of pond crosses </w:t>
      </w:r>
      <w:r w:rsidR="009D7EF8">
        <w:rPr>
          <w:rFonts w:ascii="Times New Roman" w:hAnsi="Times New Roman" w:cs="Times New Roman"/>
        </w:rPr>
        <w:t>from</w:t>
      </w:r>
      <w:r w:rsidR="00AB3456">
        <w:rPr>
          <w:rFonts w:ascii="Times New Roman" w:hAnsi="Times New Roman" w:cs="Times New Roman"/>
        </w:rPr>
        <w:t xml:space="preserve"> Experiment-1 </w:t>
      </w:r>
      <w:r w:rsidR="00787F31">
        <w:rPr>
          <w:rFonts w:ascii="Times New Roman" w:hAnsi="Times New Roman" w:cs="Times New Roman"/>
        </w:rPr>
        <w:t xml:space="preserve">(small group) </w:t>
      </w:r>
      <w:r w:rsidR="008F1817">
        <w:rPr>
          <w:rFonts w:ascii="Times New Roman" w:hAnsi="Times New Roman" w:cs="Times New Roman"/>
        </w:rPr>
        <w:t xml:space="preserve">with </w:t>
      </w:r>
      <w:r w:rsidR="009D7EF8">
        <w:rPr>
          <w:rFonts w:ascii="Times New Roman" w:hAnsi="Times New Roman" w:cs="Times New Roman"/>
        </w:rPr>
        <w:t>day</w:t>
      </w:r>
      <w:r w:rsidR="008F1817">
        <w:rPr>
          <w:rFonts w:ascii="Times New Roman" w:hAnsi="Times New Roman" w:cs="Times New Roman"/>
        </w:rPr>
        <w:t>s</w:t>
      </w:r>
      <w:r w:rsidR="009B2E83">
        <w:rPr>
          <w:rFonts w:ascii="Times New Roman" w:hAnsi="Times New Roman" w:cs="Times New Roman"/>
        </w:rPr>
        <w:t xml:space="preserve"> 1 and 3</w:t>
      </w:r>
      <w:r w:rsidR="009D7EF8">
        <w:rPr>
          <w:rFonts w:ascii="Times New Roman" w:hAnsi="Times New Roman" w:cs="Times New Roman"/>
        </w:rPr>
        <w:t xml:space="preserve"> </w:t>
      </w:r>
      <w:r w:rsidR="00787F31">
        <w:rPr>
          <w:rFonts w:ascii="Times New Roman" w:hAnsi="Times New Roman" w:cs="Times New Roman"/>
        </w:rPr>
        <w:t xml:space="preserve">(which had water flow, thus excluding differences in ecological context) </w:t>
      </w:r>
      <w:r w:rsidR="009D7EF8">
        <w:rPr>
          <w:rFonts w:ascii="Times New Roman" w:hAnsi="Times New Roman" w:cs="Times New Roman"/>
        </w:rPr>
        <w:t>of Experiment-</w:t>
      </w:r>
      <w:r w:rsidR="00AB3456">
        <w:rPr>
          <w:rFonts w:ascii="Times New Roman" w:hAnsi="Times New Roman" w:cs="Times New Roman"/>
        </w:rPr>
        <w:t>2</w:t>
      </w:r>
      <w:r w:rsidR="009B2E83">
        <w:rPr>
          <w:rFonts w:ascii="Times New Roman" w:hAnsi="Times New Roman" w:cs="Times New Roman"/>
        </w:rPr>
        <w:t xml:space="preserve"> </w:t>
      </w:r>
      <w:r w:rsidR="008F1817">
        <w:rPr>
          <w:rFonts w:ascii="Times New Roman" w:hAnsi="Times New Roman" w:cs="Times New Roman"/>
        </w:rPr>
        <w:t>(</w:t>
      </w:r>
      <w:r w:rsidR="00787F31">
        <w:rPr>
          <w:rFonts w:ascii="Times New Roman" w:hAnsi="Times New Roman" w:cs="Times New Roman"/>
        </w:rPr>
        <w:t>large group)</w:t>
      </w:r>
      <w:r w:rsidR="009D7EF8">
        <w:rPr>
          <w:rFonts w:ascii="Times New Roman" w:hAnsi="Times New Roman" w:cs="Times New Roman"/>
        </w:rPr>
        <w:t xml:space="preserve">. </w:t>
      </w:r>
    </w:p>
    <w:p w14:paraId="47C807F0" w14:textId="0CC8FE6A" w:rsidR="00BB3CC8" w:rsidRDefault="009D7EF8" w:rsidP="00BB3CC8">
      <w:pPr>
        <w:spacing w:line="276" w:lineRule="auto"/>
        <w:jc w:val="both"/>
        <w:rPr>
          <w:rFonts w:ascii="Times New Roman" w:hAnsi="Times New Roman" w:cs="Times New Roman"/>
        </w:rPr>
      </w:pPr>
      <w:r w:rsidRPr="00753EDE">
        <w:rPr>
          <w:rFonts w:ascii="Times New Roman" w:hAnsi="Times New Roman" w:cs="Times New Roman"/>
        </w:rPr>
        <w:t xml:space="preserve">We used the number of crosses between ponds as the response variable, with </w:t>
      </w:r>
      <w:r w:rsidRPr="00753EDE">
        <w:rPr>
          <w:rFonts w:ascii="Times New Roman" w:hAnsi="Times New Roman" w:cs="Times New Roman"/>
          <w:i/>
        </w:rPr>
        <w:t>origin</w:t>
      </w:r>
      <w:r w:rsidRPr="00753EDE">
        <w:rPr>
          <w:rFonts w:ascii="Times New Roman" w:hAnsi="Times New Roman" w:cs="Times New Roman"/>
        </w:rPr>
        <w:t xml:space="preserve"> (resident vs. migrant), </w:t>
      </w:r>
      <w:r w:rsidRPr="00753EDE">
        <w:rPr>
          <w:rFonts w:ascii="Times New Roman" w:hAnsi="Times New Roman" w:cs="Times New Roman"/>
          <w:i/>
        </w:rPr>
        <w:t xml:space="preserve">treatment </w:t>
      </w:r>
      <w:r w:rsidRPr="00753EDE">
        <w:rPr>
          <w:rFonts w:ascii="Times New Roman" w:hAnsi="Times New Roman" w:cs="Times New Roman"/>
        </w:rPr>
        <w:t>(social context: small vs large group size or ecological context: flow vs no-flow in two separate models)</w:t>
      </w:r>
      <w:r w:rsidR="00753EDE" w:rsidRPr="00753EDE">
        <w:rPr>
          <w:rFonts w:ascii="Times New Roman" w:hAnsi="Times New Roman" w:cs="Times New Roman"/>
        </w:rPr>
        <w:t xml:space="preserve"> and their interaction (</w:t>
      </w:r>
      <w:r w:rsidR="00753EDE" w:rsidRPr="00753EDE">
        <w:rPr>
          <w:rFonts w:ascii="Times New Roman" w:hAnsi="Times New Roman" w:cs="Times New Roman"/>
          <w:i/>
        </w:rPr>
        <w:t xml:space="preserve">origin </w:t>
      </w:r>
      <w:r w:rsidR="00753EDE" w:rsidRPr="00753EDE">
        <w:rPr>
          <w:rFonts w:ascii="Times New Roman" w:hAnsi="Times New Roman" w:cs="Times New Roman"/>
        </w:rPr>
        <w:t xml:space="preserve">× </w:t>
      </w:r>
      <w:r w:rsidR="00753EDE" w:rsidRPr="00753EDE">
        <w:rPr>
          <w:rFonts w:ascii="Times New Roman" w:hAnsi="Times New Roman" w:cs="Times New Roman"/>
          <w:i/>
        </w:rPr>
        <w:t>treatment</w:t>
      </w:r>
      <w:r w:rsidR="00753EDE" w:rsidRPr="00753EDE">
        <w:rPr>
          <w:rFonts w:ascii="Times New Roman" w:hAnsi="Times New Roman" w:cs="Times New Roman"/>
        </w:rPr>
        <w:t>)</w:t>
      </w:r>
      <w:r w:rsidRPr="00753EDE">
        <w:rPr>
          <w:rFonts w:ascii="Times New Roman" w:hAnsi="Times New Roman" w:cs="Times New Roman"/>
        </w:rPr>
        <w:t xml:space="preserve"> as a fixed factors and </w:t>
      </w:r>
      <w:r w:rsidRPr="00753EDE">
        <w:rPr>
          <w:rFonts w:ascii="Times New Roman" w:hAnsi="Times New Roman" w:cs="Times New Roman"/>
          <w:i/>
        </w:rPr>
        <w:t>individual-ID</w:t>
      </w:r>
      <w:r w:rsidRPr="00753EDE">
        <w:rPr>
          <w:rFonts w:ascii="Times New Roman" w:hAnsi="Times New Roman" w:cs="Times New Roman"/>
        </w:rPr>
        <w:t xml:space="preserve"> as a random effect. In </w:t>
      </w:r>
      <w:r w:rsidR="00BB3CC8" w:rsidRPr="00753EDE">
        <w:rPr>
          <w:rFonts w:ascii="Times New Roman" w:hAnsi="Times New Roman" w:cs="Times New Roman"/>
        </w:rPr>
        <w:t xml:space="preserve">addition, we added </w:t>
      </w:r>
      <w:proofErr w:type="spellStart"/>
      <w:r w:rsidR="00BB3CC8" w:rsidRPr="00753EDE">
        <w:rPr>
          <w:rFonts w:ascii="Times New Roman" w:hAnsi="Times New Roman" w:cs="Times New Roman"/>
          <w:i/>
        </w:rPr>
        <w:t>Obs</w:t>
      </w:r>
      <w:proofErr w:type="spellEnd"/>
      <w:r w:rsidR="00BB3CC8" w:rsidRPr="00753EDE">
        <w:rPr>
          <w:rFonts w:ascii="Times New Roman" w:hAnsi="Times New Roman" w:cs="Times New Roman"/>
          <w:i/>
        </w:rPr>
        <w:t xml:space="preserve"> </w:t>
      </w:r>
      <w:r w:rsidR="00BB3CC8" w:rsidRPr="00753EDE">
        <w:rPr>
          <w:rFonts w:ascii="Times New Roman" w:hAnsi="Times New Roman" w:cs="Times New Roman"/>
        </w:rPr>
        <w:t xml:space="preserve">as observation-level random effects to control for over-dispersion (OLRE, </w:t>
      </w:r>
      <w:r w:rsidR="00736BB6" w:rsidRPr="00753EDE">
        <w:rPr>
          <w:rFonts w:ascii="Times New Roman" w:hAnsi="Times New Roman" w:cs="Times New Roman"/>
          <w:noProof/>
        </w:rPr>
        <w:t>(</w:t>
      </w:r>
      <w:r w:rsidR="00685B28">
        <w:rPr>
          <w:rFonts w:ascii="Times New Roman" w:hAnsi="Times New Roman" w:cs="Times New Roman"/>
          <w:noProof/>
        </w:rPr>
        <w:t>5</w:t>
      </w:r>
      <w:r w:rsidR="00736BB6" w:rsidRPr="00753EDE">
        <w:rPr>
          <w:rFonts w:ascii="Times New Roman" w:hAnsi="Times New Roman" w:cs="Times New Roman"/>
          <w:noProof/>
        </w:rPr>
        <w:t>)</w:t>
      </w:r>
      <w:r w:rsidR="00BB3CC8" w:rsidRPr="00753EDE">
        <w:rPr>
          <w:rFonts w:ascii="Times New Roman" w:hAnsi="Times New Roman" w:cs="Times New Roman"/>
        </w:rPr>
        <w:t xml:space="preserve">). We used these ‘full’ </w:t>
      </w:r>
      <w:r w:rsidR="003B7D86" w:rsidRPr="00753EDE">
        <w:rPr>
          <w:rFonts w:ascii="Times New Roman" w:hAnsi="Times New Roman" w:cs="Times New Roman"/>
        </w:rPr>
        <w:t xml:space="preserve">and </w:t>
      </w:r>
      <w:r w:rsidR="00BB3CC8" w:rsidRPr="00753EDE">
        <w:rPr>
          <w:rFonts w:ascii="Times New Roman" w:hAnsi="Times New Roman" w:cs="Times New Roman"/>
        </w:rPr>
        <w:t>‘</w:t>
      </w:r>
      <w:r w:rsidR="003B7D86" w:rsidRPr="00753EDE">
        <w:rPr>
          <w:rFonts w:ascii="Times New Roman" w:hAnsi="Times New Roman" w:cs="Times New Roman"/>
        </w:rPr>
        <w:t>simplified</w:t>
      </w:r>
      <w:r w:rsidR="00BB3CC8" w:rsidRPr="00753EDE">
        <w:rPr>
          <w:rFonts w:ascii="Times New Roman" w:hAnsi="Times New Roman" w:cs="Times New Roman"/>
        </w:rPr>
        <w:t>’ model</w:t>
      </w:r>
      <w:r w:rsidR="003B7D86" w:rsidRPr="00753EDE">
        <w:rPr>
          <w:rFonts w:ascii="Times New Roman" w:hAnsi="Times New Roman" w:cs="Times New Roman"/>
        </w:rPr>
        <w:t>s</w:t>
      </w:r>
      <w:r w:rsidR="00BB3CC8" w:rsidRPr="00753EDE">
        <w:rPr>
          <w:rFonts w:ascii="Times New Roman" w:hAnsi="Times New Roman" w:cs="Times New Roman"/>
        </w:rPr>
        <w:t xml:space="preserve"> (omitting </w:t>
      </w:r>
      <w:r w:rsidR="00753EDE" w:rsidRPr="00753EDE">
        <w:rPr>
          <w:rFonts w:ascii="Times New Roman" w:hAnsi="Times New Roman" w:cs="Times New Roman"/>
        </w:rPr>
        <w:t>all the</w:t>
      </w:r>
      <w:r w:rsidR="00BB3CC8" w:rsidRPr="00753EDE">
        <w:rPr>
          <w:rFonts w:ascii="Times New Roman" w:hAnsi="Times New Roman" w:cs="Times New Roman"/>
        </w:rPr>
        <w:t xml:space="preserve"> fixed effect</w:t>
      </w:r>
      <w:r w:rsidR="00753EDE" w:rsidRPr="00753EDE">
        <w:rPr>
          <w:rFonts w:ascii="Times New Roman" w:hAnsi="Times New Roman" w:cs="Times New Roman"/>
        </w:rPr>
        <w:t>s</w:t>
      </w:r>
      <w:r w:rsidR="00BB3CC8" w:rsidRPr="00753EDE">
        <w:rPr>
          <w:rFonts w:ascii="Times New Roman" w:hAnsi="Times New Roman" w:cs="Times New Roman"/>
        </w:rPr>
        <w:t xml:space="preserve">) to calculate ‘adjusted’ and ‘raw’ </w:t>
      </w:r>
      <w:proofErr w:type="spellStart"/>
      <w:r w:rsidR="00BB3CC8" w:rsidRPr="00753EDE">
        <w:rPr>
          <w:rFonts w:ascii="Times New Roman" w:hAnsi="Times New Roman" w:cs="Times New Roman"/>
        </w:rPr>
        <w:t>repeatabilities</w:t>
      </w:r>
      <w:proofErr w:type="spellEnd"/>
      <w:r w:rsidR="00BB3CC8" w:rsidRPr="00753EDE">
        <w:rPr>
          <w:rFonts w:ascii="Times New Roman" w:hAnsi="Times New Roman" w:cs="Times New Roman"/>
        </w:rPr>
        <w:t xml:space="preserve"> respectively. </w:t>
      </w:r>
      <w:proofErr w:type="spellStart"/>
      <w:r w:rsidR="00BB3CC8" w:rsidRPr="00753EDE">
        <w:rPr>
          <w:rFonts w:ascii="Times New Roman" w:hAnsi="Times New Roman" w:cs="Times New Roman"/>
        </w:rPr>
        <w:t>Repeatabilities</w:t>
      </w:r>
      <w:proofErr w:type="spellEnd"/>
      <w:r w:rsidR="00BB3CC8" w:rsidRPr="00753EDE">
        <w:rPr>
          <w:rFonts w:ascii="Times New Roman" w:hAnsi="Times New Roman" w:cs="Times New Roman"/>
        </w:rPr>
        <w:t xml:space="preserve"> are defined as the ratio of among-individual variance (</w:t>
      </w:r>
      <w:proofErr w:type="spellStart"/>
      <w:r w:rsidR="00BB3CC8" w:rsidRPr="00787F31">
        <w:rPr>
          <w:rFonts w:ascii="Times New Roman" w:hAnsi="Times New Roman" w:cs="Times New Roman"/>
          <w:i/>
          <w:iCs/>
        </w:rPr>
        <w:t>Vind</w:t>
      </w:r>
      <w:proofErr w:type="spellEnd"/>
      <w:r w:rsidR="00BB3CC8" w:rsidRPr="00753EDE">
        <w:rPr>
          <w:rFonts w:ascii="Times New Roman" w:hAnsi="Times New Roman" w:cs="Times New Roman"/>
        </w:rPr>
        <w:t>) to total variance (</w:t>
      </w:r>
      <w:proofErr w:type="spellStart"/>
      <w:r w:rsidR="00BB3CC8" w:rsidRPr="00787F31">
        <w:rPr>
          <w:rFonts w:ascii="Times New Roman" w:hAnsi="Times New Roman" w:cs="Times New Roman"/>
          <w:i/>
          <w:iCs/>
        </w:rPr>
        <w:t>Vtotal</w:t>
      </w:r>
      <w:proofErr w:type="spellEnd"/>
      <w:r w:rsidR="00BB3CC8" w:rsidRPr="00753EDE">
        <w:rPr>
          <w:rFonts w:ascii="Times New Roman" w:hAnsi="Times New Roman" w:cs="Times New Roman"/>
        </w:rPr>
        <w:t xml:space="preserve"> = </w:t>
      </w:r>
      <w:proofErr w:type="spellStart"/>
      <w:r w:rsidR="00BB3CC8" w:rsidRPr="00787F31">
        <w:rPr>
          <w:rFonts w:ascii="Times New Roman" w:hAnsi="Times New Roman" w:cs="Times New Roman"/>
          <w:i/>
          <w:iCs/>
        </w:rPr>
        <w:t>Vind</w:t>
      </w:r>
      <w:proofErr w:type="spellEnd"/>
      <w:r w:rsidR="00BB3CC8" w:rsidRPr="00753EDE">
        <w:rPr>
          <w:rFonts w:ascii="Times New Roman" w:hAnsi="Times New Roman" w:cs="Times New Roman"/>
        </w:rPr>
        <w:t xml:space="preserve"> + </w:t>
      </w:r>
      <w:proofErr w:type="spellStart"/>
      <w:r w:rsidR="00BB3CC8" w:rsidRPr="00787F31">
        <w:rPr>
          <w:rFonts w:ascii="Times New Roman" w:hAnsi="Times New Roman" w:cs="Times New Roman"/>
          <w:i/>
          <w:iCs/>
        </w:rPr>
        <w:t>Vresidual</w:t>
      </w:r>
      <w:proofErr w:type="spellEnd"/>
      <w:r w:rsidR="00BB3CC8" w:rsidRPr="00753EDE">
        <w:rPr>
          <w:rFonts w:ascii="Times New Roman" w:hAnsi="Times New Roman" w:cs="Times New Roman"/>
        </w:rPr>
        <w:t xml:space="preserve">). We calculated </w:t>
      </w:r>
      <w:proofErr w:type="spellStart"/>
      <w:r w:rsidR="00376786">
        <w:rPr>
          <w:rFonts w:ascii="Times New Roman" w:hAnsi="Times New Roman" w:cs="Times New Roman"/>
        </w:rPr>
        <w:t>repeatabilities</w:t>
      </w:r>
      <w:proofErr w:type="spellEnd"/>
      <w:r w:rsidR="00376786">
        <w:rPr>
          <w:rFonts w:ascii="Times New Roman" w:hAnsi="Times New Roman" w:cs="Times New Roman"/>
        </w:rPr>
        <w:t xml:space="preserve"> in their original scale</w:t>
      </w:r>
      <w:r w:rsidR="00AA633A">
        <w:rPr>
          <w:rFonts w:ascii="Times New Roman" w:hAnsi="Times New Roman" w:cs="Times New Roman"/>
        </w:rPr>
        <w:t xml:space="preserve"> of measurement (not log scale)</w:t>
      </w:r>
      <w:r w:rsidR="00BB3CC8" w:rsidRPr="00753EDE">
        <w:rPr>
          <w:rFonts w:ascii="Times New Roman" w:hAnsi="Times New Roman" w:cs="Times New Roman"/>
        </w:rPr>
        <w:t>, along with their confidence intervals using the ‘</w:t>
      </w:r>
      <w:proofErr w:type="spellStart"/>
      <w:r w:rsidR="00BB3CC8" w:rsidRPr="00753EDE">
        <w:rPr>
          <w:rFonts w:ascii="Times New Roman" w:hAnsi="Times New Roman" w:cs="Times New Roman"/>
        </w:rPr>
        <w:t>rpt</w:t>
      </w:r>
      <w:proofErr w:type="spellEnd"/>
      <w:r w:rsidR="00BB3CC8" w:rsidRPr="00753EDE">
        <w:rPr>
          <w:rFonts w:ascii="Times New Roman" w:hAnsi="Times New Roman" w:cs="Times New Roman"/>
        </w:rPr>
        <w:t>’ function with 1000 bootstraps using the ‘</w:t>
      </w:r>
      <w:proofErr w:type="spellStart"/>
      <w:r w:rsidR="00BB3CC8" w:rsidRPr="00753EDE">
        <w:rPr>
          <w:rFonts w:ascii="Times New Roman" w:hAnsi="Times New Roman" w:cs="Times New Roman"/>
        </w:rPr>
        <w:t>rptR</w:t>
      </w:r>
      <w:proofErr w:type="spellEnd"/>
      <w:r w:rsidR="00BB3CC8" w:rsidRPr="00753EDE">
        <w:rPr>
          <w:rFonts w:ascii="Times New Roman" w:hAnsi="Times New Roman" w:cs="Times New Roman"/>
        </w:rPr>
        <w:t>’ package</w:t>
      </w:r>
      <w:r w:rsidR="003B7D86" w:rsidRPr="00753EDE">
        <w:rPr>
          <w:rFonts w:ascii="Times New Roman" w:hAnsi="Times New Roman" w:cs="Times New Roman"/>
        </w:rPr>
        <w:t xml:space="preserve"> </w:t>
      </w:r>
      <w:r w:rsidR="00736BB6" w:rsidRPr="00753EDE">
        <w:rPr>
          <w:rFonts w:ascii="Times New Roman" w:hAnsi="Times New Roman" w:cs="Times New Roman"/>
          <w:noProof/>
        </w:rPr>
        <w:t>(</w:t>
      </w:r>
      <w:r w:rsidR="00685B28">
        <w:rPr>
          <w:rFonts w:ascii="Times New Roman" w:hAnsi="Times New Roman" w:cs="Times New Roman"/>
          <w:noProof/>
        </w:rPr>
        <w:t>4</w:t>
      </w:r>
      <w:r w:rsidR="00736BB6" w:rsidRPr="00753EDE">
        <w:rPr>
          <w:rFonts w:ascii="Times New Roman" w:hAnsi="Times New Roman" w:cs="Times New Roman"/>
          <w:noProof/>
        </w:rPr>
        <w:t>)</w:t>
      </w:r>
      <w:r w:rsidR="00BB3CC8" w:rsidRPr="00753EDE">
        <w:rPr>
          <w:rFonts w:ascii="Times New Roman" w:hAnsi="Times New Roman" w:cs="Times New Roman"/>
        </w:rPr>
        <w:t xml:space="preserve">. </w:t>
      </w:r>
      <w:r w:rsidR="00343BA6">
        <w:rPr>
          <w:rFonts w:ascii="Times New Roman" w:hAnsi="Times New Roman" w:cs="Times New Roman"/>
        </w:rPr>
        <w:t xml:space="preserve">We were not able to calculate </w:t>
      </w:r>
      <w:proofErr w:type="spellStart"/>
      <w:r w:rsidR="00343BA6">
        <w:rPr>
          <w:rFonts w:ascii="Times New Roman" w:hAnsi="Times New Roman" w:cs="Times New Roman"/>
        </w:rPr>
        <w:t>repeatabilities</w:t>
      </w:r>
      <w:proofErr w:type="spellEnd"/>
      <w:r w:rsidR="00343BA6">
        <w:rPr>
          <w:rFonts w:ascii="Times New Roman" w:hAnsi="Times New Roman" w:cs="Times New Roman"/>
        </w:rPr>
        <w:t xml:space="preserve"> for different social contexts due to </w:t>
      </w:r>
      <w:r w:rsidR="00EE5151">
        <w:rPr>
          <w:rFonts w:ascii="Times New Roman" w:hAnsi="Times New Roman" w:cs="Times New Roman"/>
        </w:rPr>
        <w:t xml:space="preserve">lack of </w:t>
      </w:r>
      <w:r w:rsidR="00343BA6">
        <w:rPr>
          <w:rFonts w:ascii="Times New Roman" w:hAnsi="Times New Roman" w:cs="Times New Roman"/>
        </w:rPr>
        <w:t>model convergence</w:t>
      </w:r>
      <w:r w:rsidR="005F523C">
        <w:rPr>
          <w:rFonts w:ascii="Times New Roman" w:hAnsi="Times New Roman" w:cs="Times New Roman"/>
        </w:rPr>
        <w:t xml:space="preserve">. </w:t>
      </w:r>
      <w:r w:rsidR="00343BA6">
        <w:rPr>
          <w:rFonts w:ascii="Times New Roman" w:hAnsi="Times New Roman" w:cs="Times New Roman"/>
        </w:rPr>
        <w:t>Hence</w:t>
      </w:r>
      <w:r w:rsidR="00787F31">
        <w:rPr>
          <w:rFonts w:ascii="Times New Roman" w:hAnsi="Times New Roman" w:cs="Times New Roman"/>
        </w:rPr>
        <w:t>,</w:t>
      </w:r>
      <w:r w:rsidR="00343BA6">
        <w:rPr>
          <w:rFonts w:ascii="Times New Roman" w:hAnsi="Times New Roman" w:cs="Times New Roman"/>
        </w:rPr>
        <w:t xml:space="preserve"> we resorted to using Spearman correlation</w:t>
      </w:r>
      <w:r w:rsidR="00600F9C">
        <w:rPr>
          <w:rFonts w:ascii="Times New Roman" w:hAnsi="Times New Roman" w:cs="Times New Roman"/>
        </w:rPr>
        <w:t xml:space="preserve"> to quantify consistency of </w:t>
      </w:r>
      <w:r w:rsidR="005F523C">
        <w:rPr>
          <w:rFonts w:ascii="Times New Roman" w:hAnsi="Times New Roman" w:cs="Times New Roman"/>
        </w:rPr>
        <w:t>pond crosses</w:t>
      </w:r>
      <w:r w:rsidR="00600F9C">
        <w:rPr>
          <w:rFonts w:ascii="Times New Roman" w:hAnsi="Times New Roman" w:cs="Times New Roman"/>
        </w:rPr>
        <w:t xml:space="preserve"> in the small group vs first day in the large group</w:t>
      </w:r>
      <w:r w:rsidR="00343BA6">
        <w:rPr>
          <w:rFonts w:ascii="Times New Roman" w:hAnsi="Times New Roman" w:cs="Times New Roman"/>
        </w:rPr>
        <w:t xml:space="preserve">. </w:t>
      </w:r>
      <w:r w:rsidR="00BB3CC8" w:rsidRPr="00753EDE">
        <w:rPr>
          <w:rFonts w:ascii="Times New Roman" w:hAnsi="Times New Roman" w:cs="Times New Roman"/>
        </w:rPr>
        <w:t>All analyses were carried out in R v. 4.1.0, R Core Team (2019).</w:t>
      </w:r>
    </w:p>
    <w:p w14:paraId="7C485FA8" w14:textId="037E3BCE" w:rsidR="00906BDD" w:rsidRDefault="003E4529" w:rsidP="001C7B14">
      <w:pPr>
        <w:spacing w:line="276" w:lineRule="auto"/>
        <w:jc w:val="both"/>
        <w:rPr>
          <w:rFonts w:ascii="Times New Roman" w:eastAsia="Helvetica Neue" w:hAnsi="Times New Roman" w:cs="Times New Roman"/>
        </w:rPr>
      </w:pPr>
      <w:r w:rsidRPr="00376786">
        <w:rPr>
          <w:rFonts w:ascii="Times New Roman" w:hAnsi="Times New Roman" w:cs="Times New Roman"/>
        </w:rPr>
        <w:t>Between-pond movement was moderately repeatable across ecological contexts (</w:t>
      </w:r>
      <w:r w:rsidRPr="00376786">
        <w:rPr>
          <w:rFonts w:ascii="Times New Roman" w:eastAsia="Helvetica Neue" w:hAnsi="Times New Roman" w:cs="Times New Roman"/>
        </w:rPr>
        <w:t>Adjusted R</w:t>
      </w:r>
      <w:r w:rsidR="00906BDD">
        <w:rPr>
          <w:rFonts w:ascii="Times New Roman" w:eastAsia="Helvetica Neue" w:hAnsi="Times New Roman" w:cs="Times New Roman"/>
        </w:rPr>
        <w:t xml:space="preserve"> </w:t>
      </w:r>
      <w:r w:rsidRPr="00376786">
        <w:rPr>
          <w:rFonts w:ascii="Times New Roman" w:eastAsia="Helvetica Neue" w:hAnsi="Times New Roman" w:cs="Times New Roman"/>
        </w:rPr>
        <w:t>(95% CI) =</w:t>
      </w:r>
      <w:r w:rsidRPr="00376786">
        <w:rPr>
          <w:rFonts w:ascii="Times New Roman" w:hAnsi="Times New Roman" w:cs="Times New Roman"/>
        </w:rPr>
        <w:t xml:space="preserve"> </w:t>
      </w:r>
      <w:r w:rsidRPr="00376786">
        <w:rPr>
          <w:rFonts w:ascii="Times New Roman" w:eastAsia="Helvetica Neue" w:hAnsi="Times New Roman" w:cs="Times New Roman"/>
        </w:rPr>
        <w:t>0.42 (0.34, 0.51) and Raw R</w:t>
      </w:r>
      <w:r w:rsidR="00C76588">
        <w:rPr>
          <w:rFonts w:ascii="Times New Roman" w:eastAsia="Helvetica Neue" w:hAnsi="Times New Roman" w:cs="Times New Roman"/>
        </w:rPr>
        <w:t xml:space="preserve"> </w:t>
      </w:r>
      <w:r w:rsidRPr="00376786">
        <w:rPr>
          <w:rFonts w:ascii="Times New Roman" w:eastAsia="Helvetica Neue" w:hAnsi="Times New Roman" w:cs="Times New Roman"/>
        </w:rPr>
        <w:t>(95% CI) = 0.38 (0.30, 048)).</w:t>
      </w:r>
      <w:r>
        <w:rPr>
          <w:rFonts w:ascii="Times New Roman" w:eastAsia="Helvetica Neue" w:hAnsi="Times New Roman" w:cs="Times New Roman"/>
        </w:rPr>
        <w:t xml:space="preserve"> Across social context, individuals were not very consistent with low correlation coefficients (</w:t>
      </w:r>
      <w:r>
        <w:rPr>
          <w:rFonts w:ascii="Times New Roman" w:hAnsi="Times New Roman" w:cs="Times New Roman"/>
        </w:rPr>
        <w:t xml:space="preserve">Spearman ρ = </w:t>
      </w:r>
      <w:r>
        <w:rPr>
          <w:rFonts w:ascii="Times New Roman" w:eastAsia="Helvetica Neue" w:hAnsi="Times New Roman" w:cs="Times New Roman"/>
        </w:rPr>
        <w:t xml:space="preserve">0.35, p &lt; 0.001). This could be because </w:t>
      </w:r>
      <w:r w:rsidR="00AC1B2A">
        <w:rPr>
          <w:rFonts w:ascii="Times New Roman" w:eastAsia="Helvetica Neue" w:hAnsi="Times New Roman" w:cs="Times New Roman"/>
        </w:rPr>
        <w:t xml:space="preserve">the </w:t>
      </w:r>
      <w:r w:rsidR="00EE5151">
        <w:rPr>
          <w:rFonts w:ascii="Times New Roman" w:eastAsia="Helvetica Neue" w:hAnsi="Times New Roman" w:cs="Times New Roman"/>
        </w:rPr>
        <w:t xml:space="preserve">timescale and </w:t>
      </w:r>
      <w:r w:rsidR="00AC1B2A">
        <w:rPr>
          <w:rFonts w:ascii="Times New Roman" w:eastAsia="Helvetica Neue" w:hAnsi="Times New Roman" w:cs="Times New Roman"/>
        </w:rPr>
        <w:t xml:space="preserve">the </w:t>
      </w:r>
      <w:r w:rsidR="00EE5151">
        <w:rPr>
          <w:rFonts w:ascii="Times New Roman" w:eastAsia="Helvetica Neue" w:hAnsi="Times New Roman" w:cs="Times New Roman"/>
        </w:rPr>
        <w:t xml:space="preserve">sample size were not balanced between Experiment-1 and -2. While repeated data were collected over consecutive days in Experiment-2, single data points were collected </w:t>
      </w:r>
      <w:r w:rsidR="001C1C11">
        <w:rPr>
          <w:rFonts w:ascii="Times New Roman" w:eastAsia="Helvetica Neue" w:hAnsi="Times New Roman" w:cs="Times New Roman"/>
        </w:rPr>
        <w:lastRenderedPageBreak/>
        <w:t>a month apart</w:t>
      </w:r>
      <w:r w:rsidR="005F523C">
        <w:rPr>
          <w:rFonts w:ascii="Times New Roman" w:eastAsia="Helvetica Neue" w:hAnsi="Times New Roman" w:cs="Times New Roman"/>
        </w:rPr>
        <w:t xml:space="preserve"> </w:t>
      </w:r>
      <w:r w:rsidR="00EE5151">
        <w:rPr>
          <w:rFonts w:ascii="Times New Roman" w:eastAsia="Helvetica Neue" w:hAnsi="Times New Roman" w:cs="Times New Roman"/>
        </w:rPr>
        <w:t>in Experiment-1</w:t>
      </w:r>
      <w:r w:rsidR="001C1C11">
        <w:rPr>
          <w:rFonts w:ascii="Times New Roman" w:eastAsia="Helvetica Neue" w:hAnsi="Times New Roman" w:cs="Times New Roman"/>
        </w:rPr>
        <w:t xml:space="preserve">. </w:t>
      </w:r>
      <w:r>
        <w:rPr>
          <w:rFonts w:ascii="Times New Roman" w:eastAsia="Helvetica Neue" w:hAnsi="Times New Roman" w:cs="Times New Roman"/>
        </w:rPr>
        <w:t>However</w:t>
      </w:r>
      <w:r w:rsidR="00AC1B2A">
        <w:rPr>
          <w:rFonts w:ascii="Times New Roman" w:eastAsia="Helvetica Neue" w:hAnsi="Times New Roman" w:cs="Times New Roman"/>
        </w:rPr>
        <w:t>,</w:t>
      </w:r>
      <w:r>
        <w:rPr>
          <w:rFonts w:ascii="Times New Roman" w:eastAsia="Helvetica Neue" w:hAnsi="Times New Roman" w:cs="Times New Roman"/>
        </w:rPr>
        <w:t xml:space="preserve"> we see that the residents were consistently moving less than migrants in all contexts. </w:t>
      </w:r>
    </w:p>
    <w:p w14:paraId="7BC216A5" w14:textId="736ECE5E" w:rsidR="00736BB6" w:rsidRDefault="00906BDD" w:rsidP="00AA633A">
      <w:pPr>
        <w:spacing w:line="276" w:lineRule="auto"/>
        <w:jc w:val="both"/>
        <w:rPr>
          <w:rFonts w:ascii="Times New Roman" w:hAnsi="Times New Roman" w:cs="Times New Roman"/>
        </w:rPr>
      </w:pPr>
      <w:r>
        <w:rPr>
          <w:rFonts w:ascii="Times New Roman" w:eastAsia="Helvetica Neue" w:hAnsi="Times New Roman" w:cs="Times New Roman"/>
        </w:rPr>
        <w:t>Additionally</w:t>
      </w:r>
      <w:r>
        <w:rPr>
          <w:rFonts w:ascii="Times New Roman" w:hAnsi="Times New Roman" w:cs="Times New Roman"/>
        </w:rPr>
        <w:t xml:space="preserve">, in order to investigate </w:t>
      </w:r>
      <w:r w:rsidR="0092510B">
        <w:rPr>
          <w:rFonts w:ascii="Times New Roman" w:hAnsi="Times New Roman" w:cs="Times New Roman"/>
        </w:rPr>
        <w:t>the relationship</w:t>
      </w:r>
      <w:r>
        <w:rPr>
          <w:rFonts w:ascii="Times New Roman" w:hAnsi="Times New Roman" w:cs="Times New Roman"/>
        </w:rPr>
        <w:t xml:space="preserve"> between </w:t>
      </w:r>
      <w:r w:rsidR="0092510B">
        <w:rPr>
          <w:rFonts w:ascii="Times New Roman" w:hAnsi="Times New Roman" w:cs="Times New Roman"/>
        </w:rPr>
        <w:t>measurements</w:t>
      </w:r>
      <w:r>
        <w:rPr>
          <w:rFonts w:ascii="Times New Roman" w:hAnsi="Times New Roman" w:cs="Times New Roman"/>
        </w:rPr>
        <w:t xml:space="preserve"> in the laboratory and in the </w:t>
      </w:r>
      <w:proofErr w:type="spellStart"/>
      <w:r>
        <w:rPr>
          <w:rFonts w:ascii="Times New Roman" w:hAnsi="Times New Roman" w:cs="Times New Roman"/>
        </w:rPr>
        <w:t>mesocosm</w:t>
      </w:r>
      <w:proofErr w:type="spellEnd"/>
      <w:r>
        <w:rPr>
          <w:rFonts w:ascii="Times New Roman" w:hAnsi="Times New Roman" w:cs="Times New Roman"/>
        </w:rPr>
        <w:t xml:space="preserve">, we calculated the Spearman rank correlation coefficient between activity as measured in a classical lab test and across-pond </w:t>
      </w:r>
      <w:r w:rsidR="0092510B">
        <w:rPr>
          <w:rFonts w:ascii="Times New Roman" w:hAnsi="Times New Roman" w:cs="Times New Roman"/>
        </w:rPr>
        <w:t>movement</w:t>
      </w:r>
      <w:bookmarkStart w:id="0" w:name="_GoBack"/>
      <w:bookmarkEnd w:id="0"/>
      <w:r>
        <w:rPr>
          <w:rFonts w:ascii="Times New Roman" w:hAnsi="Times New Roman" w:cs="Times New Roman"/>
        </w:rPr>
        <w:t xml:space="preserve"> in the </w:t>
      </w:r>
      <w:proofErr w:type="spellStart"/>
      <w:r>
        <w:rPr>
          <w:rFonts w:ascii="Times New Roman" w:hAnsi="Times New Roman" w:cs="Times New Roman"/>
        </w:rPr>
        <w:t>mesocosm</w:t>
      </w:r>
      <w:proofErr w:type="spellEnd"/>
      <w:r>
        <w:rPr>
          <w:rFonts w:ascii="Times New Roman" w:hAnsi="Times New Roman" w:cs="Times New Roman"/>
        </w:rPr>
        <w:t xml:space="preserve"> </w:t>
      </w:r>
      <w:r w:rsidR="0092510B">
        <w:rPr>
          <w:rFonts w:ascii="Times New Roman" w:hAnsi="Times New Roman" w:cs="Times New Roman"/>
        </w:rPr>
        <w:t xml:space="preserve">(Fig. S1) </w:t>
      </w:r>
      <w:r>
        <w:rPr>
          <w:rFonts w:ascii="Times New Roman" w:hAnsi="Times New Roman" w:cs="Times New Roman"/>
        </w:rPr>
        <w:t xml:space="preserve">on a separate set of fish </w:t>
      </w:r>
      <w:r w:rsidRPr="000C1769">
        <w:rPr>
          <w:rFonts w:ascii="Times New Roman" w:hAnsi="Times New Roman" w:cs="Times New Roman"/>
        </w:rPr>
        <w:t xml:space="preserve">(F1 sticklebacks raised in the lab from </w:t>
      </w:r>
      <w:r>
        <w:rPr>
          <w:rFonts w:ascii="Times New Roman" w:hAnsi="Times New Roman" w:cs="Times New Roman"/>
          <w:noProof/>
        </w:rPr>
        <w:t>(</w:t>
      </w:r>
      <w:r w:rsidRPr="00A57328">
        <w:rPr>
          <w:rFonts w:ascii="Times New Roman" w:hAnsi="Times New Roman" w:cs="Times New Roman"/>
          <w:noProof/>
        </w:rPr>
        <w:t>1</w:t>
      </w:r>
      <w:r>
        <w:rPr>
          <w:rFonts w:ascii="Times New Roman" w:hAnsi="Times New Roman" w:cs="Times New Roman"/>
        </w:rPr>
        <w:t>)).</w:t>
      </w:r>
    </w:p>
    <w:p w14:paraId="16E94EB7" w14:textId="6E4CAF56" w:rsidR="007A63CA" w:rsidRDefault="007A63CA" w:rsidP="00360219">
      <w:pPr>
        <w:spacing w:line="276" w:lineRule="auto"/>
        <w:rPr>
          <w:rFonts w:ascii="Times New Roman" w:hAnsi="Times New Roman" w:cs="Times New Roman"/>
          <w:b/>
        </w:rPr>
      </w:pPr>
    </w:p>
    <w:p w14:paraId="66500266" w14:textId="4A915048" w:rsidR="00654667" w:rsidRDefault="00E3368F" w:rsidP="00834469">
      <w:pPr>
        <w:jc w:val="center"/>
      </w:pPr>
      <w:r w:rsidRPr="00E3368F">
        <w:rPr>
          <w:noProof/>
          <w:lang w:eastAsia="en-GB"/>
        </w:rPr>
        <w:t xml:space="preserve"> </w:t>
      </w:r>
      <w:r w:rsidR="00AA633A" w:rsidRPr="00AA633A">
        <w:rPr>
          <w:noProof/>
          <w:lang w:eastAsia="en-GB"/>
        </w:rPr>
        <w:drawing>
          <wp:inline distT="0" distB="0" distL="0" distR="0" wp14:anchorId="43C1B1AC" wp14:editId="300E1F63">
            <wp:extent cx="3734732" cy="2473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37379" cy="2475714"/>
                    </a:xfrm>
                    <a:prstGeom prst="rect">
                      <a:avLst/>
                    </a:prstGeom>
                  </pic:spPr>
                </pic:pic>
              </a:graphicData>
            </a:graphic>
          </wp:inline>
        </w:drawing>
      </w:r>
    </w:p>
    <w:p w14:paraId="00635CAA" w14:textId="2BDBC57E" w:rsidR="003F5B32" w:rsidRDefault="001D39A0" w:rsidP="007970AE">
      <w:pPr>
        <w:spacing w:line="276" w:lineRule="auto"/>
        <w:jc w:val="both"/>
        <w:rPr>
          <w:rFonts w:ascii="Times New Roman" w:hAnsi="Times New Roman" w:cs="Times New Roman"/>
        </w:rPr>
      </w:pPr>
      <w:r>
        <w:rPr>
          <w:rFonts w:ascii="Times New Roman" w:hAnsi="Times New Roman" w:cs="Times New Roman"/>
          <w:b/>
        </w:rPr>
        <w:t>Figure S</w:t>
      </w:r>
      <w:r w:rsidR="00194CE6">
        <w:rPr>
          <w:rFonts w:ascii="Times New Roman" w:hAnsi="Times New Roman" w:cs="Times New Roman"/>
          <w:b/>
        </w:rPr>
        <w:t>1</w:t>
      </w:r>
      <w:r w:rsidRPr="000C1769">
        <w:rPr>
          <w:rFonts w:ascii="Times New Roman" w:hAnsi="Times New Roman" w:cs="Times New Roman"/>
          <w:b/>
        </w:rPr>
        <w:t xml:space="preserve">: </w:t>
      </w:r>
      <w:r w:rsidR="00A06FCF">
        <w:rPr>
          <w:rFonts w:ascii="Times New Roman" w:hAnsi="Times New Roman" w:cs="Times New Roman"/>
          <w:b/>
        </w:rPr>
        <w:t>C</w:t>
      </w:r>
      <w:r w:rsidRPr="000C1769">
        <w:rPr>
          <w:rFonts w:ascii="Times New Roman" w:hAnsi="Times New Roman" w:cs="Times New Roman"/>
          <w:b/>
        </w:rPr>
        <w:t>orrelation of movement tendencies</w:t>
      </w:r>
      <w:r>
        <w:rPr>
          <w:rFonts w:ascii="Times New Roman" w:hAnsi="Times New Roman" w:cs="Times New Roman"/>
          <w:b/>
        </w:rPr>
        <w:t xml:space="preserve"> </w:t>
      </w:r>
      <w:r w:rsidR="0092510B">
        <w:rPr>
          <w:rFonts w:ascii="Times New Roman" w:hAnsi="Times New Roman" w:cs="Times New Roman"/>
          <w:b/>
        </w:rPr>
        <w:t xml:space="preserve">measured </w:t>
      </w:r>
      <w:r>
        <w:rPr>
          <w:rFonts w:ascii="Times New Roman" w:hAnsi="Times New Roman" w:cs="Times New Roman"/>
          <w:b/>
        </w:rPr>
        <w:t xml:space="preserve">of lab-raised F1 </w:t>
      </w:r>
      <w:r w:rsidR="00AA633A">
        <w:rPr>
          <w:rFonts w:ascii="Times New Roman" w:hAnsi="Times New Roman" w:cs="Times New Roman"/>
          <w:b/>
        </w:rPr>
        <w:t>sticklebacks</w:t>
      </w:r>
      <w:r w:rsidR="001C1C11">
        <w:rPr>
          <w:rFonts w:ascii="Times New Roman" w:hAnsi="Times New Roman" w:cs="Times New Roman"/>
          <w:b/>
        </w:rPr>
        <w:t xml:space="preserve"> tested in the lab and in the </w:t>
      </w:r>
      <w:proofErr w:type="spellStart"/>
      <w:r w:rsidR="001C1C11">
        <w:rPr>
          <w:rFonts w:ascii="Times New Roman" w:hAnsi="Times New Roman" w:cs="Times New Roman"/>
          <w:b/>
        </w:rPr>
        <w:t>mesocosm</w:t>
      </w:r>
      <w:proofErr w:type="spellEnd"/>
      <w:r w:rsidRPr="000C1769">
        <w:rPr>
          <w:rFonts w:ascii="Times New Roman" w:hAnsi="Times New Roman" w:cs="Times New Roman"/>
          <w:b/>
        </w:rPr>
        <w:t xml:space="preserve">. </w:t>
      </w:r>
      <w:r w:rsidRPr="000C1769">
        <w:rPr>
          <w:rFonts w:ascii="Times New Roman" w:hAnsi="Times New Roman" w:cs="Times New Roman"/>
        </w:rPr>
        <w:t xml:space="preserve">In a separate experiment and </w:t>
      </w:r>
      <w:r w:rsidR="0092510B">
        <w:rPr>
          <w:rFonts w:ascii="Times New Roman" w:hAnsi="Times New Roman" w:cs="Times New Roman"/>
        </w:rPr>
        <w:t xml:space="preserve">on </w:t>
      </w:r>
      <w:r w:rsidR="00A46878">
        <w:rPr>
          <w:rFonts w:ascii="Times New Roman" w:hAnsi="Times New Roman" w:cs="Times New Roman"/>
        </w:rPr>
        <w:t xml:space="preserve">a separate </w:t>
      </w:r>
      <w:r w:rsidRPr="000C1769">
        <w:rPr>
          <w:rFonts w:ascii="Times New Roman" w:hAnsi="Times New Roman" w:cs="Times New Roman"/>
        </w:rPr>
        <w:t xml:space="preserve">set of </w:t>
      </w:r>
      <w:r w:rsidR="00A46878">
        <w:rPr>
          <w:rFonts w:ascii="Times New Roman" w:hAnsi="Times New Roman" w:cs="Times New Roman"/>
        </w:rPr>
        <w:t>fish</w:t>
      </w:r>
      <w:r w:rsidRPr="000C1769">
        <w:rPr>
          <w:rFonts w:ascii="Times New Roman" w:hAnsi="Times New Roman" w:cs="Times New Roman"/>
        </w:rPr>
        <w:t xml:space="preserve">, (F1 sticklebacks </w:t>
      </w:r>
      <w:r w:rsidR="005F523C">
        <w:rPr>
          <w:rFonts w:ascii="Times New Roman" w:hAnsi="Times New Roman" w:cs="Times New Roman"/>
        </w:rPr>
        <w:t xml:space="preserve">of migrant, resident and hybrid backgrounds </w:t>
      </w:r>
      <w:r w:rsidRPr="000C1769">
        <w:rPr>
          <w:rFonts w:ascii="Times New Roman" w:hAnsi="Times New Roman" w:cs="Times New Roman"/>
        </w:rPr>
        <w:t xml:space="preserve">raised in the lab from </w:t>
      </w:r>
      <w:r w:rsidR="00451971">
        <w:rPr>
          <w:rFonts w:ascii="Times New Roman" w:hAnsi="Times New Roman" w:cs="Times New Roman"/>
          <w:noProof/>
        </w:rPr>
        <w:t>(</w:t>
      </w:r>
      <w:r w:rsidRPr="00A57328">
        <w:rPr>
          <w:rFonts w:ascii="Times New Roman" w:hAnsi="Times New Roman" w:cs="Times New Roman"/>
          <w:noProof/>
        </w:rPr>
        <w:t>1</w:t>
      </w:r>
      <w:r w:rsidR="00451971">
        <w:rPr>
          <w:rFonts w:ascii="Times New Roman" w:hAnsi="Times New Roman" w:cs="Times New Roman"/>
        </w:rPr>
        <w:t>)</w:t>
      </w:r>
      <w:r w:rsidRPr="000C1769">
        <w:rPr>
          <w:rFonts w:ascii="Times New Roman" w:hAnsi="Times New Roman" w:cs="Times New Roman"/>
        </w:rPr>
        <w:t>), we performed both, an activity assay in the lab</w:t>
      </w:r>
      <w:r>
        <w:rPr>
          <w:rFonts w:ascii="Times New Roman" w:hAnsi="Times New Roman" w:cs="Times New Roman"/>
        </w:rPr>
        <w:t>, where individual fish were assessed for general movement tendencies for 20 minutes in their home tank</w:t>
      </w:r>
      <w:r w:rsidRPr="000C1769">
        <w:rPr>
          <w:rFonts w:ascii="Times New Roman" w:hAnsi="Times New Roman" w:cs="Times New Roman"/>
        </w:rPr>
        <w:t xml:space="preserve"> </w:t>
      </w:r>
      <w:r>
        <w:rPr>
          <w:rFonts w:ascii="Times New Roman" w:hAnsi="Times New Roman" w:cs="Times New Roman"/>
        </w:rPr>
        <w:t>(</w:t>
      </w:r>
      <w:r w:rsidRPr="001E6F51">
        <w:rPr>
          <w:rFonts w:ascii="Times New Roman" w:hAnsi="Times New Roman" w:cs="Times New Roman"/>
        </w:rPr>
        <w:t>30 x 16 x 18 cm (L x W x H)</w:t>
      </w:r>
      <w:r>
        <w:rPr>
          <w:rFonts w:ascii="Times New Roman" w:hAnsi="Times New Roman" w:cs="Times New Roman"/>
        </w:rPr>
        <w:t xml:space="preserve">) </w:t>
      </w:r>
      <w:r w:rsidRPr="000C1769">
        <w:rPr>
          <w:rFonts w:ascii="Times New Roman" w:hAnsi="Times New Roman" w:cs="Times New Roman"/>
        </w:rPr>
        <w:t xml:space="preserve">(according to methods in </w:t>
      </w:r>
      <w:r w:rsidR="00451971">
        <w:rPr>
          <w:rFonts w:ascii="Times New Roman" w:hAnsi="Times New Roman" w:cs="Times New Roman"/>
          <w:noProof/>
        </w:rPr>
        <w:t>(6)</w:t>
      </w:r>
      <w:r w:rsidRPr="000C1769">
        <w:rPr>
          <w:rFonts w:ascii="Times New Roman" w:hAnsi="Times New Roman" w:cs="Times New Roman"/>
        </w:rPr>
        <w:t xml:space="preserve">) and </w:t>
      </w:r>
      <w:r w:rsidR="004C7BD9">
        <w:rPr>
          <w:rFonts w:ascii="Times New Roman" w:hAnsi="Times New Roman" w:cs="Times New Roman"/>
        </w:rPr>
        <w:t>movement tendencies</w:t>
      </w:r>
      <w:r w:rsidRPr="000C1769">
        <w:rPr>
          <w:rFonts w:ascii="Times New Roman" w:hAnsi="Times New Roman" w:cs="Times New Roman"/>
        </w:rPr>
        <w:t xml:space="preserve"> </w:t>
      </w:r>
      <w:r w:rsidR="004C7BD9">
        <w:rPr>
          <w:rFonts w:ascii="Times New Roman" w:hAnsi="Times New Roman" w:cs="Times New Roman"/>
        </w:rPr>
        <w:t xml:space="preserve">across-ponds </w:t>
      </w:r>
      <w:r w:rsidRPr="000C1769">
        <w:rPr>
          <w:rFonts w:ascii="Times New Roman" w:hAnsi="Times New Roman" w:cs="Times New Roman"/>
        </w:rPr>
        <w:t xml:space="preserve">in the </w:t>
      </w:r>
      <w:proofErr w:type="spellStart"/>
      <w:r w:rsidRPr="000C1769">
        <w:rPr>
          <w:rFonts w:ascii="Times New Roman" w:hAnsi="Times New Roman" w:cs="Times New Roman"/>
        </w:rPr>
        <w:t>mesocosm</w:t>
      </w:r>
      <w:proofErr w:type="spellEnd"/>
      <w:r>
        <w:rPr>
          <w:rFonts w:ascii="Times New Roman" w:hAnsi="Times New Roman" w:cs="Times New Roman"/>
        </w:rPr>
        <w:t xml:space="preserve"> as in </w:t>
      </w:r>
      <w:r w:rsidR="00AA633A">
        <w:rPr>
          <w:rFonts w:ascii="Times New Roman" w:hAnsi="Times New Roman" w:cs="Times New Roman"/>
        </w:rPr>
        <w:t xml:space="preserve">Experiment-1. </w:t>
      </w:r>
      <w:r w:rsidR="00E3368F">
        <w:rPr>
          <w:rFonts w:ascii="Times New Roman" w:hAnsi="Times New Roman" w:cs="Times New Roman"/>
        </w:rPr>
        <w:t>The red line is the</w:t>
      </w:r>
      <w:r w:rsidR="00D96548">
        <w:rPr>
          <w:rFonts w:ascii="Times New Roman" w:hAnsi="Times New Roman" w:cs="Times New Roman"/>
        </w:rPr>
        <w:t xml:space="preserve"> ordinary least squares regression line. </w:t>
      </w:r>
      <w:r w:rsidR="006F2F7A">
        <w:rPr>
          <w:rFonts w:ascii="Times New Roman" w:hAnsi="Times New Roman" w:cs="Times New Roman"/>
        </w:rPr>
        <w:t>L</w:t>
      </w:r>
      <w:r w:rsidRPr="000C1769">
        <w:rPr>
          <w:rFonts w:ascii="Times New Roman" w:hAnsi="Times New Roman" w:cs="Times New Roman"/>
        </w:rPr>
        <w:t>ab-based activity (total distance covered</w:t>
      </w:r>
      <w:r>
        <w:rPr>
          <w:rFonts w:ascii="Times New Roman" w:hAnsi="Times New Roman" w:cs="Times New Roman"/>
        </w:rPr>
        <w:t xml:space="preserve"> in meters in 20 </w:t>
      </w:r>
      <w:proofErr w:type="spellStart"/>
      <w:r>
        <w:rPr>
          <w:rFonts w:ascii="Times New Roman" w:hAnsi="Times New Roman" w:cs="Times New Roman"/>
        </w:rPr>
        <w:t>mins</w:t>
      </w:r>
      <w:proofErr w:type="spellEnd"/>
      <w:r w:rsidRPr="000C1769">
        <w:rPr>
          <w:rFonts w:ascii="Times New Roman" w:hAnsi="Times New Roman" w:cs="Times New Roman"/>
        </w:rPr>
        <w:t>) and number of pond crosses</w:t>
      </w:r>
      <w:r w:rsidR="006F2F7A">
        <w:rPr>
          <w:rFonts w:ascii="Times New Roman" w:hAnsi="Times New Roman" w:cs="Times New Roman"/>
        </w:rPr>
        <w:t xml:space="preserve"> in the </w:t>
      </w:r>
      <w:proofErr w:type="spellStart"/>
      <w:r w:rsidR="006F2F7A">
        <w:rPr>
          <w:rFonts w:ascii="Times New Roman" w:hAnsi="Times New Roman" w:cs="Times New Roman"/>
        </w:rPr>
        <w:t>mesocosm</w:t>
      </w:r>
      <w:proofErr w:type="spellEnd"/>
      <w:r w:rsidRPr="000C1769">
        <w:rPr>
          <w:rFonts w:ascii="Times New Roman" w:hAnsi="Times New Roman" w:cs="Times New Roman"/>
        </w:rPr>
        <w:t xml:space="preserve"> </w:t>
      </w:r>
      <w:r w:rsidR="001C1C11">
        <w:rPr>
          <w:rFonts w:ascii="Times New Roman" w:hAnsi="Times New Roman" w:cs="Times New Roman"/>
        </w:rPr>
        <w:t>were positively</w:t>
      </w:r>
      <w:r w:rsidRPr="000C1769">
        <w:rPr>
          <w:rFonts w:ascii="Times New Roman" w:hAnsi="Times New Roman" w:cs="Times New Roman"/>
        </w:rPr>
        <w:t xml:space="preserve"> correlated</w:t>
      </w:r>
      <w:r w:rsidR="005F523C">
        <w:rPr>
          <w:rFonts w:ascii="Times New Roman" w:hAnsi="Times New Roman" w:cs="Times New Roman"/>
        </w:rPr>
        <w:t>. Since the data were not normally distributed, we calculated the Spearman rank correlation coefficient;</w:t>
      </w:r>
      <w:r w:rsidR="00DA027D">
        <w:rPr>
          <w:rFonts w:ascii="Times New Roman" w:hAnsi="Times New Roman" w:cs="Times New Roman"/>
        </w:rPr>
        <w:t xml:space="preserve"> </w:t>
      </w:r>
      <w:r w:rsidR="00F31585">
        <w:rPr>
          <w:rFonts w:ascii="Times New Roman" w:hAnsi="Times New Roman" w:cs="Times New Roman"/>
        </w:rPr>
        <w:t>ρ = 0.33, p &lt; 0.01</w:t>
      </w:r>
      <w:r w:rsidR="00E92CBD">
        <w:rPr>
          <w:rFonts w:ascii="Times New Roman" w:hAnsi="Times New Roman" w:cs="Times New Roman"/>
        </w:rPr>
        <w:t>.</w:t>
      </w:r>
    </w:p>
    <w:p w14:paraId="3174C674" w14:textId="77777777" w:rsidR="001C1C11" w:rsidRDefault="001C1C11">
      <w:pPr>
        <w:rPr>
          <w:rFonts w:ascii="Times New Roman" w:hAnsi="Times New Roman" w:cs="Times New Roman"/>
          <w:b/>
        </w:rPr>
      </w:pPr>
      <w:r>
        <w:rPr>
          <w:rFonts w:ascii="Times New Roman" w:hAnsi="Times New Roman" w:cs="Times New Roman"/>
          <w:b/>
        </w:rPr>
        <w:br w:type="page"/>
      </w:r>
    </w:p>
    <w:p w14:paraId="653EA5D6" w14:textId="16E38512" w:rsidR="003F5B32" w:rsidRPr="007970AE" w:rsidRDefault="003F5B32" w:rsidP="003B7D86">
      <w:pPr>
        <w:rPr>
          <w:rFonts w:ascii="Times New Roman" w:hAnsi="Times New Roman" w:cs="Times New Roman"/>
          <w:b/>
        </w:rPr>
      </w:pPr>
      <w:r w:rsidRPr="007970AE">
        <w:rPr>
          <w:rFonts w:ascii="Times New Roman" w:hAnsi="Times New Roman" w:cs="Times New Roman"/>
          <w:b/>
        </w:rPr>
        <w:lastRenderedPageBreak/>
        <w:t>References</w:t>
      </w:r>
    </w:p>
    <w:p w14:paraId="5694017D" w14:textId="145BF326" w:rsidR="00736BB6" w:rsidRPr="007970AE" w:rsidRDefault="00736BB6" w:rsidP="007970AE">
      <w:pPr>
        <w:widowControl w:val="0"/>
        <w:autoSpaceDE w:val="0"/>
        <w:autoSpaceDN w:val="0"/>
        <w:adjustRightInd w:val="0"/>
        <w:spacing w:before="120" w:line="480" w:lineRule="auto"/>
        <w:ind w:left="640" w:hanging="640"/>
        <w:rPr>
          <w:rFonts w:ascii="Times New Roman" w:hAnsi="Times New Roman" w:cs="Times New Roman"/>
          <w:noProof/>
          <w:lang w:val="en-US"/>
        </w:rPr>
      </w:pPr>
      <w:r w:rsidRPr="007970AE">
        <w:rPr>
          <w:rFonts w:ascii="Times New Roman" w:hAnsi="Times New Roman" w:cs="Times New Roman"/>
          <w:noProof/>
        </w:rPr>
        <w:t xml:space="preserve">1. </w:t>
      </w:r>
      <w:r w:rsidRPr="007970AE">
        <w:rPr>
          <w:rFonts w:ascii="Times New Roman" w:hAnsi="Times New Roman" w:cs="Times New Roman"/>
          <w:noProof/>
        </w:rPr>
        <w:tab/>
      </w:r>
      <w:r w:rsidR="007970AE" w:rsidRPr="007970AE">
        <w:rPr>
          <w:rFonts w:ascii="Times New Roman" w:hAnsi="Times New Roman" w:cs="Times New Roman"/>
          <w:noProof/>
          <w:lang w:val="en-US"/>
        </w:rPr>
        <w:t>Ramesh A, Groothuis TGG, Weissing FJ, Nicolaus M. Habitat fragmentation induces rapid divergence of migratory and isolated sticklebacks. Behav Ecol. 2022;</w:t>
      </w:r>
      <w:r w:rsidR="007970AE" w:rsidRPr="007970AE">
        <w:rPr>
          <w:rFonts w:ascii="Times New Roman" w:hAnsi="Times New Roman" w:cs="Times New Roman"/>
          <w:color w:val="222222"/>
          <w:shd w:val="clear" w:color="auto" w:fill="FFFFFF"/>
          <w:lang w:val="en-US"/>
        </w:rPr>
        <w:t>33(1):167-77.</w:t>
      </w:r>
      <w:r w:rsidR="007970AE" w:rsidRPr="007970AE">
        <w:rPr>
          <w:rFonts w:ascii="Times New Roman" w:hAnsi="Times New Roman" w:cs="Times New Roman"/>
          <w:noProof/>
          <w:lang w:val="en-US"/>
        </w:rPr>
        <w:t xml:space="preserve"> </w:t>
      </w:r>
    </w:p>
    <w:p w14:paraId="0709EBBC" w14:textId="08B559BE" w:rsidR="00736BB6" w:rsidRPr="00600F9C" w:rsidRDefault="00736BB6" w:rsidP="00736BB6">
      <w:pPr>
        <w:widowControl w:val="0"/>
        <w:autoSpaceDE w:val="0"/>
        <w:autoSpaceDN w:val="0"/>
        <w:adjustRightInd w:val="0"/>
        <w:spacing w:line="360" w:lineRule="auto"/>
        <w:ind w:left="640" w:hanging="640"/>
        <w:rPr>
          <w:rFonts w:ascii="Times New Roman" w:hAnsi="Times New Roman" w:cs="Times New Roman"/>
          <w:noProof/>
        </w:rPr>
      </w:pPr>
      <w:r w:rsidRPr="007970AE">
        <w:rPr>
          <w:rFonts w:ascii="Times New Roman" w:hAnsi="Times New Roman" w:cs="Times New Roman"/>
          <w:noProof/>
        </w:rPr>
        <w:t xml:space="preserve">2. </w:t>
      </w:r>
      <w:r w:rsidRPr="007970AE">
        <w:rPr>
          <w:rFonts w:ascii="Times New Roman" w:hAnsi="Times New Roman" w:cs="Times New Roman"/>
          <w:noProof/>
        </w:rPr>
        <w:tab/>
        <w:t>Cousin X, Daouk T, Pean S, Lyphout L, M S, M B. Electronic individual identification of zebrafish using radio frequency identification (RFID) microtags. J Exp Biol. 2012</w:t>
      </w:r>
      <w:r w:rsidR="007970AE" w:rsidRPr="007970AE">
        <w:rPr>
          <w:rFonts w:ascii="Times New Roman" w:hAnsi="Times New Roman" w:cs="Times New Roman"/>
          <w:noProof/>
        </w:rPr>
        <w:t>;215</w:t>
      </w:r>
      <w:r w:rsidRPr="007970AE">
        <w:rPr>
          <w:rFonts w:ascii="Times New Roman" w:hAnsi="Times New Roman" w:cs="Times New Roman"/>
          <w:noProof/>
        </w:rPr>
        <w:t>:2729–34</w:t>
      </w:r>
      <w:r w:rsidRPr="00600F9C">
        <w:rPr>
          <w:rFonts w:ascii="Times New Roman" w:hAnsi="Times New Roman" w:cs="Times New Roman"/>
          <w:noProof/>
        </w:rPr>
        <w:t xml:space="preserve">. </w:t>
      </w:r>
    </w:p>
    <w:p w14:paraId="22A53E2D" w14:textId="588E91DD" w:rsidR="00736BB6" w:rsidRPr="00600F9C" w:rsidRDefault="00736BB6" w:rsidP="00736BB6">
      <w:pPr>
        <w:widowControl w:val="0"/>
        <w:autoSpaceDE w:val="0"/>
        <w:autoSpaceDN w:val="0"/>
        <w:adjustRightInd w:val="0"/>
        <w:spacing w:line="360" w:lineRule="auto"/>
        <w:ind w:left="640" w:hanging="640"/>
        <w:rPr>
          <w:rFonts w:ascii="Times New Roman" w:hAnsi="Times New Roman" w:cs="Times New Roman"/>
          <w:noProof/>
        </w:rPr>
      </w:pPr>
      <w:r w:rsidRPr="00600F9C">
        <w:rPr>
          <w:rFonts w:ascii="Times New Roman" w:hAnsi="Times New Roman" w:cs="Times New Roman"/>
          <w:noProof/>
        </w:rPr>
        <w:t xml:space="preserve">3. </w:t>
      </w:r>
      <w:r w:rsidRPr="00600F9C">
        <w:rPr>
          <w:rFonts w:ascii="Times New Roman" w:hAnsi="Times New Roman" w:cs="Times New Roman"/>
          <w:noProof/>
        </w:rPr>
        <w:tab/>
      </w:r>
      <w:r w:rsidR="007970AE" w:rsidRPr="00600F9C">
        <w:rPr>
          <w:rFonts w:ascii="Times New Roman" w:hAnsi="Times New Roman" w:cs="Times New Roman"/>
          <w:shd w:val="clear" w:color="auto" w:fill="FFFFFF"/>
        </w:rPr>
        <w:t xml:space="preserve">Bates D, </w:t>
      </w:r>
      <w:proofErr w:type="spellStart"/>
      <w:r w:rsidR="007970AE" w:rsidRPr="00600F9C">
        <w:rPr>
          <w:rFonts w:ascii="Times New Roman" w:hAnsi="Times New Roman" w:cs="Times New Roman"/>
          <w:shd w:val="clear" w:color="auto" w:fill="FFFFFF"/>
        </w:rPr>
        <w:t>Mächler</w:t>
      </w:r>
      <w:proofErr w:type="spellEnd"/>
      <w:r w:rsidR="007970AE" w:rsidRPr="00600F9C">
        <w:rPr>
          <w:rFonts w:ascii="Times New Roman" w:hAnsi="Times New Roman" w:cs="Times New Roman"/>
          <w:shd w:val="clear" w:color="auto" w:fill="FFFFFF"/>
        </w:rPr>
        <w:t xml:space="preserve"> M, </w:t>
      </w:r>
      <w:proofErr w:type="spellStart"/>
      <w:r w:rsidR="007970AE" w:rsidRPr="00600F9C">
        <w:rPr>
          <w:rFonts w:ascii="Times New Roman" w:hAnsi="Times New Roman" w:cs="Times New Roman"/>
          <w:shd w:val="clear" w:color="auto" w:fill="FFFFFF"/>
        </w:rPr>
        <w:t>Bolker</w:t>
      </w:r>
      <w:proofErr w:type="spellEnd"/>
      <w:r w:rsidR="007970AE" w:rsidRPr="00600F9C">
        <w:rPr>
          <w:rFonts w:ascii="Times New Roman" w:hAnsi="Times New Roman" w:cs="Times New Roman"/>
          <w:shd w:val="clear" w:color="auto" w:fill="FFFFFF"/>
        </w:rPr>
        <w:t xml:space="preserve"> B, Walker S. Fitting Linear Mixed-Effects Model</w:t>
      </w:r>
      <w:r w:rsidR="003E4529" w:rsidRPr="00600F9C">
        <w:rPr>
          <w:rFonts w:ascii="Times New Roman" w:hAnsi="Times New Roman" w:cs="Times New Roman"/>
          <w:shd w:val="clear" w:color="auto" w:fill="FFFFFF"/>
        </w:rPr>
        <w:t>s Using lme4. J. Stat. Soft</w:t>
      </w:r>
      <w:r w:rsidR="007970AE" w:rsidRPr="00600F9C">
        <w:rPr>
          <w:rFonts w:ascii="Times New Roman" w:hAnsi="Times New Roman" w:cs="Times New Roman"/>
          <w:shd w:val="clear" w:color="auto" w:fill="FFFFFF"/>
        </w:rPr>
        <w:t>. 2015;67(1):1-48</w:t>
      </w:r>
      <w:r w:rsidRPr="00600F9C">
        <w:rPr>
          <w:rFonts w:ascii="Times New Roman" w:hAnsi="Times New Roman" w:cs="Times New Roman"/>
          <w:noProof/>
        </w:rPr>
        <w:t xml:space="preserve"> </w:t>
      </w:r>
    </w:p>
    <w:p w14:paraId="707EB0E3" w14:textId="62E45ACD" w:rsidR="00685B28" w:rsidRPr="00600F9C" w:rsidRDefault="00685B28" w:rsidP="00736BB6">
      <w:pPr>
        <w:widowControl w:val="0"/>
        <w:autoSpaceDE w:val="0"/>
        <w:autoSpaceDN w:val="0"/>
        <w:adjustRightInd w:val="0"/>
        <w:spacing w:line="360" w:lineRule="auto"/>
        <w:ind w:left="640" w:hanging="640"/>
        <w:rPr>
          <w:rFonts w:ascii="Times New Roman" w:hAnsi="Times New Roman" w:cs="Times New Roman"/>
          <w:noProof/>
        </w:rPr>
      </w:pPr>
      <w:r w:rsidRPr="00600F9C">
        <w:rPr>
          <w:rFonts w:ascii="Times New Roman" w:hAnsi="Times New Roman" w:cs="Times New Roman"/>
          <w:shd w:val="clear" w:color="auto" w:fill="FFFFFF"/>
        </w:rPr>
        <w:t>4.</w:t>
      </w:r>
      <w:r w:rsidRPr="00600F9C">
        <w:rPr>
          <w:rFonts w:ascii="Times New Roman" w:hAnsi="Times New Roman" w:cs="Times New Roman"/>
          <w:shd w:val="clear" w:color="auto" w:fill="FFFFFF"/>
        </w:rPr>
        <w:tab/>
      </w:r>
      <w:proofErr w:type="spellStart"/>
      <w:r w:rsidRPr="00600F9C">
        <w:rPr>
          <w:rFonts w:ascii="Times New Roman" w:hAnsi="Times New Roman" w:cs="Times New Roman"/>
          <w:shd w:val="clear" w:color="auto" w:fill="FFFFFF"/>
        </w:rPr>
        <w:t>Stoffel</w:t>
      </w:r>
      <w:proofErr w:type="spellEnd"/>
      <w:r w:rsidRPr="00600F9C">
        <w:rPr>
          <w:rFonts w:ascii="Times New Roman" w:hAnsi="Times New Roman" w:cs="Times New Roman"/>
          <w:shd w:val="clear" w:color="auto" w:fill="FFFFFF"/>
        </w:rPr>
        <w:t xml:space="preserve"> MA, Nakagawa S, </w:t>
      </w:r>
      <w:proofErr w:type="spellStart"/>
      <w:r w:rsidRPr="00600F9C">
        <w:rPr>
          <w:rFonts w:ascii="Times New Roman" w:hAnsi="Times New Roman" w:cs="Times New Roman"/>
          <w:shd w:val="clear" w:color="auto" w:fill="FFFFFF"/>
        </w:rPr>
        <w:t>Schielzeth</w:t>
      </w:r>
      <w:proofErr w:type="spellEnd"/>
      <w:r w:rsidRPr="00600F9C">
        <w:rPr>
          <w:rFonts w:ascii="Times New Roman" w:hAnsi="Times New Roman" w:cs="Times New Roman"/>
          <w:shd w:val="clear" w:color="auto" w:fill="FFFFFF"/>
        </w:rPr>
        <w:t xml:space="preserve"> H. </w:t>
      </w:r>
      <w:proofErr w:type="spellStart"/>
      <w:r w:rsidRPr="00600F9C">
        <w:rPr>
          <w:rFonts w:ascii="Times New Roman" w:hAnsi="Times New Roman" w:cs="Times New Roman"/>
          <w:shd w:val="clear" w:color="auto" w:fill="FFFFFF"/>
        </w:rPr>
        <w:t>rptR</w:t>
      </w:r>
      <w:proofErr w:type="spellEnd"/>
      <w:r w:rsidRPr="00600F9C">
        <w:rPr>
          <w:rFonts w:ascii="Times New Roman" w:hAnsi="Times New Roman" w:cs="Times New Roman"/>
          <w:shd w:val="clear" w:color="auto" w:fill="FFFFFF"/>
        </w:rPr>
        <w:t>: Repeatability estimation and variance decomposition by generalized linear mixed‐effects models. Methods in Ecology and Evolution. 2017;8(11):1639-44.</w:t>
      </w:r>
    </w:p>
    <w:p w14:paraId="4A71B536" w14:textId="7CC73529" w:rsidR="00736BB6" w:rsidRPr="007970AE" w:rsidRDefault="00685B28" w:rsidP="00685B28">
      <w:pPr>
        <w:widowControl w:val="0"/>
        <w:autoSpaceDE w:val="0"/>
        <w:autoSpaceDN w:val="0"/>
        <w:adjustRightInd w:val="0"/>
        <w:spacing w:line="360" w:lineRule="auto"/>
        <w:ind w:left="640" w:hanging="640"/>
        <w:rPr>
          <w:rFonts w:ascii="Times New Roman" w:hAnsi="Times New Roman" w:cs="Times New Roman"/>
          <w:noProof/>
        </w:rPr>
      </w:pPr>
      <w:r w:rsidRPr="00600F9C">
        <w:rPr>
          <w:rFonts w:ascii="Times New Roman" w:hAnsi="Times New Roman" w:cs="Times New Roman"/>
          <w:noProof/>
        </w:rPr>
        <w:t>5</w:t>
      </w:r>
      <w:r w:rsidR="00736BB6" w:rsidRPr="00600F9C">
        <w:rPr>
          <w:rFonts w:ascii="Times New Roman" w:hAnsi="Times New Roman" w:cs="Times New Roman"/>
          <w:noProof/>
        </w:rPr>
        <w:t xml:space="preserve">. </w:t>
      </w:r>
      <w:r w:rsidR="00736BB6" w:rsidRPr="00600F9C">
        <w:rPr>
          <w:rFonts w:ascii="Times New Roman" w:hAnsi="Times New Roman" w:cs="Times New Roman"/>
          <w:noProof/>
        </w:rPr>
        <w:tab/>
      </w:r>
      <w:r w:rsidR="007970AE" w:rsidRPr="00600F9C">
        <w:rPr>
          <w:rFonts w:ascii="Times New Roman" w:hAnsi="Times New Roman" w:cs="Times New Roman"/>
          <w:shd w:val="clear" w:color="auto" w:fill="FFFFFF"/>
        </w:rPr>
        <w:t xml:space="preserve">Harrison XA. Using observation-level random effects to model </w:t>
      </w:r>
      <w:proofErr w:type="spellStart"/>
      <w:r w:rsidR="007970AE" w:rsidRPr="00600F9C">
        <w:rPr>
          <w:rFonts w:ascii="Times New Roman" w:hAnsi="Times New Roman" w:cs="Times New Roman"/>
          <w:shd w:val="clear" w:color="auto" w:fill="FFFFFF"/>
        </w:rPr>
        <w:t>overdispersion</w:t>
      </w:r>
      <w:proofErr w:type="spellEnd"/>
      <w:r w:rsidR="007970AE" w:rsidRPr="00600F9C">
        <w:rPr>
          <w:rFonts w:ascii="Times New Roman" w:hAnsi="Times New Roman" w:cs="Times New Roman"/>
          <w:shd w:val="clear" w:color="auto" w:fill="FFFFFF"/>
        </w:rPr>
        <w:t xml:space="preserve"> in count data in ecology and evolution. </w:t>
      </w:r>
      <w:proofErr w:type="spellStart"/>
      <w:r w:rsidR="007970AE" w:rsidRPr="00600F9C">
        <w:rPr>
          <w:rFonts w:ascii="Times New Roman" w:hAnsi="Times New Roman" w:cs="Times New Roman"/>
          <w:shd w:val="clear" w:color="auto" w:fill="FFFFFF"/>
        </w:rPr>
        <w:t>PeerJ</w:t>
      </w:r>
      <w:proofErr w:type="spellEnd"/>
      <w:r w:rsidR="007970AE" w:rsidRPr="00600F9C">
        <w:rPr>
          <w:rFonts w:ascii="Times New Roman" w:hAnsi="Times New Roman" w:cs="Times New Roman"/>
          <w:shd w:val="clear" w:color="auto" w:fill="FFFFFF"/>
        </w:rPr>
        <w:t>. 2014;2:e616.</w:t>
      </w:r>
      <w:r w:rsidR="00736BB6" w:rsidRPr="007970AE">
        <w:rPr>
          <w:rFonts w:ascii="Times New Roman" w:hAnsi="Times New Roman" w:cs="Times New Roman"/>
          <w:noProof/>
        </w:rPr>
        <w:tab/>
        <w:t xml:space="preserve"> </w:t>
      </w:r>
    </w:p>
    <w:p w14:paraId="0741A3D9" w14:textId="05424598" w:rsidR="00736BB6" w:rsidRPr="007970AE" w:rsidRDefault="00736BB6" w:rsidP="00736BB6">
      <w:pPr>
        <w:widowControl w:val="0"/>
        <w:autoSpaceDE w:val="0"/>
        <w:autoSpaceDN w:val="0"/>
        <w:adjustRightInd w:val="0"/>
        <w:spacing w:line="360" w:lineRule="auto"/>
        <w:ind w:left="640" w:hanging="640"/>
        <w:rPr>
          <w:rFonts w:ascii="Times New Roman" w:hAnsi="Times New Roman" w:cs="Times New Roman"/>
          <w:noProof/>
        </w:rPr>
      </w:pPr>
      <w:r w:rsidRPr="007970AE">
        <w:rPr>
          <w:rFonts w:ascii="Times New Roman" w:hAnsi="Times New Roman" w:cs="Times New Roman"/>
          <w:noProof/>
        </w:rPr>
        <w:t xml:space="preserve">6. </w:t>
      </w:r>
      <w:r w:rsidRPr="007970AE">
        <w:rPr>
          <w:rFonts w:ascii="Times New Roman" w:hAnsi="Times New Roman" w:cs="Times New Roman"/>
          <w:noProof/>
        </w:rPr>
        <w:tab/>
      </w:r>
      <w:r w:rsidR="007970AE" w:rsidRPr="007970AE">
        <w:rPr>
          <w:rFonts w:ascii="Times New Roman" w:hAnsi="Times New Roman" w:cs="Times New Roman"/>
          <w:noProof/>
          <w:lang w:val="en-US"/>
        </w:rPr>
        <w:t>Ramesh A, Domingues MM, Stamhuis EJ, Groothuis TGG, Weissing FJ, Nicolaus M. Does genetic differentiation underlie behavioral divergence in response to migration barriers in sticklebacks? A common garden experiment. Behav Ecol Sociobiol. 2021;75(12):1-2.</w:t>
      </w:r>
    </w:p>
    <w:sectPr w:rsidR="00736BB6" w:rsidRPr="007970A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EC22" w16cex:dateUtc="2023-01-31T18:36:00Z"/>
  <w16cex:commentExtensible w16cex:durableId="2783E8F1" w16cex:dateUtc="2023-01-31T18:22:00Z"/>
  <w16cex:commentExtensible w16cex:durableId="2783E48A" w16cex:dateUtc="2023-01-31T18:03:00Z"/>
  <w16cex:commentExtensible w16cex:durableId="2783E415" w16cex:dateUtc="2023-01-31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6F6A7" w16cid:durableId="2783EC22"/>
  <w16cid:commentId w16cid:paraId="1BE3B6DD" w16cid:durableId="2783E8F1"/>
  <w16cid:commentId w16cid:paraId="1BB437C6" w16cid:durableId="2783E48A"/>
  <w16cid:commentId w16cid:paraId="47287A0B" w16cid:durableId="2783E4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207D1"/>
    <w:multiLevelType w:val="hybridMultilevel"/>
    <w:tmpl w:val="6D003C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F3"/>
    <w:rsid w:val="00015852"/>
    <w:rsid w:val="00034E87"/>
    <w:rsid w:val="00090523"/>
    <w:rsid w:val="00092002"/>
    <w:rsid w:val="000926EC"/>
    <w:rsid w:val="000A49AF"/>
    <w:rsid w:val="000A6688"/>
    <w:rsid w:val="000B3CD9"/>
    <w:rsid w:val="000C1769"/>
    <w:rsid w:val="000C4A79"/>
    <w:rsid w:val="000C5EDA"/>
    <w:rsid w:val="000C60E7"/>
    <w:rsid w:val="000C66BF"/>
    <w:rsid w:val="000E0206"/>
    <w:rsid w:val="001059A8"/>
    <w:rsid w:val="00116B03"/>
    <w:rsid w:val="00136124"/>
    <w:rsid w:val="00143CD5"/>
    <w:rsid w:val="00151AE6"/>
    <w:rsid w:val="001709AC"/>
    <w:rsid w:val="0017246E"/>
    <w:rsid w:val="00173451"/>
    <w:rsid w:val="00173EF3"/>
    <w:rsid w:val="00175430"/>
    <w:rsid w:val="001906C2"/>
    <w:rsid w:val="00194CE6"/>
    <w:rsid w:val="001A3645"/>
    <w:rsid w:val="001B0307"/>
    <w:rsid w:val="001C1C11"/>
    <w:rsid w:val="001C7B14"/>
    <w:rsid w:val="001D39A0"/>
    <w:rsid w:val="001D5D45"/>
    <w:rsid w:val="001E6F51"/>
    <w:rsid w:val="001F64C8"/>
    <w:rsid w:val="00204074"/>
    <w:rsid w:val="00216BFD"/>
    <w:rsid w:val="002176B5"/>
    <w:rsid w:val="00245F79"/>
    <w:rsid w:val="002551FE"/>
    <w:rsid w:val="0025622F"/>
    <w:rsid w:val="00297FEA"/>
    <w:rsid w:val="002A1A02"/>
    <w:rsid w:val="002D111E"/>
    <w:rsid w:val="002D16F5"/>
    <w:rsid w:val="002D1A65"/>
    <w:rsid w:val="002D4958"/>
    <w:rsid w:val="0030194B"/>
    <w:rsid w:val="003254DE"/>
    <w:rsid w:val="00343BA6"/>
    <w:rsid w:val="00360219"/>
    <w:rsid w:val="0036411C"/>
    <w:rsid w:val="00367B6F"/>
    <w:rsid w:val="00371C64"/>
    <w:rsid w:val="00376786"/>
    <w:rsid w:val="00376DEB"/>
    <w:rsid w:val="003831E6"/>
    <w:rsid w:val="003B1294"/>
    <w:rsid w:val="003B3C62"/>
    <w:rsid w:val="003B7D86"/>
    <w:rsid w:val="003C23AF"/>
    <w:rsid w:val="003D1110"/>
    <w:rsid w:val="003E4529"/>
    <w:rsid w:val="003F1F09"/>
    <w:rsid w:val="003F5B32"/>
    <w:rsid w:val="00405A70"/>
    <w:rsid w:val="0040668C"/>
    <w:rsid w:val="0041084F"/>
    <w:rsid w:val="00451971"/>
    <w:rsid w:val="00475E54"/>
    <w:rsid w:val="0047722A"/>
    <w:rsid w:val="004904E1"/>
    <w:rsid w:val="00496878"/>
    <w:rsid w:val="004A29E0"/>
    <w:rsid w:val="004A4345"/>
    <w:rsid w:val="004A55E7"/>
    <w:rsid w:val="004C3F32"/>
    <w:rsid w:val="004C6AED"/>
    <w:rsid w:val="004C7BD9"/>
    <w:rsid w:val="004E24BA"/>
    <w:rsid w:val="004E2B87"/>
    <w:rsid w:val="0052136B"/>
    <w:rsid w:val="005241B1"/>
    <w:rsid w:val="00533607"/>
    <w:rsid w:val="005370A9"/>
    <w:rsid w:val="005601A0"/>
    <w:rsid w:val="00574E8E"/>
    <w:rsid w:val="005924DB"/>
    <w:rsid w:val="00597E39"/>
    <w:rsid w:val="005D4892"/>
    <w:rsid w:val="005F292F"/>
    <w:rsid w:val="005F523C"/>
    <w:rsid w:val="00600F9C"/>
    <w:rsid w:val="00603B31"/>
    <w:rsid w:val="006252DE"/>
    <w:rsid w:val="006401C0"/>
    <w:rsid w:val="00654667"/>
    <w:rsid w:val="00665BB4"/>
    <w:rsid w:val="00680F2D"/>
    <w:rsid w:val="00682B3F"/>
    <w:rsid w:val="00685B28"/>
    <w:rsid w:val="006A241F"/>
    <w:rsid w:val="006B34DE"/>
    <w:rsid w:val="006C0AD4"/>
    <w:rsid w:val="006C25F2"/>
    <w:rsid w:val="006D2B04"/>
    <w:rsid w:val="006F2F7A"/>
    <w:rsid w:val="007048FE"/>
    <w:rsid w:val="00736BB6"/>
    <w:rsid w:val="00753EDE"/>
    <w:rsid w:val="00776725"/>
    <w:rsid w:val="00787F31"/>
    <w:rsid w:val="007970AE"/>
    <w:rsid w:val="007A2827"/>
    <w:rsid w:val="007A6267"/>
    <w:rsid w:val="007A63CA"/>
    <w:rsid w:val="007E75A1"/>
    <w:rsid w:val="007F1B6C"/>
    <w:rsid w:val="00834469"/>
    <w:rsid w:val="00835487"/>
    <w:rsid w:val="00836A33"/>
    <w:rsid w:val="008473D7"/>
    <w:rsid w:val="00877492"/>
    <w:rsid w:val="00897E48"/>
    <w:rsid w:val="008A5456"/>
    <w:rsid w:val="008F08F5"/>
    <w:rsid w:val="008F1817"/>
    <w:rsid w:val="009001E0"/>
    <w:rsid w:val="00903C7C"/>
    <w:rsid w:val="00906BDD"/>
    <w:rsid w:val="00912983"/>
    <w:rsid w:val="00916535"/>
    <w:rsid w:val="0092510B"/>
    <w:rsid w:val="00933AC2"/>
    <w:rsid w:val="00940B64"/>
    <w:rsid w:val="009410F5"/>
    <w:rsid w:val="0096314A"/>
    <w:rsid w:val="009B2E83"/>
    <w:rsid w:val="009B46D7"/>
    <w:rsid w:val="009C643B"/>
    <w:rsid w:val="009D7EF8"/>
    <w:rsid w:val="009F1B7B"/>
    <w:rsid w:val="009F41D1"/>
    <w:rsid w:val="00A04193"/>
    <w:rsid w:val="00A06FCF"/>
    <w:rsid w:val="00A2080B"/>
    <w:rsid w:val="00A249D2"/>
    <w:rsid w:val="00A309E0"/>
    <w:rsid w:val="00A46878"/>
    <w:rsid w:val="00A57328"/>
    <w:rsid w:val="00A67C35"/>
    <w:rsid w:val="00AA41FF"/>
    <w:rsid w:val="00AA633A"/>
    <w:rsid w:val="00AB3456"/>
    <w:rsid w:val="00AB56E4"/>
    <w:rsid w:val="00AC1B2A"/>
    <w:rsid w:val="00AC2770"/>
    <w:rsid w:val="00AD0FFA"/>
    <w:rsid w:val="00AD48D5"/>
    <w:rsid w:val="00AF1469"/>
    <w:rsid w:val="00B63386"/>
    <w:rsid w:val="00B7005B"/>
    <w:rsid w:val="00BB3CC8"/>
    <w:rsid w:val="00BF2D7B"/>
    <w:rsid w:val="00C03185"/>
    <w:rsid w:val="00C540A4"/>
    <w:rsid w:val="00C609C4"/>
    <w:rsid w:val="00C66E56"/>
    <w:rsid w:val="00C70ECA"/>
    <w:rsid w:val="00C7601A"/>
    <w:rsid w:val="00C76588"/>
    <w:rsid w:val="00C870A7"/>
    <w:rsid w:val="00C95A3A"/>
    <w:rsid w:val="00CA2DF9"/>
    <w:rsid w:val="00CA3549"/>
    <w:rsid w:val="00CA6D07"/>
    <w:rsid w:val="00D30CEB"/>
    <w:rsid w:val="00D33BBB"/>
    <w:rsid w:val="00D41C7D"/>
    <w:rsid w:val="00D50325"/>
    <w:rsid w:val="00D72508"/>
    <w:rsid w:val="00D96548"/>
    <w:rsid w:val="00DA027D"/>
    <w:rsid w:val="00DE0582"/>
    <w:rsid w:val="00E02D4A"/>
    <w:rsid w:val="00E06E6E"/>
    <w:rsid w:val="00E14A4F"/>
    <w:rsid w:val="00E15215"/>
    <w:rsid w:val="00E228CD"/>
    <w:rsid w:val="00E3368F"/>
    <w:rsid w:val="00E54C6E"/>
    <w:rsid w:val="00E63284"/>
    <w:rsid w:val="00E67DFB"/>
    <w:rsid w:val="00E76719"/>
    <w:rsid w:val="00E82DCC"/>
    <w:rsid w:val="00E92CBD"/>
    <w:rsid w:val="00EA6311"/>
    <w:rsid w:val="00EA77E1"/>
    <w:rsid w:val="00EE0A2B"/>
    <w:rsid w:val="00EE5151"/>
    <w:rsid w:val="00EF1595"/>
    <w:rsid w:val="00F27C84"/>
    <w:rsid w:val="00F31585"/>
    <w:rsid w:val="00F348C0"/>
    <w:rsid w:val="00F467A5"/>
    <w:rsid w:val="00F47EB4"/>
    <w:rsid w:val="00F9217A"/>
    <w:rsid w:val="00FD289B"/>
    <w:rsid w:val="00FE0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6A6D"/>
  <w15:docId w15:val="{5C34373C-2C67-4BD8-959E-A1E20761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7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62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3D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0668C"/>
    <w:rPr>
      <w:sz w:val="16"/>
      <w:szCs w:val="16"/>
    </w:rPr>
  </w:style>
  <w:style w:type="paragraph" w:styleId="CommentText">
    <w:name w:val="annotation text"/>
    <w:basedOn w:val="Normal"/>
    <w:link w:val="CommentTextChar"/>
    <w:uiPriority w:val="99"/>
    <w:unhideWhenUsed/>
    <w:rsid w:val="0040668C"/>
    <w:pPr>
      <w:spacing w:after="0" w:line="360" w:lineRule="auto"/>
      <w:jc w:val="both"/>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rsid w:val="0040668C"/>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406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8C"/>
    <w:rPr>
      <w:rFonts w:ascii="Segoe UI" w:hAnsi="Segoe UI" w:cs="Segoe UI"/>
      <w:sz w:val="18"/>
      <w:szCs w:val="18"/>
    </w:rPr>
  </w:style>
  <w:style w:type="paragraph" w:styleId="Revision">
    <w:name w:val="Revision"/>
    <w:hidden/>
    <w:uiPriority w:val="99"/>
    <w:semiHidden/>
    <w:rsid w:val="00AF1469"/>
    <w:pPr>
      <w:spacing w:after="0" w:line="240" w:lineRule="auto"/>
    </w:pPr>
  </w:style>
  <w:style w:type="paragraph" w:styleId="CommentSubject">
    <w:name w:val="annotation subject"/>
    <w:basedOn w:val="CommentText"/>
    <w:next w:val="CommentText"/>
    <w:link w:val="CommentSubjectChar"/>
    <w:uiPriority w:val="99"/>
    <w:semiHidden/>
    <w:unhideWhenUsed/>
    <w:rsid w:val="00AF1469"/>
    <w:pPr>
      <w:spacing w:after="160" w:line="240" w:lineRule="auto"/>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F1469"/>
    <w:rPr>
      <w:rFonts w:ascii="Times New Roman" w:eastAsia="SimSun" w:hAnsi="Times New Roman" w:cs="Times New Roman"/>
      <w:b/>
      <w:bCs/>
      <w:sz w:val="20"/>
      <w:szCs w:val="20"/>
      <w:lang w:eastAsia="zh-CN"/>
    </w:rPr>
  </w:style>
  <w:style w:type="character" w:styleId="SubtleEmphasis">
    <w:name w:val="Subtle Emphasis"/>
    <w:basedOn w:val="DefaultParagraphFont"/>
    <w:uiPriority w:val="19"/>
    <w:qFormat/>
    <w:rsid w:val="00F27C84"/>
    <w:rPr>
      <w:i/>
      <w:iCs/>
      <w:color w:val="404040" w:themeColor="text1" w:themeTint="BF"/>
    </w:rPr>
  </w:style>
  <w:style w:type="paragraph" w:styleId="Subtitle">
    <w:name w:val="Subtitle"/>
    <w:basedOn w:val="Normal"/>
    <w:next w:val="Normal"/>
    <w:link w:val="SubtitleChar"/>
    <w:qFormat/>
    <w:rsid w:val="00360219"/>
    <w:pPr>
      <w:spacing w:after="60" w:line="360" w:lineRule="auto"/>
      <w:jc w:val="center"/>
      <w:outlineLvl w:val="1"/>
    </w:pPr>
    <w:rPr>
      <w:rFonts w:asciiTheme="majorHAnsi" w:eastAsiaTheme="majorEastAsia" w:hAnsiTheme="majorHAnsi" w:cstheme="majorBidi"/>
      <w:sz w:val="24"/>
      <w:szCs w:val="24"/>
      <w:lang w:eastAsia="zh-CN"/>
    </w:rPr>
  </w:style>
  <w:style w:type="character" w:customStyle="1" w:styleId="SubtitleChar">
    <w:name w:val="Subtitle Char"/>
    <w:basedOn w:val="DefaultParagraphFont"/>
    <w:link w:val="Subtitle"/>
    <w:rsid w:val="00360219"/>
    <w:rPr>
      <w:rFonts w:asciiTheme="majorHAnsi" w:eastAsiaTheme="majorEastAsia" w:hAnsiTheme="majorHAnsi" w:cstheme="majorBidi"/>
      <w:sz w:val="24"/>
      <w:szCs w:val="24"/>
      <w:lang w:eastAsia="zh-CN"/>
    </w:rPr>
  </w:style>
  <w:style w:type="paragraph" w:customStyle="1" w:styleId="subsection">
    <w:name w:val="subsection"/>
    <w:basedOn w:val="Normal"/>
    <w:link w:val="subsectionChar"/>
    <w:qFormat/>
    <w:rsid w:val="00360219"/>
    <w:pPr>
      <w:spacing w:after="0" w:line="360" w:lineRule="auto"/>
      <w:jc w:val="both"/>
    </w:pPr>
    <w:rPr>
      <w:rFonts w:ascii="Times New Roman" w:eastAsia="SimSun" w:hAnsi="Times New Roman" w:cs="Times New Roman"/>
      <w:i/>
      <w:sz w:val="24"/>
      <w:szCs w:val="24"/>
      <w:lang w:eastAsia="zh-CN"/>
    </w:rPr>
  </w:style>
  <w:style w:type="character" w:customStyle="1" w:styleId="subsectionChar">
    <w:name w:val="subsection Char"/>
    <w:link w:val="subsection"/>
    <w:rsid w:val="00360219"/>
    <w:rPr>
      <w:rFonts w:ascii="Times New Roman" w:eastAsia="SimSun" w:hAnsi="Times New Roman" w:cs="Times New Roman"/>
      <w:i/>
      <w:sz w:val="24"/>
      <w:szCs w:val="24"/>
      <w:lang w:eastAsia="zh-CN"/>
    </w:rPr>
  </w:style>
  <w:style w:type="paragraph" w:styleId="ListParagraph">
    <w:name w:val="List Paragraph"/>
    <w:basedOn w:val="Normal"/>
    <w:uiPriority w:val="72"/>
    <w:qFormat/>
    <w:rsid w:val="00E14A4F"/>
    <w:pPr>
      <w:spacing w:after="0" w:line="360" w:lineRule="auto"/>
      <w:ind w:left="720"/>
      <w:jc w:val="both"/>
    </w:pPr>
    <w:rPr>
      <w:rFonts w:ascii="Times New Roman" w:eastAsia="SimSun" w:hAnsi="Times New Roman" w:cs="Times New Roman"/>
      <w:sz w:val="24"/>
      <w:szCs w:val="24"/>
      <w:lang w:eastAsia="zh-CN"/>
    </w:rPr>
  </w:style>
  <w:style w:type="paragraph" w:customStyle="1" w:styleId="Section">
    <w:name w:val="Section"/>
    <w:basedOn w:val="Heading2"/>
    <w:link w:val="SectionChar"/>
    <w:qFormat/>
    <w:rsid w:val="007A6267"/>
    <w:pPr>
      <w:keepLines w:val="0"/>
      <w:spacing w:before="0" w:line="360" w:lineRule="auto"/>
      <w:jc w:val="both"/>
    </w:pPr>
    <w:rPr>
      <w:rFonts w:ascii="Times New Roman" w:eastAsia="SimSun" w:hAnsi="Times New Roman" w:cs="Arial"/>
      <w:b/>
      <w:bCs/>
      <w:iCs/>
      <w:color w:val="000000"/>
      <w:sz w:val="28"/>
      <w:szCs w:val="28"/>
      <w:lang w:eastAsia="zh-CN"/>
    </w:rPr>
  </w:style>
  <w:style w:type="character" w:customStyle="1" w:styleId="SectionChar">
    <w:name w:val="Section Char"/>
    <w:basedOn w:val="DefaultParagraphFont"/>
    <w:link w:val="Section"/>
    <w:rsid w:val="007A6267"/>
    <w:rPr>
      <w:rFonts w:ascii="Times New Roman" w:eastAsia="SimSun" w:hAnsi="Times New Roman" w:cs="Arial"/>
      <w:b/>
      <w:bCs/>
      <w:iCs/>
      <w:color w:val="000000"/>
      <w:sz w:val="28"/>
      <w:szCs w:val="28"/>
      <w:lang w:eastAsia="zh-CN"/>
    </w:rPr>
  </w:style>
  <w:style w:type="table" w:styleId="TableGrid">
    <w:name w:val="Table Grid"/>
    <w:basedOn w:val="TableNormal"/>
    <w:uiPriority w:val="59"/>
    <w:rsid w:val="007A626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A62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5387">
      <w:bodyDiv w:val="1"/>
      <w:marLeft w:val="0"/>
      <w:marRight w:val="0"/>
      <w:marTop w:val="0"/>
      <w:marBottom w:val="0"/>
      <w:divBdr>
        <w:top w:val="none" w:sz="0" w:space="0" w:color="auto"/>
        <w:left w:val="none" w:sz="0" w:space="0" w:color="auto"/>
        <w:bottom w:val="none" w:sz="0" w:space="0" w:color="auto"/>
        <w:right w:val="none" w:sz="0" w:space="0" w:color="auto"/>
      </w:divBdr>
    </w:div>
    <w:div w:id="5310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F76E-6997-4E03-87A3-963A3A59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1358</Words>
  <Characters>7741</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Aparajitha Ramesh</dc:creator>
  <cp:keywords/>
  <dc:description/>
  <cp:lastModifiedBy>Aparajitha Ramesh</cp:lastModifiedBy>
  <cp:revision>4</cp:revision>
  <dcterms:created xsi:type="dcterms:W3CDTF">2023-02-01T13:32:00Z</dcterms:created>
  <dcterms:modified xsi:type="dcterms:W3CDTF">2023-02-01T14:25:00Z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http://www.zotero.org/styles/journal-of-evolutionary-biology</vt:lpwstr>
  </property>
  <property fmtid="{D5CDD505-2E9C-101B-9397-08002B2CF9AE}" pid="13" name="Mendeley Recent Style Name 5_1">
    <vt:lpwstr>Journal of Evolutionary Biology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a04219bf-01c5-3083-bfcd-d550f839c9d4</vt:lpwstr>
  </property>
  <property fmtid="{D5CDD505-2E9C-101B-9397-08002B2CF9AE}" pid="24" name="Mendeley Citation Style_1">
    <vt:lpwstr>http://www.zotero.org/styles/vancouver</vt:lpwstr>
  </property>
  <property fmtid="{D5CDD505-2E9C-101B-9397-08002B2CF9AE}" pid="25" name="GrammarlyDocumentId">
    <vt:lpwstr>10065ac1f071d2b02dcd058bb1c901d791b490af7597fad254be1b825700326a</vt:lpwstr>
  </property>
</Properties>
</file>