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D024F" w14:textId="3278CF2F" w:rsidR="001243DF" w:rsidRPr="00D861D9" w:rsidRDefault="001243DF">
      <w:r w:rsidRPr="00D861D9">
        <w:t xml:space="preserve">Appendix </w:t>
      </w:r>
      <w:r w:rsidR="00344F02">
        <w:t>1</w:t>
      </w:r>
      <w:r w:rsidRPr="00D861D9">
        <w:t>. Study Design Table</w:t>
      </w:r>
    </w:p>
    <w:p w14:paraId="1759B7FD" w14:textId="77777777" w:rsidR="001243DF" w:rsidRPr="00D861D9" w:rsidRDefault="001243DF"/>
    <w:tbl>
      <w:tblPr>
        <w:tblStyle w:val="TableGrid"/>
        <w:tblW w:w="0" w:type="auto"/>
        <w:tblLook w:val="04A0" w:firstRow="1" w:lastRow="0" w:firstColumn="1" w:lastColumn="0" w:noHBand="0" w:noVBand="1"/>
      </w:tblPr>
      <w:tblGrid>
        <w:gridCol w:w="1727"/>
        <w:gridCol w:w="1779"/>
        <w:gridCol w:w="1793"/>
        <w:gridCol w:w="1825"/>
        <w:gridCol w:w="1840"/>
        <w:gridCol w:w="1891"/>
        <w:gridCol w:w="1722"/>
        <w:gridCol w:w="1373"/>
      </w:tblGrid>
      <w:tr w:rsidR="00A6717A" w:rsidRPr="00D861D9" w14:paraId="467CD1C9" w14:textId="1FBA82BE" w:rsidTr="00647E0E">
        <w:tc>
          <w:tcPr>
            <w:tcW w:w="1727" w:type="dxa"/>
          </w:tcPr>
          <w:p w14:paraId="5F847441" w14:textId="3F55BBA8" w:rsidR="00A6717A" w:rsidRPr="00D861D9" w:rsidRDefault="00A6717A" w:rsidP="001243DF">
            <w:pPr>
              <w:rPr>
                <w:rFonts w:cs="Times New Roman"/>
                <w:sz w:val="20"/>
                <w:szCs w:val="20"/>
              </w:rPr>
            </w:pPr>
            <w:r w:rsidRPr="00D861D9">
              <w:rPr>
                <w:rFonts w:cs="Times New Roman"/>
                <w:sz w:val="20"/>
                <w:szCs w:val="20"/>
              </w:rPr>
              <w:t>Question</w:t>
            </w:r>
          </w:p>
          <w:p w14:paraId="383213EB" w14:textId="35F66B20" w:rsidR="00A6717A" w:rsidRPr="00D861D9" w:rsidRDefault="00A6717A" w:rsidP="001243DF">
            <w:pPr>
              <w:rPr>
                <w:rFonts w:cs="Times New Roman"/>
                <w:sz w:val="20"/>
                <w:szCs w:val="20"/>
              </w:rPr>
            </w:pPr>
          </w:p>
        </w:tc>
        <w:tc>
          <w:tcPr>
            <w:tcW w:w="1779" w:type="dxa"/>
          </w:tcPr>
          <w:p w14:paraId="7432F702" w14:textId="11F75B65" w:rsidR="00A6717A" w:rsidRPr="00D861D9" w:rsidRDefault="00A6717A">
            <w:pPr>
              <w:rPr>
                <w:rFonts w:cs="Times New Roman"/>
                <w:sz w:val="20"/>
                <w:szCs w:val="20"/>
              </w:rPr>
            </w:pPr>
            <w:r w:rsidRPr="00D861D9">
              <w:rPr>
                <w:rFonts w:cs="Times New Roman"/>
                <w:sz w:val="20"/>
                <w:szCs w:val="20"/>
              </w:rPr>
              <w:t>Hypothesis</w:t>
            </w:r>
          </w:p>
        </w:tc>
        <w:tc>
          <w:tcPr>
            <w:tcW w:w="1793" w:type="dxa"/>
          </w:tcPr>
          <w:p w14:paraId="54F6876B" w14:textId="77777777" w:rsidR="00A6717A" w:rsidRPr="00D861D9" w:rsidRDefault="00A6717A" w:rsidP="001243DF">
            <w:pPr>
              <w:rPr>
                <w:rFonts w:cs="Times New Roman"/>
                <w:sz w:val="20"/>
                <w:szCs w:val="20"/>
              </w:rPr>
            </w:pPr>
            <w:r w:rsidRPr="00D861D9">
              <w:rPr>
                <w:rFonts w:cs="Times New Roman"/>
                <w:sz w:val="20"/>
                <w:szCs w:val="20"/>
              </w:rPr>
              <w:t>Sampling plan</w:t>
            </w:r>
          </w:p>
          <w:p w14:paraId="623B035B" w14:textId="77777777" w:rsidR="00A6717A" w:rsidRPr="00D861D9" w:rsidRDefault="00A6717A">
            <w:pPr>
              <w:rPr>
                <w:rFonts w:cs="Times New Roman"/>
                <w:sz w:val="20"/>
                <w:szCs w:val="20"/>
              </w:rPr>
            </w:pPr>
          </w:p>
        </w:tc>
        <w:tc>
          <w:tcPr>
            <w:tcW w:w="1825" w:type="dxa"/>
          </w:tcPr>
          <w:p w14:paraId="30643A29" w14:textId="77777777" w:rsidR="00A6717A" w:rsidRPr="00D861D9" w:rsidRDefault="00A6717A" w:rsidP="001243DF">
            <w:pPr>
              <w:rPr>
                <w:rFonts w:cs="Times New Roman"/>
                <w:sz w:val="20"/>
                <w:szCs w:val="20"/>
              </w:rPr>
            </w:pPr>
            <w:r w:rsidRPr="00D861D9">
              <w:rPr>
                <w:rFonts w:cs="Times New Roman"/>
                <w:sz w:val="20"/>
                <w:szCs w:val="20"/>
              </w:rPr>
              <w:t>Analysis Plan</w:t>
            </w:r>
          </w:p>
          <w:p w14:paraId="0CFCAF2D" w14:textId="77777777" w:rsidR="00A6717A" w:rsidRPr="00D861D9" w:rsidRDefault="00A6717A">
            <w:pPr>
              <w:rPr>
                <w:rFonts w:cs="Times New Roman"/>
                <w:sz w:val="20"/>
                <w:szCs w:val="20"/>
              </w:rPr>
            </w:pPr>
          </w:p>
        </w:tc>
        <w:tc>
          <w:tcPr>
            <w:tcW w:w="1840" w:type="dxa"/>
          </w:tcPr>
          <w:p w14:paraId="019DE3A5" w14:textId="77777777" w:rsidR="00A6717A" w:rsidRPr="00D861D9" w:rsidRDefault="00A6717A" w:rsidP="001243DF">
            <w:pPr>
              <w:rPr>
                <w:rFonts w:cs="Times New Roman"/>
                <w:sz w:val="20"/>
                <w:szCs w:val="20"/>
              </w:rPr>
            </w:pPr>
            <w:r w:rsidRPr="00D861D9">
              <w:rPr>
                <w:rFonts w:cs="Times New Roman"/>
                <w:sz w:val="20"/>
                <w:szCs w:val="20"/>
              </w:rPr>
              <w:t xml:space="preserve">Rationale for deciding the sensitivity of the test for confirming or disconfirming the </w:t>
            </w:r>
            <w:proofErr w:type="gramStart"/>
            <w:r w:rsidRPr="00D861D9">
              <w:rPr>
                <w:rFonts w:cs="Times New Roman"/>
                <w:sz w:val="20"/>
                <w:szCs w:val="20"/>
              </w:rPr>
              <w:t>hypothesis</w:t>
            </w:r>
            <w:proofErr w:type="gramEnd"/>
          </w:p>
          <w:p w14:paraId="54D90127" w14:textId="77777777" w:rsidR="00A6717A" w:rsidRPr="00D861D9" w:rsidRDefault="00A6717A">
            <w:pPr>
              <w:rPr>
                <w:rFonts w:cs="Times New Roman"/>
                <w:sz w:val="20"/>
                <w:szCs w:val="20"/>
              </w:rPr>
            </w:pPr>
          </w:p>
        </w:tc>
        <w:tc>
          <w:tcPr>
            <w:tcW w:w="1891" w:type="dxa"/>
          </w:tcPr>
          <w:p w14:paraId="67C91FEB" w14:textId="77777777" w:rsidR="00A6717A" w:rsidRPr="00D861D9" w:rsidRDefault="00A6717A" w:rsidP="001243DF">
            <w:pPr>
              <w:rPr>
                <w:rFonts w:cs="Times New Roman"/>
                <w:sz w:val="20"/>
                <w:szCs w:val="20"/>
              </w:rPr>
            </w:pPr>
            <w:r w:rsidRPr="00D861D9">
              <w:rPr>
                <w:rFonts w:cs="Times New Roman"/>
                <w:sz w:val="20"/>
                <w:szCs w:val="20"/>
              </w:rPr>
              <w:t xml:space="preserve">Interpretation given different </w:t>
            </w:r>
            <w:proofErr w:type="gramStart"/>
            <w:r w:rsidRPr="00D861D9">
              <w:rPr>
                <w:rFonts w:cs="Times New Roman"/>
                <w:sz w:val="20"/>
                <w:szCs w:val="20"/>
              </w:rPr>
              <w:t>outcomes</w:t>
            </w:r>
            <w:proofErr w:type="gramEnd"/>
          </w:p>
          <w:p w14:paraId="240E0AAA" w14:textId="77777777" w:rsidR="00A6717A" w:rsidRPr="00D861D9" w:rsidRDefault="00A6717A">
            <w:pPr>
              <w:rPr>
                <w:rFonts w:cs="Times New Roman"/>
                <w:sz w:val="20"/>
                <w:szCs w:val="20"/>
              </w:rPr>
            </w:pPr>
          </w:p>
        </w:tc>
        <w:tc>
          <w:tcPr>
            <w:tcW w:w="1722" w:type="dxa"/>
          </w:tcPr>
          <w:p w14:paraId="49BBD8E6" w14:textId="4978858D" w:rsidR="00A6717A" w:rsidRPr="00D861D9" w:rsidRDefault="00A6717A">
            <w:pPr>
              <w:rPr>
                <w:rFonts w:cs="Times New Roman"/>
                <w:sz w:val="20"/>
                <w:szCs w:val="20"/>
              </w:rPr>
            </w:pPr>
            <w:r w:rsidRPr="00D861D9">
              <w:rPr>
                <w:rFonts w:cs="Times New Roman"/>
                <w:sz w:val="20"/>
                <w:szCs w:val="20"/>
              </w:rPr>
              <w:t>Theory that could be shown wrong by the outcomes</w:t>
            </w:r>
          </w:p>
        </w:tc>
        <w:tc>
          <w:tcPr>
            <w:tcW w:w="1373" w:type="dxa"/>
          </w:tcPr>
          <w:p w14:paraId="51367868" w14:textId="0B02C635" w:rsidR="00A6717A" w:rsidRPr="00D861D9" w:rsidRDefault="00A6717A">
            <w:pPr>
              <w:rPr>
                <w:rFonts w:cs="Times New Roman"/>
                <w:sz w:val="20"/>
                <w:szCs w:val="20"/>
              </w:rPr>
            </w:pPr>
            <w:r>
              <w:rPr>
                <w:rFonts w:cs="Times New Roman"/>
                <w:sz w:val="20"/>
                <w:szCs w:val="20"/>
              </w:rPr>
              <w:t>Results</w:t>
            </w:r>
          </w:p>
        </w:tc>
      </w:tr>
      <w:tr w:rsidR="00A6717A" w:rsidRPr="00D861D9" w14:paraId="74370E2B" w14:textId="31B60F44" w:rsidTr="00647E0E">
        <w:tc>
          <w:tcPr>
            <w:tcW w:w="1727" w:type="dxa"/>
          </w:tcPr>
          <w:p w14:paraId="69208EA9" w14:textId="540B86AA" w:rsidR="00CD0A0D" w:rsidRPr="00D861D9" w:rsidRDefault="00CD0A0D" w:rsidP="00CD0A0D">
            <w:pPr>
              <w:rPr>
                <w:rFonts w:cs="Times New Roman"/>
                <w:sz w:val="20"/>
                <w:szCs w:val="20"/>
              </w:rPr>
            </w:pPr>
            <w:r w:rsidRPr="00CD0A0D">
              <w:rPr>
                <w:rFonts w:cs="Times New Roman"/>
                <w:sz w:val="20"/>
                <w:szCs w:val="20"/>
              </w:rPr>
              <w:t>Research Question 1: Are video games being consistently given the loot box self-regulatory warning label by the ESRB and PEGI?</w:t>
            </w:r>
          </w:p>
          <w:p w14:paraId="3D88EAE1" w14:textId="31D34A61" w:rsidR="00A6717A" w:rsidRPr="00D861D9" w:rsidRDefault="00A6717A" w:rsidP="00CD0A0D">
            <w:pPr>
              <w:rPr>
                <w:rFonts w:cs="Times New Roman"/>
                <w:sz w:val="20"/>
                <w:szCs w:val="20"/>
              </w:rPr>
            </w:pPr>
          </w:p>
        </w:tc>
        <w:tc>
          <w:tcPr>
            <w:tcW w:w="1779" w:type="dxa"/>
          </w:tcPr>
          <w:p w14:paraId="48A791EE" w14:textId="28615F18" w:rsidR="00A6717A" w:rsidRPr="00D861D9" w:rsidRDefault="00CD0A0D" w:rsidP="00CD0A0D">
            <w:pPr>
              <w:rPr>
                <w:rFonts w:cs="Times New Roman"/>
                <w:sz w:val="20"/>
                <w:szCs w:val="20"/>
              </w:rPr>
            </w:pPr>
            <w:r w:rsidRPr="00CD0A0D">
              <w:rPr>
                <w:rFonts w:cs="Times New Roman"/>
                <w:sz w:val="20"/>
                <w:szCs w:val="20"/>
              </w:rPr>
              <w:t>Hypothesis 1: All games that have been labelled with the ‘In-Game Purchases (Includes Random Items)’ interactive element by the ESRB should also have been labelled with the ‘In-game Purchases (Includes Paid Random Items)’ content descriptor by PEGI and vice versa.</w:t>
            </w:r>
          </w:p>
        </w:tc>
        <w:tc>
          <w:tcPr>
            <w:tcW w:w="1793" w:type="dxa"/>
          </w:tcPr>
          <w:p w14:paraId="5F962948" w14:textId="0BE3E3B4" w:rsidR="00A6717A" w:rsidRPr="00D861D9" w:rsidRDefault="000B24B3">
            <w:pPr>
              <w:rPr>
                <w:rFonts w:cs="Times New Roman"/>
                <w:sz w:val="20"/>
                <w:szCs w:val="20"/>
              </w:rPr>
            </w:pPr>
            <w:r w:rsidRPr="000B24B3">
              <w:rPr>
                <w:rFonts w:cs="Times New Roman"/>
                <w:sz w:val="20"/>
                <w:szCs w:val="20"/>
              </w:rPr>
              <w:t>A combined list of (i) a list of 17 individual video game titles that were labelled by the ESRB with the loot box self-regulatory warning in the year leading up to 21 September 2022 and (ii) a list of all 64 individual video game titles that have ever been labelled by PEGI with the loot box self-regulatory warning.</w:t>
            </w:r>
          </w:p>
        </w:tc>
        <w:tc>
          <w:tcPr>
            <w:tcW w:w="1825" w:type="dxa"/>
          </w:tcPr>
          <w:p w14:paraId="1EBA967C" w14:textId="7D771396" w:rsidR="00A6717A" w:rsidRPr="00D861D9" w:rsidRDefault="00FD6129">
            <w:pPr>
              <w:rPr>
                <w:rFonts w:cs="Times New Roman"/>
                <w:sz w:val="20"/>
                <w:szCs w:val="20"/>
              </w:rPr>
            </w:pPr>
            <w:r w:rsidRPr="00FD6129">
              <w:rPr>
                <w:rFonts w:cs="Times New Roman" w:hint="eastAsia"/>
                <w:sz w:val="20"/>
                <w:szCs w:val="20"/>
              </w:rPr>
              <w:t xml:space="preserve">Hypothesis 1 will be accepted if the consistency rate is </w:t>
            </w:r>
            <w:r w:rsidRPr="00FD6129">
              <w:rPr>
                <w:rFonts w:cs="Times New Roman" w:hint="eastAsia"/>
                <w:sz w:val="20"/>
                <w:szCs w:val="20"/>
              </w:rPr>
              <w:t>≥</w:t>
            </w:r>
            <w:r w:rsidRPr="00FD6129">
              <w:rPr>
                <w:rFonts w:cs="Times New Roman" w:hint="eastAsia"/>
                <w:sz w:val="20"/>
                <w:szCs w:val="20"/>
              </w:rPr>
              <w:t xml:space="preserve"> 95%. Otherwise, Hypothesis 1 will be rejected. </w:t>
            </w:r>
          </w:p>
        </w:tc>
        <w:tc>
          <w:tcPr>
            <w:tcW w:w="1840" w:type="dxa"/>
          </w:tcPr>
          <w:p w14:paraId="772BD907" w14:textId="26A8BC36" w:rsidR="00A6717A" w:rsidRPr="00D861D9" w:rsidRDefault="002B671D">
            <w:pPr>
              <w:rPr>
                <w:rFonts w:cs="Times New Roman"/>
                <w:sz w:val="20"/>
                <w:szCs w:val="20"/>
              </w:rPr>
            </w:pPr>
            <w:r>
              <w:rPr>
                <w:rFonts w:cs="Times New Roman"/>
                <w:sz w:val="20"/>
                <w:szCs w:val="20"/>
              </w:rPr>
              <w:t xml:space="preserve">Absolute null is not optimal. 5% </w:t>
            </w:r>
            <w:r w:rsidRPr="00D861D9">
              <w:rPr>
                <w:rFonts w:cs="Times New Roman"/>
                <w:sz w:val="20"/>
                <w:szCs w:val="20"/>
              </w:rPr>
              <w:t xml:space="preserve">of type 1 error control </w:t>
            </w:r>
            <w:r>
              <w:rPr>
                <w:rFonts w:cs="Times New Roman"/>
                <w:sz w:val="20"/>
                <w:szCs w:val="20"/>
              </w:rPr>
              <w:t>will be</w:t>
            </w:r>
            <w:r w:rsidRPr="00D861D9">
              <w:rPr>
                <w:rFonts w:cs="Times New Roman"/>
                <w:sz w:val="20"/>
                <w:szCs w:val="20"/>
              </w:rPr>
              <w:t xml:space="preserve"> included</w:t>
            </w:r>
            <w:r>
              <w:rPr>
                <w:rFonts w:cs="Times New Roman"/>
                <w:sz w:val="20"/>
                <w:szCs w:val="20"/>
              </w:rPr>
              <w:t xml:space="preserve"> to account for potential false positives</w:t>
            </w:r>
            <w:r w:rsidRPr="00D861D9">
              <w:rPr>
                <w:rFonts w:cs="Times New Roman"/>
                <w:sz w:val="20"/>
                <w:szCs w:val="20"/>
              </w:rPr>
              <w:t>.</w:t>
            </w:r>
          </w:p>
        </w:tc>
        <w:tc>
          <w:tcPr>
            <w:tcW w:w="1891" w:type="dxa"/>
          </w:tcPr>
          <w:p w14:paraId="7E6C3A33" w14:textId="77777777" w:rsidR="00045266" w:rsidRDefault="00FD6129">
            <w:pPr>
              <w:rPr>
                <w:rFonts w:cs="Times New Roman"/>
                <w:sz w:val="20"/>
                <w:szCs w:val="20"/>
              </w:rPr>
            </w:pPr>
            <w:r>
              <w:rPr>
                <w:rFonts w:cs="Times New Roman"/>
                <w:sz w:val="20"/>
                <w:szCs w:val="20"/>
              </w:rPr>
              <w:t xml:space="preserve">A </w:t>
            </w:r>
            <w:r w:rsidRPr="00FD6129">
              <w:rPr>
                <w:rFonts w:cs="Times New Roman" w:hint="eastAsia"/>
                <w:sz w:val="20"/>
                <w:szCs w:val="20"/>
              </w:rPr>
              <w:t xml:space="preserve">consistency rate of </w:t>
            </w:r>
            <w:r w:rsidRPr="00FD6129">
              <w:rPr>
                <w:rFonts w:cs="Times New Roman" w:hint="eastAsia"/>
                <w:sz w:val="20"/>
                <w:szCs w:val="20"/>
              </w:rPr>
              <w:t>≥</w:t>
            </w:r>
            <w:r w:rsidRPr="00FD6129">
              <w:rPr>
                <w:rFonts w:cs="Times New Roman" w:hint="eastAsia"/>
                <w:sz w:val="20"/>
                <w:szCs w:val="20"/>
              </w:rPr>
              <w:t xml:space="preserve"> 95% will be viewed as the ESRB and PEGI having been sufficiently consistent.</w:t>
            </w:r>
          </w:p>
          <w:p w14:paraId="73D9FE16" w14:textId="77777777" w:rsidR="00045266" w:rsidRDefault="00045266">
            <w:pPr>
              <w:rPr>
                <w:rFonts w:cs="Times New Roman"/>
                <w:sz w:val="20"/>
                <w:szCs w:val="20"/>
              </w:rPr>
            </w:pPr>
          </w:p>
          <w:p w14:paraId="2373BF72" w14:textId="77777777" w:rsidR="00F71A94" w:rsidRDefault="00045266">
            <w:pPr>
              <w:rPr>
                <w:rFonts w:cs="Times New Roman"/>
                <w:sz w:val="20"/>
                <w:szCs w:val="20"/>
              </w:rPr>
            </w:pPr>
            <w:r>
              <w:rPr>
                <w:rFonts w:cs="Times New Roman"/>
                <w:sz w:val="20"/>
                <w:szCs w:val="20"/>
              </w:rPr>
              <w:t>A</w:t>
            </w:r>
            <w:r w:rsidR="00FD6129" w:rsidRPr="00FD6129">
              <w:rPr>
                <w:rFonts w:cs="Times New Roman" w:hint="eastAsia"/>
                <w:sz w:val="20"/>
                <w:szCs w:val="20"/>
              </w:rPr>
              <w:t xml:space="preserve"> consistency rate of </w:t>
            </w:r>
            <w:r w:rsidR="00FD6129" w:rsidRPr="00FD6129">
              <w:rPr>
                <w:rFonts w:cs="Times New Roman" w:hint="eastAsia"/>
                <w:sz w:val="20"/>
                <w:szCs w:val="20"/>
              </w:rPr>
              <w:t>≥</w:t>
            </w:r>
            <w:r w:rsidR="00FD6129" w:rsidRPr="00FD6129">
              <w:rPr>
                <w:rFonts w:cs="Times New Roman" w:hint="eastAsia"/>
                <w:sz w:val="20"/>
                <w:szCs w:val="20"/>
              </w:rPr>
              <w:t xml:space="preserve"> 80% but &lt; 95% will be deemed as the self-regulatory measure not having been applied sufficiently consistently by the ESRB and PEGI, and thus the rating processes require </w:t>
            </w:r>
            <w:r w:rsidR="00FD6129" w:rsidRPr="00FD6129">
              <w:rPr>
                <w:rFonts w:cs="Times New Roman" w:hint="eastAsia"/>
                <w:sz w:val="20"/>
                <w:szCs w:val="20"/>
              </w:rPr>
              <w:lastRenderedPageBreak/>
              <w:t xml:space="preserve">improvements to enhance cohesion. </w:t>
            </w:r>
          </w:p>
          <w:p w14:paraId="30B64066" w14:textId="77777777" w:rsidR="00F71A94" w:rsidRDefault="00F71A94">
            <w:pPr>
              <w:rPr>
                <w:rFonts w:cs="Times New Roman"/>
                <w:sz w:val="20"/>
                <w:szCs w:val="20"/>
              </w:rPr>
            </w:pPr>
          </w:p>
          <w:p w14:paraId="6831D468" w14:textId="11EE646F" w:rsidR="00A6717A" w:rsidRPr="00D861D9" w:rsidRDefault="00FD6129">
            <w:pPr>
              <w:rPr>
                <w:rFonts w:cs="Times New Roman"/>
                <w:sz w:val="20"/>
                <w:szCs w:val="20"/>
              </w:rPr>
            </w:pPr>
            <w:r w:rsidRPr="00FD6129">
              <w:rPr>
                <w:rFonts w:cs="Times New Roman" w:hint="eastAsia"/>
                <w:sz w:val="20"/>
                <w:szCs w:val="20"/>
              </w:rPr>
              <w:t xml:space="preserve">A </w:t>
            </w:r>
            <w:r w:rsidR="00F71A94">
              <w:rPr>
                <w:rFonts w:cs="Times New Roman"/>
                <w:sz w:val="20"/>
                <w:szCs w:val="20"/>
              </w:rPr>
              <w:t>consistency</w:t>
            </w:r>
            <w:r w:rsidRPr="00FD6129">
              <w:rPr>
                <w:rFonts w:cs="Times New Roman" w:hint="eastAsia"/>
                <w:sz w:val="20"/>
                <w:szCs w:val="20"/>
              </w:rPr>
              <w:t xml:space="preserve"> rate of &lt; 80% will be</w:t>
            </w:r>
            <w:r w:rsidRPr="00FD6129">
              <w:rPr>
                <w:rFonts w:cs="Times New Roman"/>
                <w:sz w:val="20"/>
                <w:szCs w:val="20"/>
              </w:rPr>
              <w:t xml:space="preserve"> seen as the measure having been applied inconsistently, and thus the rating processes </w:t>
            </w:r>
            <w:proofErr w:type="gramStart"/>
            <w:r w:rsidRPr="00FD6129">
              <w:rPr>
                <w:rFonts w:cs="Times New Roman"/>
                <w:sz w:val="20"/>
                <w:szCs w:val="20"/>
              </w:rPr>
              <w:t>being in need of</w:t>
            </w:r>
            <w:proofErr w:type="gramEnd"/>
            <w:r w:rsidRPr="00FD6129">
              <w:rPr>
                <w:rFonts w:cs="Times New Roman"/>
                <w:sz w:val="20"/>
                <w:szCs w:val="20"/>
              </w:rPr>
              <w:t xml:space="preserve"> significant improvements.</w:t>
            </w:r>
          </w:p>
        </w:tc>
        <w:tc>
          <w:tcPr>
            <w:tcW w:w="1722" w:type="dxa"/>
          </w:tcPr>
          <w:p w14:paraId="5AAE8527" w14:textId="20F1EA52" w:rsidR="00A6717A" w:rsidRPr="00D861D9" w:rsidRDefault="00206161">
            <w:pPr>
              <w:rPr>
                <w:rFonts w:cs="Times New Roman"/>
                <w:sz w:val="20"/>
                <w:szCs w:val="20"/>
              </w:rPr>
            </w:pPr>
            <w:r>
              <w:rPr>
                <w:rFonts w:cs="Times New Roman"/>
                <w:sz w:val="20"/>
                <w:szCs w:val="20"/>
              </w:rPr>
              <w:lastRenderedPageBreak/>
              <w:t xml:space="preserve">The </w:t>
            </w:r>
            <w:r w:rsidR="00A72583">
              <w:rPr>
                <w:rFonts w:cs="Times New Roman"/>
                <w:sz w:val="20"/>
                <w:szCs w:val="20"/>
              </w:rPr>
              <w:t xml:space="preserve">self-regulatory loot box </w:t>
            </w:r>
            <w:r>
              <w:rPr>
                <w:rFonts w:cs="Times New Roman"/>
                <w:sz w:val="20"/>
                <w:szCs w:val="20"/>
              </w:rPr>
              <w:t>label has been consistently applied by the ESRB and PEGI.</w:t>
            </w:r>
          </w:p>
        </w:tc>
        <w:tc>
          <w:tcPr>
            <w:tcW w:w="1373" w:type="dxa"/>
          </w:tcPr>
          <w:p w14:paraId="3074633E" w14:textId="303501F3" w:rsidR="00A6717A" w:rsidRDefault="009D01FD">
            <w:pPr>
              <w:rPr>
                <w:rFonts w:cs="Times New Roman"/>
                <w:sz w:val="20"/>
                <w:szCs w:val="20"/>
              </w:rPr>
            </w:pPr>
            <w:r>
              <w:rPr>
                <w:rFonts w:cs="Times New Roman"/>
                <w:sz w:val="20"/>
                <w:szCs w:val="20"/>
              </w:rPr>
              <w:t>The consistency rate was 39.4%</w:t>
            </w:r>
            <w:r w:rsidR="00687E66">
              <w:rPr>
                <w:rFonts w:cs="Times New Roman"/>
                <w:sz w:val="20"/>
                <w:szCs w:val="20"/>
              </w:rPr>
              <w:t>.</w:t>
            </w:r>
          </w:p>
        </w:tc>
      </w:tr>
      <w:tr w:rsidR="00A6717A" w:rsidRPr="00D861D9" w14:paraId="18B56562" w14:textId="7C101C8F" w:rsidTr="00647E0E">
        <w:tc>
          <w:tcPr>
            <w:tcW w:w="1727" w:type="dxa"/>
          </w:tcPr>
          <w:p w14:paraId="7F278220" w14:textId="6B0F6F38" w:rsidR="00A6717A" w:rsidRPr="00D861D9" w:rsidRDefault="007924FD" w:rsidP="00276175">
            <w:pPr>
              <w:rPr>
                <w:rFonts w:cs="Times New Roman"/>
                <w:sz w:val="20"/>
                <w:szCs w:val="20"/>
              </w:rPr>
            </w:pPr>
            <w:r w:rsidRPr="007924FD">
              <w:rPr>
                <w:rFonts w:cs="Times New Roman"/>
                <w:sz w:val="20"/>
                <w:szCs w:val="20"/>
              </w:rPr>
              <w:t xml:space="preserve">Research Question 2: Are video games previously known to </w:t>
            </w:r>
            <w:r w:rsidR="003616FE">
              <w:rPr>
                <w:rFonts w:cs="Times New Roman"/>
                <w:sz w:val="20"/>
                <w:szCs w:val="20"/>
              </w:rPr>
              <w:t xml:space="preserve">be high-grossing and </w:t>
            </w:r>
            <w:r w:rsidRPr="007924FD">
              <w:rPr>
                <w:rFonts w:cs="Times New Roman"/>
                <w:sz w:val="20"/>
                <w:szCs w:val="20"/>
              </w:rPr>
              <w:t>contain loot boxes and presently containing loot boxes on the Google Play Store accurately displaying the IARC ‘In-Game Purchases (Includes Random Items)’ label?</w:t>
            </w:r>
          </w:p>
        </w:tc>
        <w:tc>
          <w:tcPr>
            <w:tcW w:w="1779" w:type="dxa"/>
          </w:tcPr>
          <w:p w14:paraId="29B8053B" w14:textId="0BC45DAB" w:rsidR="00A6717A" w:rsidRPr="00D861D9" w:rsidRDefault="00C13597" w:rsidP="00B018A4">
            <w:pPr>
              <w:rPr>
                <w:rFonts w:cs="Times New Roman"/>
                <w:sz w:val="20"/>
                <w:szCs w:val="20"/>
              </w:rPr>
            </w:pPr>
            <w:r w:rsidRPr="00C13597">
              <w:rPr>
                <w:rFonts w:cs="Times New Roman"/>
                <w:sz w:val="20"/>
                <w:szCs w:val="20"/>
              </w:rPr>
              <w:t>Hypothesis 2: All titles in the present sample of video games previously known to contain loot boxes, and which are presently available on the Google Play Store and continue to contain loot boxes, will accurately display the IARC ‘In-Game Purchases (Includes Random Items)’ label.</w:t>
            </w:r>
          </w:p>
        </w:tc>
        <w:tc>
          <w:tcPr>
            <w:tcW w:w="1793" w:type="dxa"/>
          </w:tcPr>
          <w:p w14:paraId="13AD68CD" w14:textId="2A9B45D8" w:rsidR="00A6717A" w:rsidRPr="00D861D9" w:rsidRDefault="004D098E">
            <w:pPr>
              <w:rPr>
                <w:rFonts w:cs="Times New Roman"/>
                <w:sz w:val="20"/>
                <w:szCs w:val="20"/>
              </w:rPr>
            </w:pPr>
            <w:r>
              <w:rPr>
                <w:rFonts w:cs="Times New Roman"/>
                <w:sz w:val="20"/>
                <w:szCs w:val="20"/>
              </w:rPr>
              <w:t xml:space="preserve">A list of </w:t>
            </w:r>
            <w:r w:rsidRPr="004D098E">
              <w:rPr>
                <w:rFonts w:cs="Times New Roman"/>
                <w:sz w:val="20"/>
                <w:szCs w:val="20"/>
              </w:rPr>
              <w:t xml:space="preserve">100 (or potentially fewer) </w:t>
            </w:r>
            <w:r w:rsidR="00DB25CC">
              <w:rPr>
                <w:rFonts w:cs="Times New Roman"/>
                <w:sz w:val="20"/>
                <w:szCs w:val="20"/>
              </w:rPr>
              <w:t xml:space="preserve">random </w:t>
            </w:r>
            <w:r w:rsidRPr="004D098E">
              <w:rPr>
                <w:rFonts w:cs="Times New Roman"/>
                <w:sz w:val="20"/>
                <w:szCs w:val="20"/>
              </w:rPr>
              <w:t xml:space="preserve">games </w:t>
            </w:r>
            <w:r w:rsidR="00DB25CC">
              <w:rPr>
                <w:rFonts w:cs="Times New Roman"/>
                <w:sz w:val="20"/>
                <w:szCs w:val="20"/>
              </w:rPr>
              <w:t>known to contain loot boxes derived from previous loot box prevalence studies</w:t>
            </w:r>
            <w:r w:rsidR="00301F22">
              <w:rPr>
                <w:rFonts w:cs="Times New Roman"/>
                <w:sz w:val="20"/>
                <w:szCs w:val="20"/>
              </w:rPr>
              <w:t xml:space="preserve"> (with inclusion and exclusion criteria detailed in the manuscript)</w:t>
            </w:r>
            <w:r w:rsidR="00DB25CC">
              <w:rPr>
                <w:rFonts w:cs="Times New Roman"/>
                <w:sz w:val="20"/>
                <w:szCs w:val="20"/>
              </w:rPr>
              <w:t>.</w:t>
            </w:r>
          </w:p>
        </w:tc>
        <w:tc>
          <w:tcPr>
            <w:tcW w:w="1825" w:type="dxa"/>
          </w:tcPr>
          <w:p w14:paraId="7E9A3512" w14:textId="7267E081" w:rsidR="00A6717A" w:rsidRPr="00D861D9" w:rsidRDefault="00D90BEC" w:rsidP="009865C3">
            <w:pPr>
              <w:rPr>
                <w:rFonts w:cs="Times New Roman"/>
                <w:sz w:val="20"/>
                <w:szCs w:val="20"/>
              </w:rPr>
            </w:pPr>
            <w:r w:rsidRPr="00D90BEC">
              <w:rPr>
                <w:rFonts w:cs="Times New Roman" w:hint="eastAsia"/>
                <w:sz w:val="20"/>
                <w:szCs w:val="20"/>
              </w:rPr>
              <w:t xml:space="preserve">Hypothesis 2 will be accepted if the compliance rate is </w:t>
            </w:r>
            <w:r w:rsidRPr="00D90BEC">
              <w:rPr>
                <w:rFonts w:cs="Times New Roman" w:hint="eastAsia"/>
                <w:sz w:val="20"/>
                <w:szCs w:val="20"/>
              </w:rPr>
              <w:t>≥</w:t>
            </w:r>
            <w:r w:rsidRPr="00D90BEC">
              <w:rPr>
                <w:rFonts w:cs="Times New Roman" w:hint="eastAsia"/>
                <w:sz w:val="20"/>
                <w:szCs w:val="20"/>
              </w:rPr>
              <w:t xml:space="preserve"> 95%. Otherwise, Hypothesis 2 will be rejected.</w:t>
            </w:r>
          </w:p>
        </w:tc>
        <w:tc>
          <w:tcPr>
            <w:tcW w:w="1840" w:type="dxa"/>
          </w:tcPr>
          <w:p w14:paraId="7CF2E102" w14:textId="118C4383" w:rsidR="00A6717A" w:rsidRPr="00D861D9" w:rsidRDefault="00A6717A">
            <w:pPr>
              <w:rPr>
                <w:rFonts w:cs="Times New Roman"/>
                <w:sz w:val="20"/>
                <w:szCs w:val="20"/>
              </w:rPr>
            </w:pPr>
            <w:r>
              <w:rPr>
                <w:rFonts w:cs="Times New Roman"/>
                <w:sz w:val="20"/>
                <w:szCs w:val="20"/>
              </w:rPr>
              <w:t>Absolute null is not optimal</w:t>
            </w:r>
            <w:r w:rsidR="00D90BEC">
              <w:rPr>
                <w:rFonts w:cs="Times New Roman"/>
                <w:sz w:val="20"/>
                <w:szCs w:val="20"/>
              </w:rPr>
              <w:t xml:space="preserve">. 5% </w:t>
            </w:r>
            <w:r w:rsidRPr="00D861D9">
              <w:rPr>
                <w:rFonts w:cs="Times New Roman"/>
                <w:sz w:val="20"/>
                <w:szCs w:val="20"/>
              </w:rPr>
              <w:t xml:space="preserve">of type 1 error control </w:t>
            </w:r>
            <w:r>
              <w:rPr>
                <w:rFonts w:cs="Times New Roman"/>
                <w:sz w:val="20"/>
                <w:szCs w:val="20"/>
              </w:rPr>
              <w:t>will be</w:t>
            </w:r>
            <w:r w:rsidRPr="00D861D9">
              <w:rPr>
                <w:rFonts w:cs="Times New Roman"/>
                <w:sz w:val="20"/>
                <w:szCs w:val="20"/>
              </w:rPr>
              <w:t xml:space="preserve"> included</w:t>
            </w:r>
            <w:r>
              <w:rPr>
                <w:rFonts w:cs="Times New Roman"/>
                <w:sz w:val="20"/>
                <w:szCs w:val="20"/>
              </w:rPr>
              <w:t xml:space="preserve"> to account for potential false positives</w:t>
            </w:r>
            <w:r w:rsidRPr="00D861D9">
              <w:rPr>
                <w:rFonts w:cs="Times New Roman"/>
                <w:sz w:val="20"/>
                <w:szCs w:val="20"/>
              </w:rPr>
              <w:t>.</w:t>
            </w:r>
          </w:p>
        </w:tc>
        <w:tc>
          <w:tcPr>
            <w:tcW w:w="1891" w:type="dxa"/>
          </w:tcPr>
          <w:p w14:paraId="20CEE9CB" w14:textId="77777777" w:rsidR="00BA64CE" w:rsidRDefault="00F72963" w:rsidP="0079191A">
            <w:pPr>
              <w:rPr>
                <w:rFonts w:cs="Times New Roman"/>
                <w:sz w:val="20"/>
                <w:szCs w:val="20"/>
              </w:rPr>
            </w:pPr>
            <w:r>
              <w:rPr>
                <w:rFonts w:cs="Times New Roman"/>
                <w:sz w:val="20"/>
                <w:szCs w:val="20"/>
              </w:rPr>
              <w:t>A</w:t>
            </w:r>
            <w:r w:rsidRPr="00F72963">
              <w:rPr>
                <w:rFonts w:cs="Times New Roman" w:hint="eastAsia"/>
                <w:sz w:val="20"/>
                <w:szCs w:val="20"/>
              </w:rPr>
              <w:t xml:space="preserve"> compliance rate of </w:t>
            </w:r>
            <w:r w:rsidRPr="00F72963">
              <w:rPr>
                <w:rFonts w:cs="Times New Roman" w:hint="eastAsia"/>
                <w:sz w:val="20"/>
                <w:szCs w:val="20"/>
              </w:rPr>
              <w:t>≥</w:t>
            </w:r>
            <w:r w:rsidRPr="00F72963">
              <w:rPr>
                <w:rFonts w:cs="Times New Roman" w:hint="eastAsia"/>
                <w:sz w:val="20"/>
                <w:szCs w:val="20"/>
              </w:rPr>
              <w:t xml:space="preserve"> 95% will be viewed as the self-regulatory measure having been nearly perfectly complied with and worthy of commendation. </w:t>
            </w:r>
          </w:p>
          <w:p w14:paraId="3CAE068D" w14:textId="77777777" w:rsidR="00BA64CE" w:rsidRDefault="00BA64CE" w:rsidP="0079191A">
            <w:pPr>
              <w:rPr>
                <w:rFonts w:cs="Times New Roman"/>
                <w:sz w:val="20"/>
                <w:szCs w:val="20"/>
              </w:rPr>
            </w:pPr>
          </w:p>
          <w:p w14:paraId="2C226047" w14:textId="77777777" w:rsidR="00BA64CE" w:rsidRDefault="00F72963" w:rsidP="0079191A">
            <w:pPr>
              <w:rPr>
                <w:rFonts w:cs="Times New Roman"/>
                <w:sz w:val="20"/>
                <w:szCs w:val="20"/>
              </w:rPr>
            </w:pPr>
            <w:r w:rsidRPr="00F72963">
              <w:rPr>
                <w:rFonts w:cs="Times New Roman" w:hint="eastAsia"/>
                <w:sz w:val="20"/>
                <w:szCs w:val="20"/>
              </w:rPr>
              <w:t xml:space="preserve">A compliance rate of </w:t>
            </w:r>
            <w:r w:rsidRPr="00F72963">
              <w:rPr>
                <w:rFonts w:cs="Times New Roman" w:hint="eastAsia"/>
                <w:sz w:val="20"/>
                <w:szCs w:val="20"/>
              </w:rPr>
              <w:t>≥</w:t>
            </w:r>
            <w:r w:rsidRPr="00F72963">
              <w:rPr>
                <w:rFonts w:cs="Times New Roman" w:hint="eastAsia"/>
                <w:sz w:val="20"/>
                <w:szCs w:val="20"/>
              </w:rPr>
              <w:t xml:space="preserve"> 80% but &lt; 95% will be deemed as the self-regulatory measure having been mostly complied w</w:t>
            </w:r>
            <w:r w:rsidRPr="00F72963">
              <w:rPr>
                <w:rFonts w:cs="Times New Roman"/>
                <w:sz w:val="20"/>
                <w:szCs w:val="20"/>
              </w:rPr>
              <w:t xml:space="preserve">ith, although </w:t>
            </w:r>
            <w:r w:rsidRPr="00F72963">
              <w:rPr>
                <w:rFonts w:cs="Times New Roman"/>
                <w:sz w:val="20"/>
                <w:szCs w:val="20"/>
              </w:rPr>
              <w:lastRenderedPageBreak/>
              <w:t>improvements are needed.</w:t>
            </w:r>
          </w:p>
          <w:p w14:paraId="160D8D8E" w14:textId="77777777" w:rsidR="00BA64CE" w:rsidRDefault="00BA64CE" w:rsidP="0079191A">
            <w:pPr>
              <w:rPr>
                <w:rFonts w:cs="Times New Roman"/>
                <w:sz w:val="20"/>
                <w:szCs w:val="20"/>
              </w:rPr>
            </w:pPr>
          </w:p>
          <w:p w14:paraId="0CAEF21B" w14:textId="3DD456AA" w:rsidR="00A6717A" w:rsidRPr="00D861D9" w:rsidRDefault="00F72963" w:rsidP="0079191A">
            <w:pPr>
              <w:rPr>
                <w:rFonts w:cs="Times New Roman"/>
                <w:sz w:val="20"/>
                <w:szCs w:val="20"/>
              </w:rPr>
            </w:pPr>
            <w:r w:rsidRPr="00F72963">
              <w:rPr>
                <w:rFonts w:cs="Times New Roman"/>
                <w:sz w:val="20"/>
                <w:szCs w:val="20"/>
              </w:rPr>
              <w:t>A compliance rate of &lt; 80% will be seen as the measure having not been adequately complied with and in need of significant improvements to achieve its regulatory aim.</w:t>
            </w:r>
          </w:p>
        </w:tc>
        <w:tc>
          <w:tcPr>
            <w:tcW w:w="1722" w:type="dxa"/>
          </w:tcPr>
          <w:p w14:paraId="2E8AAA56" w14:textId="47B1CF6B" w:rsidR="00A6717A" w:rsidRPr="00D861D9" w:rsidRDefault="001B544F">
            <w:pPr>
              <w:rPr>
                <w:rFonts w:cs="Times New Roman"/>
                <w:sz w:val="20"/>
                <w:szCs w:val="20"/>
              </w:rPr>
            </w:pPr>
            <w:r>
              <w:rPr>
                <w:rFonts w:cs="Times New Roman"/>
                <w:sz w:val="20"/>
                <w:szCs w:val="20"/>
              </w:rPr>
              <w:lastRenderedPageBreak/>
              <w:t xml:space="preserve">Games containing loot boxes are displaying the </w:t>
            </w:r>
            <w:r w:rsidR="006857AC">
              <w:rPr>
                <w:rFonts w:cs="Times New Roman"/>
                <w:sz w:val="20"/>
                <w:szCs w:val="20"/>
              </w:rPr>
              <w:t xml:space="preserve">self-regulatory </w:t>
            </w:r>
            <w:r>
              <w:rPr>
                <w:rFonts w:cs="Times New Roman"/>
                <w:sz w:val="20"/>
                <w:szCs w:val="20"/>
              </w:rPr>
              <w:t>loot box</w:t>
            </w:r>
            <w:r w:rsidR="006857AC">
              <w:rPr>
                <w:rFonts w:cs="Times New Roman"/>
                <w:sz w:val="20"/>
                <w:szCs w:val="20"/>
              </w:rPr>
              <w:t xml:space="preserve"> </w:t>
            </w:r>
            <w:r>
              <w:rPr>
                <w:rFonts w:cs="Times New Roman"/>
                <w:sz w:val="20"/>
                <w:szCs w:val="20"/>
              </w:rPr>
              <w:t>warning label.</w:t>
            </w:r>
          </w:p>
        </w:tc>
        <w:tc>
          <w:tcPr>
            <w:tcW w:w="1373" w:type="dxa"/>
          </w:tcPr>
          <w:p w14:paraId="11248E64" w14:textId="7C98A635" w:rsidR="00A6717A" w:rsidRDefault="009D01FD">
            <w:pPr>
              <w:rPr>
                <w:rFonts w:cs="Times New Roman"/>
                <w:sz w:val="20"/>
                <w:szCs w:val="20"/>
              </w:rPr>
            </w:pPr>
            <w:r>
              <w:rPr>
                <w:rFonts w:cs="Times New Roman"/>
                <w:sz w:val="20"/>
                <w:szCs w:val="20"/>
              </w:rPr>
              <w:t>The compliance rate was 29%</w:t>
            </w:r>
            <w:r w:rsidR="00F83F70">
              <w:rPr>
                <w:rFonts w:cs="Times New Roman"/>
                <w:sz w:val="20"/>
                <w:szCs w:val="20"/>
              </w:rPr>
              <w:t>.</w:t>
            </w:r>
          </w:p>
        </w:tc>
      </w:tr>
    </w:tbl>
    <w:p w14:paraId="7C89F152" w14:textId="77777777" w:rsidR="00DB123C" w:rsidRPr="00D861D9" w:rsidRDefault="00B135D3">
      <w:pPr>
        <w:rPr>
          <w:rFonts w:cs="Times New Roman"/>
          <w:sz w:val="20"/>
          <w:szCs w:val="20"/>
        </w:rPr>
      </w:pPr>
    </w:p>
    <w:sectPr w:rsidR="00DB123C" w:rsidRPr="00D861D9" w:rsidSect="008F4BFC">
      <w:headerReference w:type="even" r:id="rId7"/>
      <w:headerReference w:type="default" r:id="rId8"/>
      <w:footerReference w:type="even" r:id="rId9"/>
      <w:footerReference w:type="default" r:id="rId10"/>
      <w:headerReference w:type="first" r:id="rId11"/>
      <w:footerReference w:type="first" r:id="rId12"/>
      <w:pgSz w:w="16840" w:h="11900" w:orient="landscape"/>
      <w:pgMar w:top="1440" w:right="1440" w:bottom="1440" w:left="1440"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DD48D" w14:textId="77777777" w:rsidR="008D0781" w:rsidRDefault="008D0781" w:rsidP="008F4BFC">
      <w:r>
        <w:separator/>
      </w:r>
    </w:p>
  </w:endnote>
  <w:endnote w:type="continuationSeparator" w:id="0">
    <w:p w14:paraId="70FF5D11" w14:textId="77777777" w:rsidR="008D0781" w:rsidRDefault="008D0781" w:rsidP="008F4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w:altName w:val="Segoe UI Historic"/>
    <w:charset w:val="4D"/>
    <w:family w:val="auto"/>
    <w:pitch w:val="variable"/>
    <w:sig w:usb0="A00002FF" w:usb1="7800205A" w:usb2="14600000" w:usb3="00000000" w:csb0="00000193" w:csb1="00000000"/>
  </w:font>
  <w:font w:name="Hiragino Sans GB W3">
    <w:altName w:val="Yu Gothic"/>
    <w:charset w:val="80"/>
    <w:family w:val="swiss"/>
    <w:pitch w:val="variable"/>
    <w:sig w:usb0="A00002BF" w:usb1="1ACF7CFA" w:usb2="00000016" w:usb3="00000000" w:csb0="00060007" w:csb1="00000000"/>
  </w:font>
  <w:font w:name="Times New Roman (Body CS)">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8058593"/>
      <w:docPartObj>
        <w:docPartGallery w:val="Page Numbers (Bottom of Page)"/>
        <w:docPartUnique/>
      </w:docPartObj>
    </w:sdtPr>
    <w:sdtEndPr>
      <w:rPr>
        <w:rStyle w:val="PageNumber"/>
      </w:rPr>
    </w:sdtEndPr>
    <w:sdtContent>
      <w:p w14:paraId="3872BAFE" w14:textId="566499B3" w:rsidR="008F4BFC" w:rsidRDefault="008F4BFC" w:rsidP="00A1484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3DA4BB" w14:textId="77777777" w:rsidR="008F4BFC" w:rsidRDefault="008F4B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5691814"/>
      <w:docPartObj>
        <w:docPartGallery w:val="Page Numbers (Bottom of Page)"/>
        <w:docPartUnique/>
      </w:docPartObj>
    </w:sdtPr>
    <w:sdtEndPr>
      <w:rPr>
        <w:rStyle w:val="PageNumber"/>
      </w:rPr>
    </w:sdtEndPr>
    <w:sdtContent>
      <w:p w14:paraId="14DF91BC" w14:textId="75308C65" w:rsidR="008F4BFC" w:rsidRDefault="008F4BFC" w:rsidP="00A1484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sdtContent>
  </w:sdt>
  <w:p w14:paraId="4AF3C2FE" w14:textId="77777777" w:rsidR="008F4BFC" w:rsidRDefault="008F4B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2204D" w14:textId="77777777" w:rsidR="008F4BFC" w:rsidRDefault="008F4B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E2A65" w14:textId="77777777" w:rsidR="008D0781" w:rsidRDefault="008D0781" w:rsidP="008F4BFC">
      <w:r>
        <w:separator/>
      </w:r>
    </w:p>
  </w:footnote>
  <w:footnote w:type="continuationSeparator" w:id="0">
    <w:p w14:paraId="2E67F61F" w14:textId="77777777" w:rsidR="008D0781" w:rsidRDefault="008D0781" w:rsidP="008F4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0AC9B" w14:textId="77777777" w:rsidR="008F4BFC" w:rsidRDefault="008F4B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F591" w14:textId="77777777" w:rsidR="008F4BFC" w:rsidRDefault="008F4B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F8ED2" w14:textId="77777777" w:rsidR="008F4BFC" w:rsidRDefault="008F4B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3DF"/>
    <w:rsid w:val="00045266"/>
    <w:rsid w:val="00053749"/>
    <w:rsid w:val="00075909"/>
    <w:rsid w:val="000A60CA"/>
    <w:rsid w:val="000A6D3B"/>
    <w:rsid w:val="000B24B3"/>
    <w:rsid w:val="000D5746"/>
    <w:rsid w:val="000F6888"/>
    <w:rsid w:val="00117BDC"/>
    <w:rsid w:val="00122C43"/>
    <w:rsid w:val="001243DF"/>
    <w:rsid w:val="00145C62"/>
    <w:rsid w:val="00173F91"/>
    <w:rsid w:val="00185EDE"/>
    <w:rsid w:val="001A056B"/>
    <w:rsid w:val="001A1968"/>
    <w:rsid w:val="001B544F"/>
    <w:rsid w:val="00206161"/>
    <w:rsid w:val="00230795"/>
    <w:rsid w:val="00276175"/>
    <w:rsid w:val="002808A7"/>
    <w:rsid w:val="00285F6F"/>
    <w:rsid w:val="002B671D"/>
    <w:rsid w:val="002E0A69"/>
    <w:rsid w:val="00301F22"/>
    <w:rsid w:val="00336031"/>
    <w:rsid w:val="00344F02"/>
    <w:rsid w:val="00353618"/>
    <w:rsid w:val="003616FE"/>
    <w:rsid w:val="003708D7"/>
    <w:rsid w:val="003B1D80"/>
    <w:rsid w:val="003B47F8"/>
    <w:rsid w:val="003C122B"/>
    <w:rsid w:val="003D0331"/>
    <w:rsid w:val="00411D77"/>
    <w:rsid w:val="00443970"/>
    <w:rsid w:val="00454173"/>
    <w:rsid w:val="004560F2"/>
    <w:rsid w:val="00464DA2"/>
    <w:rsid w:val="00480A7A"/>
    <w:rsid w:val="00497925"/>
    <w:rsid w:val="004C5949"/>
    <w:rsid w:val="004C6EC3"/>
    <w:rsid w:val="004D098E"/>
    <w:rsid w:val="004D0CF1"/>
    <w:rsid w:val="0051331B"/>
    <w:rsid w:val="00554218"/>
    <w:rsid w:val="00577681"/>
    <w:rsid w:val="005B7749"/>
    <w:rsid w:val="005F2B5E"/>
    <w:rsid w:val="00632D55"/>
    <w:rsid w:val="00647E0E"/>
    <w:rsid w:val="006857AC"/>
    <w:rsid w:val="00687E66"/>
    <w:rsid w:val="00690A6C"/>
    <w:rsid w:val="006E2F56"/>
    <w:rsid w:val="006F586E"/>
    <w:rsid w:val="00712ED1"/>
    <w:rsid w:val="00735A31"/>
    <w:rsid w:val="007439BA"/>
    <w:rsid w:val="00745BB7"/>
    <w:rsid w:val="00745CF6"/>
    <w:rsid w:val="00753AEA"/>
    <w:rsid w:val="0077003D"/>
    <w:rsid w:val="0079191A"/>
    <w:rsid w:val="007924FD"/>
    <w:rsid w:val="00795C88"/>
    <w:rsid w:val="007A6085"/>
    <w:rsid w:val="007E39DE"/>
    <w:rsid w:val="007F0F76"/>
    <w:rsid w:val="007F7D42"/>
    <w:rsid w:val="008425A7"/>
    <w:rsid w:val="00847533"/>
    <w:rsid w:val="00861CA2"/>
    <w:rsid w:val="00875A16"/>
    <w:rsid w:val="008D0555"/>
    <w:rsid w:val="008D0781"/>
    <w:rsid w:val="008E341D"/>
    <w:rsid w:val="008F4BFC"/>
    <w:rsid w:val="00910CB8"/>
    <w:rsid w:val="00923508"/>
    <w:rsid w:val="00951DD3"/>
    <w:rsid w:val="00966C86"/>
    <w:rsid w:val="009865C3"/>
    <w:rsid w:val="009A208A"/>
    <w:rsid w:val="009B40C6"/>
    <w:rsid w:val="009C0EB2"/>
    <w:rsid w:val="009D01FD"/>
    <w:rsid w:val="009D134F"/>
    <w:rsid w:val="00A02127"/>
    <w:rsid w:val="00A05EB2"/>
    <w:rsid w:val="00A6717A"/>
    <w:rsid w:val="00A72583"/>
    <w:rsid w:val="00AB73A1"/>
    <w:rsid w:val="00AB7C12"/>
    <w:rsid w:val="00AC048D"/>
    <w:rsid w:val="00AC139E"/>
    <w:rsid w:val="00AD3522"/>
    <w:rsid w:val="00B018A4"/>
    <w:rsid w:val="00B135D3"/>
    <w:rsid w:val="00B414E7"/>
    <w:rsid w:val="00B61903"/>
    <w:rsid w:val="00B6485F"/>
    <w:rsid w:val="00B960C4"/>
    <w:rsid w:val="00BA1F7D"/>
    <w:rsid w:val="00BA64CE"/>
    <w:rsid w:val="00C13597"/>
    <w:rsid w:val="00C15D00"/>
    <w:rsid w:val="00C5795F"/>
    <w:rsid w:val="00C651B2"/>
    <w:rsid w:val="00C65B65"/>
    <w:rsid w:val="00C75C1B"/>
    <w:rsid w:val="00C81C9E"/>
    <w:rsid w:val="00C862A6"/>
    <w:rsid w:val="00C95A04"/>
    <w:rsid w:val="00CD0A0D"/>
    <w:rsid w:val="00D42E6B"/>
    <w:rsid w:val="00D60AF7"/>
    <w:rsid w:val="00D861D9"/>
    <w:rsid w:val="00D90BEC"/>
    <w:rsid w:val="00DB25CC"/>
    <w:rsid w:val="00DD3926"/>
    <w:rsid w:val="00DE179E"/>
    <w:rsid w:val="00E66973"/>
    <w:rsid w:val="00E72DB8"/>
    <w:rsid w:val="00E7714A"/>
    <w:rsid w:val="00E85EE6"/>
    <w:rsid w:val="00EC0D84"/>
    <w:rsid w:val="00ED2790"/>
    <w:rsid w:val="00F00312"/>
    <w:rsid w:val="00F037D0"/>
    <w:rsid w:val="00F16D18"/>
    <w:rsid w:val="00F71A94"/>
    <w:rsid w:val="00F72963"/>
    <w:rsid w:val="00F7352D"/>
    <w:rsid w:val="00F81E23"/>
    <w:rsid w:val="00F83F70"/>
    <w:rsid w:val="00F94360"/>
    <w:rsid w:val="00F9650B"/>
    <w:rsid w:val="00FB5E06"/>
    <w:rsid w:val="00FD3F06"/>
    <w:rsid w:val="00FD6129"/>
    <w:rsid w:val="00FE70BB"/>
    <w:rsid w:val="00FF06C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5005B"/>
  <w14:defaultImageDpi w14:val="32767"/>
  <w15:chartTrackingRefBased/>
  <w15:docId w15:val="{831D625E-5DCB-704E-8810-94AD6ABB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w:eastAsia="Hiragino Sans GB W3" w:hAnsi="Palatino" w:cs="Times New Roman (Body CS)"/>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Normal"/>
    <w:qFormat/>
    <w:rsid w:val="00712ED1"/>
    <w:pPr>
      <w:spacing w:line="360" w:lineRule="auto"/>
    </w:pPr>
    <w:rPr>
      <w:b/>
    </w:rPr>
  </w:style>
  <w:style w:type="paragraph" w:customStyle="1" w:styleId="Body">
    <w:name w:val="Body"/>
    <w:basedOn w:val="Normal"/>
    <w:qFormat/>
    <w:rsid w:val="00712ED1"/>
    <w:pPr>
      <w:spacing w:line="360" w:lineRule="auto"/>
      <w:ind w:left="544"/>
    </w:pPr>
  </w:style>
  <w:style w:type="paragraph" w:styleId="FootnoteText">
    <w:name w:val="footnote text"/>
    <w:basedOn w:val="Normal"/>
    <w:link w:val="FootnoteTextChar"/>
    <w:uiPriority w:val="99"/>
    <w:semiHidden/>
    <w:unhideWhenUsed/>
    <w:qFormat/>
    <w:rsid w:val="00712ED1"/>
    <w:rPr>
      <w:sz w:val="20"/>
      <w:szCs w:val="20"/>
    </w:rPr>
  </w:style>
  <w:style w:type="character" w:customStyle="1" w:styleId="FootnoteTextChar">
    <w:name w:val="Footnote Text Char"/>
    <w:basedOn w:val="DefaultParagraphFont"/>
    <w:link w:val="FootnoteText"/>
    <w:uiPriority w:val="99"/>
    <w:semiHidden/>
    <w:rsid w:val="00712ED1"/>
    <w:rPr>
      <w:rFonts w:ascii="Palatino" w:hAnsi="Palatino"/>
      <w:sz w:val="20"/>
      <w:szCs w:val="20"/>
    </w:rPr>
  </w:style>
  <w:style w:type="character" w:styleId="FootnoteReference">
    <w:name w:val="footnote reference"/>
    <w:basedOn w:val="DefaultParagraphFont"/>
    <w:uiPriority w:val="99"/>
    <w:semiHidden/>
    <w:unhideWhenUsed/>
    <w:qFormat/>
    <w:rsid w:val="00712ED1"/>
    <w:rPr>
      <w:rFonts w:ascii="Palatino" w:hAnsi="Palatino"/>
      <w:vertAlign w:val="superscript"/>
    </w:rPr>
  </w:style>
  <w:style w:type="paragraph" w:customStyle="1" w:styleId="SubHeading">
    <w:name w:val="Sub Heading"/>
    <w:basedOn w:val="Normal"/>
    <w:next w:val="Body"/>
    <w:qFormat/>
    <w:rsid w:val="00353618"/>
    <w:pPr>
      <w:spacing w:line="360" w:lineRule="auto"/>
    </w:pPr>
    <w:rPr>
      <w:b/>
    </w:rPr>
  </w:style>
  <w:style w:type="table" w:styleId="TableGrid">
    <w:name w:val="Table Grid"/>
    <w:basedOn w:val="TableNormal"/>
    <w:uiPriority w:val="39"/>
    <w:rsid w:val="00124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4BFC"/>
    <w:pPr>
      <w:tabs>
        <w:tab w:val="center" w:pos="4680"/>
        <w:tab w:val="right" w:pos="9360"/>
      </w:tabs>
    </w:pPr>
  </w:style>
  <w:style w:type="character" w:customStyle="1" w:styleId="HeaderChar">
    <w:name w:val="Header Char"/>
    <w:basedOn w:val="DefaultParagraphFont"/>
    <w:link w:val="Header"/>
    <w:uiPriority w:val="99"/>
    <w:rsid w:val="008F4BFC"/>
  </w:style>
  <w:style w:type="paragraph" w:styleId="Footer">
    <w:name w:val="footer"/>
    <w:basedOn w:val="Normal"/>
    <w:link w:val="FooterChar"/>
    <w:uiPriority w:val="99"/>
    <w:unhideWhenUsed/>
    <w:rsid w:val="008F4BFC"/>
    <w:pPr>
      <w:tabs>
        <w:tab w:val="center" w:pos="4680"/>
        <w:tab w:val="right" w:pos="9360"/>
      </w:tabs>
    </w:pPr>
  </w:style>
  <w:style w:type="character" w:customStyle="1" w:styleId="FooterChar">
    <w:name w:val="Footer Char"/>
    <w:basedOn w:val="DefaultParagraphFont"/>
    <w:link w:val="Footer"/>
    <w:uiPriority w:val="99"/>
    <w:rsid w:val="008F4BFC"/>
  </w:style>
  <w:style w:type="character" w:styleId="PageNumber">
    <w:name w:val="page number"/>
    <w:basedOn w:val="DefaultParagraphFont"/>
    <w:uiPriority w:val="99"/>
    <w:semiHidden/>
    <w:unhideWhenUsed/>
    <w:rsid w:val="008F4BFC"/>
  </w:style>
  <w:style w:type="paragraph" w:styleId="Revision">
    <w:name w:val="Revision"/>
    <w:hidden/>
    <w:uiPriority w:val="99"/>
    <w:semiHidden/>
    <w:rsid w:val="00A67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7DBE4-3F7A-8145-ACFB-008B5F453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Y. Xiao</dc:creator>
  <cp:keywords/>
  <dc:description/>
  <cp:lastModifiedBy>Chloe Brandrick</cp:lastModifiedBy>
  <cp:revision>2</cp:revision>
  <dcterms:created xsi:type="dcterms:W3CDTF">2023-03-09T09:44:00Z</dcterms:created>
  <dcterms:modified xsi:type="dcterms:W3CDTF">2023-03-09T09:44:00Z</dcterms:modified>
</cp:coreProperties>
</file>