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1E39E" w14:textId="213DA07F" w:rsidR="003267D3" w:rsidRDefault="003267D3" w:rsidP="003267D3">
      <w:pPr>
        <w:jc w:val="center"/>
        <w:rPr>
          <w:rFonts w:eastAsia="MS Mincho" w:cs="Times New Roman"/>
          <w:b/>
          <w:bCs/>
          <w:sz w:val="28"/>
          <w:szCs w:val="28"/>
        </w:rPr>
      </w:pPr>
      <w:r w:rsidRPr="003267D3">
        <w:rPr>
          <w:rFonts w:eastAsia="MS Mincho" w:cs="Times New Roman"/>
          <w:b/>
          <w:bCs/>
          <w:sz w:val="28"/>
          <w:szCs w:val="28"/>
        </w:rPr>
        <w:t xml:space="preserve">Supplementary </w:t>
      </w:r>
      <w:r w:rsidR="00791CC7">
        <w:rPr>
          <w:rFonts w:eastAsia="MS Mincho" w:cs="Times New Roman"/>
          <w:b/>
          <w:bCs/>
          <w:sz w:val="28"/>
          <w:szCs w:val="28"/>
        </w:rPr>
        <w:t>Information</w:t>
      </w:r>
      <w:r w:rsidR="00791CC7" w:rsidRPr="003267D3">
        <w:rPr>
          <w:rFonts w:eastAsia="MS Mincho" w:cs="Times New Roman"/>
          <w:b/>
          <w:bCs/>
          <w:sz w:val="28"/>
          <w:szCs w:val="28"/>
        </w:rPr>
        <w:t xml:space="preserve"> </w:t>
      </w:r>
      <w:r w:rsidRPr="003267D3">
        <w:rPr>
          <w:rFonts w:eastAsia="MS Mincho" w:cs="Times New Roman"/>
          <w:b/>
          <w:bCs/>
          <w:sz w:val="28"/>
          <w:szCs w:val="28"/>
        </w:rPr>
        <w:t>for</w:t>
      </w:r>
    </w:p>
    <w:p w14:paraId="5363CE31" w14:textId="77777777" w:rsidR="003267D3" w:rsidRPr="003267D3" w:rsidRDefault="003267D3" w:rsidP="003267D3">
      <w:pPr>
        <w:jc w:val="center"/>
        <w:rPr>
          <w:rFonts w:eastAsia="MS Mincho" w:cs="Times New Roman"/>
          <w:b/>
          <w:bCs/>
          <w:sz w:val="28"/>
          <w:szCs w:val="28"/>
        </w:rPr>
      </w:pPr>
    </w:p>
    <w:p w14:paraId="1CB54561" w14:textId="2D1AAAA9" w:rsidR="003267D3" w:rsidRDefault="003267D3" w:rsidP="003267D3">
      <w:pPr>
        <w:rPr>
          <w:rFonts w:eastAsia="MS Mincho" w:cs="Times New Roman"/>
          <w:b/>
          <w:bCs/>
          <w:i/>
          <w:iCs/>
          <w:sz w:val="28"/>
          <w:szCs w:val="28"/>
        </w:rPr>
      </w:pPr>
      <w:r w:rsidRPr="003267D3">
        <w:rPr>
          <w:rFonts w:eastAsia="MS Mincho" w:cs="Times New Roman"/>
          <w:b/>
          <w:bCs/>
          <w:sz w:val="28"/>
          <w:szCs w:val="28"/>
        </w:rPr>
        <w:t xml:space="preserve">Quantitative biomechanical assessment of locomotor capabilities of </w:t>
      </w:r>
      <w:r w:rsidRPr="003267D3">
        <w:rPr>
          <w:rFonts w:eastAsia="MS Mincho" w:cs="Times New Roman"/>
          <w:b/>
          <w:bCs/>
          <w:i/>
          <w:iCs/>
          <w:sz w:val="28"/>
          <w:szCs w:val="28"/>
        </w:rPr>
        <w:t>Euparkeria capensis</w:t>
      </w:r>
    </w:p>
    <w:p w14:paraId="57CBFC11" w14:textId="77777777" w:rsidR="003267D3" w:rsidRPr="003267D3" w:rsidRDefault="003267D3" w:rsidP="003267D3">
      <w:pPr>
        <w:rPr>
          <w:rFonts w:eastAsia="MS Mincho" w:cs="Times New Roman"/>
          <w:b/>
          <w:bCs/>
          <w:i/>
          <w:iCs/>
          <w:sz w:val="28"/>
          <w:szCs w:val="28"/>
        </w:rPr>
      </w:pPr>
    </w:p>
    <w:p w14:paraId="06B817AF" w14:textId="77777777" w:rsidR="003267D3" w:rsidRPr="00E26FF1" w:rsidRDefault="003267D3" w:rsidP="003267D3">
      <w:pPr>
        <w:rPr>
          <w:vertAlign w:val="superscript"/>
          <w:lang w:val="en-US"/>
        </w:rPr>
      </w:pPr>
      <w:r w:rsidRPr="00E26FF1">
        <w:rPr>
          <w:lang w:val="en-US"/>
        </w:rPr>
        <w:t>Oliver E. Demuth</w:t>
      </w:r>
      <w:r w:rsidRPr="00E26FF1">
        <w:rPr>
          <w:vertAlign w:val="superscript"/>
          <w:lang w:val="en-US"/>
        </w:rPr>
        <w:t>1,</w:t>
      </w:r>
      <w:proofErr w:type="gramStart"/>
      <w:r w:rsidRPr="00E26FF1">
        <w:rPr>
          <w:vertAlign w:val="superscript"/>
          <w:lang w:val="en-US"/>
        </w:rPr>
        <w:t>2,</w:t>
      </w:r>
      <w:r w:rsidRPr="00E26FF1">
        <w:rPr>
          <w:lang w:val="en-US"/>
        </w:rPr>
        <w:t>*</w:t>
      </w:r>
      <w:proofErr w:type="gramEnd"/>
      <w:r w:rsidRPr="00E26FF1">
        <w:rPr>
          <w:lang w:val="en-US"/>
        </w:rPr>
        <w:t>, Ashleigh L. A. Wiseman</w:t>
      </w:r>
      <w:r>
        <w:rPr>
          <w:vertAlign w:val="superscript"/>
          <w:lang w:val="en-US"/>
        </w:rPr>
        <w:t>1,3</w:t>
      </w:r>
      <w:r w:rsidRPr="00E26FF1">
        <w:rPr>
          <w:lang w:val="en-US"/>
        </w:rPr>
        <w:t xml:space="preserve"> &amp; John R. Hutchinson</w:t>
      </w:r>
      <w:r w:rsidRPr="00E26FF1">
        <w:rPr>
          <w:vertAlign w:val="superscript"/>
          <w:lang w:val="en-US"/>
        </w:rPr>
        <w:t>1</w:t>
      </w:r>
    </w:p>
    <w:p w14:paraId="5F713E9B" w14:textId="77777777" w:rsidR="003267D3" w:rsidRPr="00E26FF1" w:rsidRDefault="003267D3" w:rsidP="003267D3">
      <w:pPr>
        <w:rPr>
          <w:rFonts w:eastAsia="Times New Roman" w:cs="Times New Roman"/>
          <w:lang w:val="en-US"/>
        </w:rPr>
      </w:pPr>
      <w:r>
        <w:rPr>
          <w:vertAlign w:val="superscript"/>
        </w:rPr>
        <w:t>1</w:t>
      </w:r>
      <w:r w:rsidRPr="00F4660E">
        <w:rPr>
          <w:rFonts w:eastAsia="Times New Roman" w:cs="Times New Roman"/>
        </w:rPr>
        <w:t>Structure and Motion Laboratory, Department of Comparative Biomedical Sciences, The Royal Veterinary College, Hatfield, UK</w:t>
      </w:r>
      <w:r>
        <w:rPr>
          <w:rFonts w:eastAsia="Times New Roman" w:cs="Times New Roman"/>
        </w:rPr>
        <w:t xml:space="preserve">. </w:t>
      </w:r>
      <w:r w:rsidRPr="00E26FF1">
        <w:rPr>
          <w:rFonts w:eastAsia="Times New Roman" w:cs="Times New Roman"/>
          <w:vertAlign w:val="superscript"/>
        </w:rPr>
        <w:t>2</w:t>
      </w:r>
      <w:r w:rsidRPr="00E26FF1">
        <w:rPr>
          <w:rFonts w:eastAsia="Times New Roman" w:cs="Times New Roman"/>
          <w:lang w:val="en-US"/>
        </w:rPr>
        <w:t>Department of Earth Sciences, University of Cambridge, Cambridge, UK</w:t>
      </w:r>
      <w:r>
        <w:rPr>
          <w:rFonts w:eastAsia="Times New Roman" w:cs="Times New Roman"/>
          <w:lang w:val="en-US"/>
        </w:rPr>
        <w:t xml:space="preserve">. </w:t>
      </w:r>
      <w:r w:rsidRPr="00E26FF1">
        <w:rPr>
          <w:rFonts w:eastAsia="Times New Roman" w:cs="Times New Roman"/>
          <w:vertAlign w:val="superscript"/>
          <w:lang w:val="en-US"/>
        </w:rPr>
        <w:t xml:space="preserve">3 </w:t>
      </w:r>
      <w:r w:rsidRPr="00E26FF1">
        <w:rPr>
          <w:rFonts w:eastAsia="Times New Roman" w:cs="Times New Roman"/>
          <w:lang w:val="en-US"/>
        </w:rPr>
        <w:t>McDonald Institute for Archaeological</w:t>
      </w:r>
      <w:r>
        <w:rPr>
          <w:rFonts w:eastAsia="Times New Roman" w:cs="Times New Roman"/>
          <w:lang w:val="en-US"/>
        </w:rPr>
        <w:t xml:space="preserve"> Research</w:t>
      </w:r>
      <w:r w:rsidRPr="00E26FF1">
        <w:rPr>
          <w:rFonts w:eastAsia="Times New Roman" w:cs="Times New Roman"/>
          <w:lang w:val="en-US"/>
        </w:rPr>
        <w:t>, Univers</w:t>
      </w:r>
      <w:r>
        <w:rPr>
          <w:rFonts w:eastAsia="Times New Roman" w:cs="Times New Roman"/>
          <w:lang w:val="en-US"/>
        </w:rPr>
        <w:t>ity of Cambridge, Cambridge, UK</w:t>
      </w:r>
    </w:p>
    <w:p w14:paraId="167BBCB1" w14:textId="77777777" w:rsidR="003267D3" w:rsidRPr="004E4C4C" w:rsidRDefault="003267D3" w:rsidP="003267D3">
      <w:pPr>
        <w:rPr>
          <w:lang w:val="en-US"/>
        </w:rPr>
      </w:pPr>
    </w:p>
    <w:p w14:paraId="240299DC" w14:textId="7D2FED71" w:rsidR="003267D3" w:rsidRDefault="003267D3" w:rsidP="003267D3">
      <w:r w:rsidRPr="00F4660E">
        <w:t xml:space="preserve">*Correspondence: </w:t>
      </w:r>
      <w:hyperlink r:id="rId5" w:history="1">
        <w:r w:rsidR="00F64E20" w:rsidRPr="00970508">
          <w:rPr>
            <w:rStyle w:val="Hyperlink"/>
          </w:rPr>
          <w:t>oed24@cam.ac.uk</w:t>
        </w:r>
      </w:hyperlink>
    </w:p>
    <w:p w14:paraId="4CB2352D" w14:textId="77777777" w:rsidR="00F64E20" w:rsidRPr="00F4660E" w:rsidRDefault="00F64E20" w:rsidP="003267D3"/>
    <w:p w14:paraId="06DB5196" w14:textId="26D59619" w:rsidR="00791CC7" w:rsidRDefault="00791CC7" w:rsidP="00EF35E0">
      <w:pPr>
        <w:spacing w:before="0" w:line="240" w:lineRule="auto"/>
        <w:ind w:left="-567"/>
        <w:rPr>
          <w:b/>
          <w:bCs/>
        </w:rPr>
      </w:pPr>
    </w:p>
    <w:p w14:paraId="191837B7" w14:textId="77777777" w:rsidR="00791CC7" w:rsidRDefault="00791CC7">
      <w:pPr>
        <w:spacing w:before="0" w:line="240" w:lineRule="auto"/>
        <w:rPr>
          <w:b/>
          <w:bCs/>
        </w:rPr>
      </w:pPr>
      <w:r>
        <w:rPr>
          <w:b/>
          <w:bCs/>
        </w:rPr>
        <w:br w:type="page"/>
      </w:r>
    </w:p>
    <w:p w14:paraId="46347300" w14:textId="5FF6FAFE" w:rsidR="00791CC7" w:rsidRDefault="00791CC7" w:rsidP="00E4684C">
      <w:pPr>
        <w:spacing w:before="0" w:line="240" w:lineRule="auto"/>
        <w:rPr>
          <w:b/>
          <w:bCs/>
        </w:rPr>
      </w:pPr>
      <w:r>
        <w:rPr>
          <w:b/>
          <w:bCs/>
        </w:rPr>
        <w:lastRenderedPageBreak/>
        <w:t>SUPPLEMENTARY FIGURES</w:t>
      </w:r>
    </w:p>
    <w:p w14:paraId="538A9823" w14:textId="77777777" w:rsidR="00791CC7" w:rsidRDefault="00791CC7" w:rsidP="00EF35E0">
      <w:pPr>
        <w:spacing w:before="0" w:line="240" w:lineRule="auto"/>
        <w:ind w:left="-567"/>
        <w:rPr>
          <w:b/>
          <w:bCs/>
        </w:rPr>
      </w:pPr>
    </w:p>
    <w:p w14:paraId="460B5DE4" w14:textId="3539885A" w:rsidR="002564E7" w:rsidRDefault="002564E7" w:rsidP="00EF35E0">
      <w:pPr>
        <w:spacing w:before="0" w:line="240" w:lineRule="auto"/>
        <w:ind w:left="-567"/>
        <w:rPr>
          <w:b/>
          <w:bCs/>
        </w:rPr>
      </w:pPr>
      <w:r>
        <w:rPr>
          <w:b/>
          <w:bCs/>
          <w:noProof/>
          <w:lang w:eastAsia="en-GB"/>
        </w:rPr>
        <w:drawing>
          <wp:inline distT="0" distB="0" distL="0" distR="0" wp14:anchorId="30C435BD" wp14:editId="7BEF1038">
            <wp:extent cx="6660000" cy="3918461"/>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60000" cy="3918461"/>
                    </a:xfrm>
                    <a:prstGeom prst="rect">
                      <a:avLst/>
                    </a:prstGeom>
                  </pic:spPr>
                </pic:pic>
              </a:graphicData>
            </a:graphic>
          </wp:inline>
        </w:drawing>
      </w:r>
    </w:p>
    <w:p w14:paraId="7B30AA27" w14:textId="77777777" w:rsidR="00791CC7" w:rsidRDefault="00791CC7" w:rsidP="00EF35E0">
      <w:pPr>
        <w:spacing w:before="0" w:line="240" w:lineRule="auto"/>
        <w:ind w:left="-567"/>
        <w:rPr>
          <w:b/>
          <w:bCs/>
        </w:rPr>
      </w:pPr>
    </w:p>
    <w:p w14:paraId="58A494EA" w14:textId="33B04A8D" w:rsidR="00475625" w:rsidRPr="000C3B34" w:rsidRDefault="003267D3" w:rsidP="003267D3">
      <w:r>
        <w:rPr>
          <w:b/>
          <w:bCs/>
        </w:rPr>
        <w:t xml:space="preserve">Supplementary </w:t>
      </w:r>
      <w:r w:rsidRPr="00B8493D">
        <w:rPr>
          <w:b/>
          <w:bCs/>
        </w:rPr>
        <w:t xml:space="preserve">Figure </w:t>
      </w:r>
      <w:r>
        <w:rPr>
          <w:b/>
          <w:bCs/>
        </w:rPr>
        <w:t>S</w:t>
      </w:r>
      <w:r w:rsidRPr="00B8493D">
        <w:rPr>
          <w:b/>
          <w:bCs/>
        </w:rPr>
        <w:t xml:space="preserve">1. </w:t>
      </w:r>
      <w:r w:rsidRPr="003267D3">
        <w:rPr>
          <w:b/>
          <w:bCs/>
          <w:iCs/>
        </w:rPr>
        <w:t>Tail reconstruction of</w:t>
      </w:r>
      <w:r>
        <w:rPr>
          <w:b/>
          <w:bCs/>
          <w:i/>
        </w:rPr>
        <w:t xml:space="preserve"> Euparkeria capensis</w:t>
      </w:r>
      <w:r>
        <w:rPr>
          <w:b/>
          <w:bCs/>
        </w:rPr>
        <w:t xml:space="preserve">. </w:t>
      </w:r>
      <w:r w:rsidR="000C3B34">
        <w:t>Preserved tails of SAM PK 13666 (a), SAM PK K8050 specimen 1 (c), SAM PK K8050 specimen 2 (d) and GPIT 1681</w:t>
      </w:r>
      <w:r w:rsidR="00F64E20">
        <w:t>.</w:t>
      </w:r>
      <w:r w:rsidR="000C3B34">
        <w:t>1</w:t>
      </w:r>
      <w:r w:rsidR="00F64E20">
        <w:t xml:space="preserve">. SAM PK 13666 and GPIT 1681.1 have been mirrored for comparison. The specimens are not to scale and have each been scaled to match the tail reconstruction. Numbers indicate the serial position of each vertebra. </w:t>
      </w:r>
    </w:p>
    <w:p w14:paraId="71E8195D" w14:textId="77777777" w:rsidR="00475625" w:rsidRDefault="00475625" w:rsidP="003267D3">
      <w:pPr>
        <w:rPr>
          <w:b/>
          <w:bCs/>
        </w:rPr>
      </w:pPr>
    </w:p>
    <w:p w14:paraId="5400E4C1" w14:textId="695D4C60" w:rsidR="003267D3" w:rsidRDefault="003267D3" w:rsidP="003267D3">
      <w:pPr>
        <w:ind w:left="-567"/>
        <w:jc w:val="center"/>
      </w:pPr>
      <w:r>
        <w:rPr>
          <w:noProof/>
          <w:lang w:eastAsia="en-GB"/>
        </w:rPr>
        <w:lastRenderedPageBreak/>
        <w:drawing>
          <wp:inline distT="0" distB="0" distL="0" distR="0" wp14:anchorId="3B47E527" wp14:editId="461A3659">
            <wp:extent cx="6660000" cy="6425036"/>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0000" cy="6425036"/>
                    </a:xfrm>
                    <a:prstGeom prst="rect">
                      <a:avLst/>
                    </a:prstGeom>
                  </pic:spPr>
                </pic:pic>
              </a:graphicData>
            </a:graphic>
          </wp:inline>
        </w:drawing>
      </w:r>
    </w:p>
    <w:p w14:paraId="20660D01" w14:textId="5442D910" w:rsidR="003267D3" w:rsidRDefault="003267D3" w:rsidP="003267D3">
      <w:r>
        <w:rPr>
          <w:b/>
          <w:bCs/>
        </w:rPr>
        <w:t xml:space="preserve">Supplementary </w:t>
      </w:r>
      <w:r w:rsidRPr="00B8493D">
        <w:rPr>
          <w:b/>
          <w:bCs/>
        </w:rPr>
        <w:t xml:space="preserve">Figure </w:t>
      </w:r>
      <w:r>
        <w:rPr>
          <w:b/>
          <w:bCs/>
        </w:rPr>
        <w:t>S2</w:t>
      </w:r>
      <w:r w:rsidRPr="00B8493D">
        <w:rPr>
          <w:b/>
          <w:bCs/>
        </w:rPr>
        <w:t>.</w:t>
      </w:r>
      <w:r>
        <w:rPr>
          <w:b/>
          <w:bCs/>
        </w:rPr>
        <w:t xml:space="preserve"> </w:t>
      </w:r>
      <w:proofErr w:type="spellStart"/>
      <w:r w:rsidR="00665A4F">
        <w:rPr>
          <w:b/>
          <w:bCs/>
        </w:rPr>
        <w:t>Myological</w:t>
      </w:r>
      <w:proofErr w:type="spellEnd"/>
      <w:r>
        <w:rPr>
          <w:b/>
          <w:bCs/>
        </w:rPr>
        <w:t xml:space="preserve"> </w:t>
      </w:r>
      <w:r w:rsidRPr="003267D3">
        <w:rPr>
          <w:b/>
          <w:bCs/>
          <w:iCs/>
        </w:rPr>
        <w:t>reconstruction of</w:t>
      </w:r>
      <w:r>
        <w:rPr>
          <w:b/>
          <w:bCs/>
          <w:i/>
        </w:rPr>
        <w:t xml:space="preserve"> </w:t>
      </w:r>
      <w:r w:rsidR="00665A4F">
        <w:rPr>
          <w:b/>
          <w:bCs/>
          <w:iCs/>
        </w:rPr>
        <w:t xml:space="preserve">the </w:t>
      </w:r>
      <w:r>
        <w:rPr>
          <w:b/>
          <w:bCs/>
          <w:i/>
        </w:rPr>
        <w:t>Euparkeria capensis</w:t>
      </w:r>
      <w:r w:rsidR="00665A4F">
        <w:rPr>
          <w:b/>
          <w:bCs/>
          <w:i/>
        </w:rPr>
        <w:t xml:space="preserve"> </w:t>
      </w:r>
      <w:r w:rsidR="00665A4F">
        <w:rPr>
          <w:b/>
          <w:bCs/>
          <w:iCs/>
        </w:rPr>
        <w:t>pelvis and hindlimb</w:t>
      </w:r>
      <w:r>
        <w:rPr>
          <w:b/>
          <w:bCs/>
        </w:rPr>
        <w:t xml:space="preserve">. </w:t>
      </w:r>
      <w:r w:rsidR="00665A4F">
        <w:t xml:space="preserve">Inferred origin and insertion attachment sites for all major pelvic and hindlimb muscles. Pelvis and tail reconstruction in </w:t>
      </w:r>
      <w:r w:rsidR="00E35727">
        <w:t>medial (a), cranial (b), lateral (c), and ventral view (h). Right femur muscle attachments in caudal (d), left medial (e), cranial (f) and left lateral view (g). Muscle attachments on the right crus and pes in caudal/plantar (</w:t>
      </w:r>
      <w:proofErr w:type="spellStart"/>
      <w:r w:rsidR="00E35727">
        <w:t>i</w:t>
      </w:r>
      <w:proofErr w:type="spellEnd"/>
      <w:r w:rsidR="00E35727">
        <w:t>) and</w:t>
      </w:r>
      <w:r w:rsidR="00665A4F">
        <w:t xml:space="preserve"> </w:t>
      </w:r>
      <w:r w:rsidR="00E35727">
        <w:t xml:space="preserve">cranial/dorsal view (j) respectively. Note that the </w:t>
      </w:r>
      <w:r w:rsidR="00475625" w:rsidRPr="00475625">
        <w:rPr>
          <w:i/>
          <w:iCs/>
        </w:rPr>
        <w:t xml:space="preserve">M. </w:t>
      </w:r>
      <w:proofErr w:type="spellStart"/>
      <w:r w:rsidR="00475625" w:rsidRPr="00475625">
        <w:rPr>
          <w:i/>
          <w:iCs/>
        </w:rPr>
        <w:t>puboischiofemoralis</w:t>
      </w:r>
      <w:proofErr w:type="spellEnd"/>
      <w:r w:rsidR="00475625" w:rsidRPr="00475625">
        <w:rPr>
          <w:i/>
          <w:iCs/>
        </w:rPr>
        <w:t xml:space="preserve"> internus 2</w:t>
      </w:r>
      <w:r w:rsidR="00E35727">
        <w:t xml:space="preserve"> is reconstructed in the </w:t>
      </w:r>
      <w:r w:rsidR="00D21D52">
        <w:t xml:space="preserve">plesiomorphic </w:t>
      </w:r>
      <w:r w:rsidR="00E35727">
        <w:t xml:space="preserve">saurian condition </w:t>
      </w:r>
      <w:r w:rsidR="00475625">
        <w:t xml:space="preserve">here, </w:t>
      </w:r>
      <w:r w:rsidR="00E35727">
        <w:t>with its origin on the medial ischium</w:t>
      </w:r>
      <w:r w:rsidR="00475625">
        <w:t xml:space="preserve">, before its origin </w:t>
      </w:r>
      <w:r w:rsidR="00475625">
        <w:lastRenderedPageBreak/>
        <w:t>moved to the posterior dorsal vertebrae</w:t>
      </w:r>
      <w:r w:rsidR="00612472">
        <w:t xml:space="preserve"> somewhere</w:t>
      </w:r>
      <w:r w:rsidR="00475625">
        <w:t xml:space="preserve"> in early archosaurs</w:t>
      </w:r>
      <w:r w:rsidR="00D21D52">
        <w:t xml:space="preserve"> based on the character state estimation in Mesquite</w:t>
      </w:r>
      <w:r w:rsidR="00475625">
        <w:t xml:space="preserve">. </w:t>
      </w:r>
      <w:r>
        <w:t xml:space="preserve">Abbreviations: a., articular surface; is, ischium; </w:t>
      </w:r>
      <w:proofErr w:type="spellStart"/>
      <w:r>
        <w:t>pu</w:t>
      </w:r>
      <w:proofErr w:type="spellEnd"/>
      <w:r>
        <w:t>, pubis; SV, sacral vertebra</w:t>
      </w:r>
      <w:r w:rsidR="00665A4F">
        <w:t>.</w:t>
      </w:r>
      <w:r w:rsidR="005900B9">
        <w:t xml:space="preserve"> Muscle homologies of the lower limb follow Hattori and </w:t>
      </w:r>
      <w:proofErr w:type="spellStart"/>
      <w:r w:rsidR="005900B9">
        <w:t>Tsuihiji</w:t>
      </w:r>
      <w:proofErr w:type="spellEnd"/>
      <w:r w:rsidR="005900B9">
        <w:t xml:space="preserve"> </w:t>
      </w:r>
      <w:r w:rsidR="005900B9">
        <w:fldChar w:fldCharType="begin" w:fldLock="1"/>
      </w:r>
      <w:r w:rsidR="00942229">
        <w:instrText>ADDIN CSL_CITATION {"citationItems":[{"id":"ITEM-1","itemData":{"DOI":"10.1111/joa.13307","ISSN":"0021-8782","PMID":"32974897","abstract":"Archosaurs displayed an evolutionary trend toward increasing bipedalism in their evolutionary history, that is, forelimbs tend to be reduced in contrast to the development of hindlimbs becoming major weight-bearing and locomotor appendages. The archosaurian locomotion has been extensively discussed based on their limb morphology because the latter reflects their locomotor modes very well. However, despite some attempts of reconstructing the hindlimb musculature in Archosauria, that of the most distal portion, the pes, has often been neglected. In order to rectify this trend, detailed homologies of pedal muscles among sauropsids were established based on dissections and literature reviews of adult conditions. As a result, homologies of some pedal muscles between non-avian sauropsids and avians were revised, challenging classical hypotheses. The present new hypothesis postulates that the avian m. tibialis cranialis and non-avian m. extensor digitorum longus, as well as the avian m. extensor digitorum longus and non-avian m. tibialis anterior, are homologous with each other, respectively. This is more plausible because it requires no drastical change in the attachment sites between the avian and non-avian homologues unlike the classical hypothesis. Many interosseous muscles in non-archosaurian sauropsids that have long been regarded as a part of short digital extensors or flexors are also divided into multiple distinct muscles so that they can be homologized with short pedal muscles among all sauropsids. In addition, osteological correlates of attachments are identified for most of the pedal muscles, contributing to future attempts of reconstruction of this muscle system in fossil archosaurs.","author":[{"dropping-particle":"","family":"Hattori","given":"Soki","non-dropping-particle":"","parse-names":false,"suffix":""},{"dropping-particle":"","family":"Tsuihiji","given":"Takanobu","non-dropping-particle":"","parse-names":false,"suffix":""}],"container-title":"Journal of Anatomy","id":"ITEM-1","issue":"2","issued":{"date-parts":[["2021","2","24"]]},"page":"365-399","title":"Homology and osteological correlates of pedal muscles among extant sauropsids","type":"article-journal","volume":"238"},"uris":["http://www.mendeley.com/documents/?uuid=d653f3d6-8e5f-4180-b260-57b4184de85e"]}],"mendeley":{"formattedCitation":"[1]","plainTextFormattedCitation":"[1]","previouslyFormattedCitation":"[1]"},"properties":{"noteIndex":0},"schema":"https://github.com/citation-style-language/schema/raw/master/csl-citation.json"}</w:instrText>
      </w:r>
      <w:r w:rsidR="005900B9">
        <w:fldChar w:fldCharType="separate"/>
      </w:r>
      <w:r w:rsidR="005900B9" w:rsidRPr="005900B9">
        <w:rPr>
          <w:noProof/>
        </w:rPr>
        <w:t>[1]</w:t>
      </w:r>
      <w:r w:rsidR="005900B9">
        <w:fldChar w:fldCharType="end"/>
      </w:r>
      <w:r w:rsidR="005900B9">
        <w:t>.</w:t>
      </w:r>
    </w:p>
    <w:p w14:paraId="60325D2E" w14:textId="072D86F4" w:rsidR="00475625" w:rsidRDefault="00475625" w:rsidP="003267D3"/>
    <w:p w14:paraId="789EFEED" w14:textId="75DA98DF" w:rsidR="00475625" w:rsidRDefault="00475625" w:rsidP="00475625">
      <w:pPr>
        <w:ind w:left="-567"/>
      </w:pPr>
      <w:r>
        <w:rPr>
          <w:noProof/>
          <w:lang w:eastAsia="en-GB"/>
        </w:rPr>
        <w:drawing>
          <wp:inline distT="0" distB="0" distL="0" distR="0" wp14:anchorId="0925D8BC" wp14:editId="6BB25694">
            <wp:extent cx="6659794" cy="599121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9794" cy="5991210"/>
                    </a:xfrm>
                    <a:prstGeom prst="rect">
                      <a:avLst/>
                    </a:prstGeom>
                  </pic:spPr>
                </pic:pic>
              </a:graphicData>
            </a:graphic>
          </wp:inline>
        </w:drawing>
      </w:r>
    </w:p>
    <w:p w14:paraId="5E279F8B" w14:textId="238E2C1B" w:rsidR="00475625" w:rsidRDefault="00475625" w:rsidP="003267D3">
      <w:r>
        <w:rPr>
          <w:b/>
          <w:bCs/>
        </w:rPr>
        <w:t xml:space="preserve">Supplementary </w:t>
      </w:r>
      <w:r w:rsidRPr="00B8493D">
        <w:rPr>
          <w:b/>
          <w:bCs/>
        </w:rPr>
        <w:t xml:space="preserve">Figure </w:t>
      </w:r>
      <w:r>
        <w:rPr>
          <w:b/>
          <w:bCs/>
        </w:rPr>
        <w:t>S3</w:t>
      </w:r>
      <w:r w:rsidRPr="00B8493D">
        <w:rPr>
          <w:b/>
          <w:bCs/>
        </w:rPr>
        <w:t>.</w:t>
      </w:r>
      <w:r>
        <w:rPr>
          <w:b/>
          <w:bCs/>
        </w:rPr>
        <w:t xml:space="preserve"> Pitch moment sensitivity analysis. </w:t>
      </w:r>
      <w:r>
        <w:t>(a) Mean of the pitch moments across all hull models and their corresponding standard deviation (b). (c) Optimal hull model as figured in the main text</w:t>
      </w:r>
      <w:r w:rsidR="00A473EF">
        <w:t xml:space="preserve">. (d) Pitch moments for the minimum hull with the hull shape modified by -20%. (e) Pitch moments for the </w:t>
      </w:r>
      <w:r w:rsidR="008A31F3">
        <w:t xml:space="preserve">maximal </w:t>
      </w:r>
      <w:r w:rsidR="00A473EF">
        <w:t>hull model a</w:t>
      </w:r>
      <w:r w:rsidR="00A473EF" w:rsidRPr="00A473EF">
        <w:t xml:space="preserve"> </w:t>
      </w:r>
      <w:r w:rsidR="00A473EF">
        <w:t xml:space="preserve">with the hull shape </w:t>
      </w:r>
      <w:r w:rsidR="00A473EF">
        <w:lastRenderedPageBreak/>
        <w:t xml:space="preserve">modified by +20%. (f) Pitch moments for the maximal caudal hull model, where the minimal hull models were used for the torso, neck, head and forelimbs and the maximal hull models for the hindlimbs and tail. (g) Pitch moments for the maximal cranial hull model, which was the opposite of the maximal caudal model. The individual moments and the absolute and percentage difference between the mean and the optimal model can be found in the Supplementary Information S3. </w:t>
      </w:r>
    </w:p>
    <w:p w14:paraId="094BC71C" w14:textId="77777777" w:rsidR="00A473EF" w:rsidRPr="00475625" w:rsidRDefault="00A473EF" w:rsidP="003267D3"/>
    <w:p w14:paraId="22F71E44" w14:textId="77135404" w:rsidR="003267D3" w:rsidRDefault="00A473EF" w:rsidP="00A473EF">
      <w:pPr>
        <w:ind w:left="-567"/>
      </w:pPr>
      <w:r>
        <w:rPr>
          <w:noProof/>
          <w:lang w:eastAsia="en-GB"/>
        </w:rPr>
        <w:drawing>
          <wp:inline distT="0" distB="0" distL="0" distR="0" wp14:anchorId="3B8B1856" wp14:editId="54E9D9F4">
            <wp:extent cx="6660000" cy="4172044"/>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0000" cy="4172044"/>
                    </a:xfrm>
                    <a:prstGeom prst="rect">
                      <a:avLst/>
                    </a:prstGeom>
                  </pic:spPr>
                </pic:pic>
              </a:graphicData>
            </a:graphic>
          </wp:inline>
        </w:drawing>
      </w:r>
    </w:p>
    <w:p w14:paraId="4B031273" w14:textId="3C8C2D4C" w:rsidR="002D6F40" w:rsidRDefault="00A473EF">
      <w:r>
        <w:rPr>
          <w:b/>
          <w:bCs/>
        </w:rPr>
        <w:t xml:space="preserve">Supplementary </w:t>
      </w:r>
      <w:r w:rsidRPr="00B8493D">
        <w:rPr>
          <w:b/>
          <w:bCs/>
        </w:rPr>
        <w:t xml:space="preserve">Figure </w:t>
      </w:r>
      <w:r>
        <w:rPr>
          <w:b/>
          <w:bCs/>
        </w:rPr>
        <w:t>S</w:t>
      </w:r>
      <w:r w:rsidR="00AE5030">
        <w:rPr>
          <w:b/>
          <w:bCs/>
        </w:rPr>
        <w:t>4</w:t>
      </w:r>
      <w:r w:rsidRPr="00B8493D">
        <w:rPr>
          <w:b/>
          <w:bCs/>
        </w:rPr>
        <w:t>.</w:t>
      </w:r>
      <w:r>
        <w:rPr>
          <w:b/>
          <w:bCs/>
        </w:rPr>
        <w:t xml:space="preserve"> Muscle activations for the four musculoskeletal models based on the different muscle parameter estimation methods. </w:t>
      </w:r>
      <w:r w:rsidR="00BA748A" w:rsidRPr="00BA748A">
        <w:t>Mean muscle activation (a) across all four models and the corresponding standard deviation (b).</w:t>
      </w:r>
      <w:r w:rsidR="00BA748A">
        <w:t xml:space="preserve"> Muscle activations for Model 1 (arithmetic centroid; c), Model 2 (convex hull centroid; d), Model 3 (arithmetic centroid; 3) and Model 4 (volumetric muscle reconstruction; f). </w:t>
      </w:r>
    </w:p>
    <w:p w14:paraId="6DAD594A" w14:textId="779C8DCE" w:rsidR="00AE5030" w:rsidRDefault="00942229" w:rsidP="00AE5030">
      <w:pPr>
        <w:ind w:left="-567"/>
      </w:pPr>
      <w:r>
        <w:rPr>
          <w:noProof/>
          <w:lang w:eastAsia="en-GB"/>
        </w:rPr>
        <w:lastRenderedPageBreak/>
        <w:drawing>
          <wp:inline distT="0" distB="0" distL="0" distR="0" wp14:anchorId="4BF901B6" wp14:editId="561730A2">
            <wp:extent cx="6660000" cy="5831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a:extLst>
                        <a:ext uri="{28A0092B-C50C-407E-A947-70E740481C1C}">
                          <a14:useLocalDpi xmlns:a14="http://schemas.microsoft.com/office/drawing/2010/main" val="0"/>
                        </a:ext>
                      </a:extLst>
                    </a:blip>
                    <a:stretch>
                      <a:fillRect/>
                    </a:stretch>
                  </pic:blipFill>
                  <pic:spPr>
                    <a:xfrm>
                      <a:off x="0" y="0"/>
                      <a:ext cx="6660000" cy="5831200"/>
                    </a:xfrm>
                    <a:prstGeom prst="rect">
                      <a:avLst/>
                    </a:prstGeom>
                  </pic:spPr>
                </pic:pic>
              </a:graphicData>
            </a:graphic>
          </wp:inline>
        </w:drawing>
      </w:r>
    </w:p>
    <w:p w14:paraId="47E925D4" w14:textId="255286C6" w:rsidR="00AE5030" w:rsidRDefault="00AE5030">
      <w:r w:rsidRPr="00AE5030">
        <w:rPr>
          <w:b/>
          <w:bCs/>
        </w:rPr>
        <w:t xml:space="preserve">Supplementary Figure S5. </w:t>
      </w:r>
      <w:r w:rsidR="0011543B">
        <w:rPr>
          <w:b/>
          <w:bCs/>
        </w:rPr>
        <w:t>Time calibrated</w:t>
      </w:r>
      <w:r w:rsidRPr="00AE5030">
        <w:rPr>
          <w:b/>
          <w:bCs/>
        </w:rPr>
        <w:t xml:space="preserve"> ancestral state reconstruction of bipedality within Archosauria </w:t>
      </w:r>
      <w:r w:rsidR="005900B9">
        <w:rPr>
          <w:b/>
          <w:bCs/>
        </w:rPr>
        <w:t>for</w:t>
      </w:r>
      <w:r w:rsidRPr="00AE5030">
        <w:rPr>
          <w:b/>
          <w:bCs/>
        </w:rPr>
        <w:t xml:space="preserve"> the ‘</w:t>
      </w:r>
      <w:proofErr w:type="spellStart"/>
      <w:r w:rsidRPr="00AE5030">
        <w:rPr>
          <w:b/>
          <w:bCs/>
        </w:rPr>
        <w:t>Ezcurra</w:t>
      </w:r>
      <w:proofErr w:type="spellEnd"/>
      <w:r w:rsidRPr="00AE5030">
        <w:rPr>
          <w:b/>
          <w:bCs/>
        </w:rPr>
        <w:t xml:space="preserve"> tree’</w:t>
      </w:r>
      <w:r w:rsidR="00942229">
        <w:rPr>
          <w:b/>
          <w:bCs/>
        </w:rPr>
        <w:t xml:space="preserve"> for </w:t>
      </w:r>
      <w:proofErr w:type="gramStart"/>
      <w:r w:rsidR="00942229">
        <w:rPr>
          <w:b/>
          <w:bCs/>
        </w:rPr>
        <w:t>two character</w:t>
      </w:r>
      <w:proofErr w:type="gramEnd"/>
      <w:r w:rsidR="00942229">
        <w:rPr>
          <w:b/>
          <w:bCs/>
        </w:rPr>
        <w:t xml:space="preserve"> states</w:t>
      </w:r>
      <w:r w:rsidR="00525F2F">
        <w:rPr>
          <w:b/>
          <w:bCs/>
        </w:rPr>
        <w:t xml:space="preserve"> using an ‘equal rates’ model</w:t>
      </w:r>
      <w:r w:rsidRPr="00AE5030">
        <w:rPr>
          <w:b/>
          <w:bCs/>
        </w:rPr>
        <w:t xml:space="preserve">. </w:t>
      </w:r>
      <w:r>
        <w:t xml:space="preserve">The phylogenetic tree </w:t>
      </w:r>
      <w:r w:rsidR="008A31F3">
        <w:t>was</w:t>
      </w:r>
      <w:r>
        <w:t xml:space="preserve"> assembled based on  </w:t>
      </w:r>
      <w:proofErr w:type="spellStart"/>
      <w:r>
        <w:t>Ezcurra</w:t>
      </w:r>
      <w:proofErr w:type="spellEnd"/>
      <w:r>
        <w:t xml:space="preserve"> </w:t>
      </w:r>
      <w:r>
        <w:fldChar w:fldCharType="begin" w:fldLock="1"/>
      </w:r>
      <w:r w:rsidR="00942229">
        <w:instrText>ADDIN CSL_CITATION {"citationItems":[{"id":"ITEM-1","itemData":{"DOI":"10.7717/peerj.1778","ISSN":"2167-8359","PMID":"27162705","abstract":"The early evolution of archosauromorphs during the Permo-Triassic constitutes an excellent empirical case study to shed light on evolutionary radiations in deep time and the timing and processes of recovery of terrestrial faunas after a mass extinction. However, macroevolutionary studies of early archosauromorphs are currently limited by poor knowledge of their phylogenetic relationships. In particular, one of the main early archosauromorph groups that need an exhaustive phylogenetic study is “Proterosuchia,” which as historically conceived includes members of both Proterosuchidae and Erythrosuchidae. A new data matrix composed of 96 separate taxa (several of them not included in a quantitative phylogenetic analysis before) and 600 osteological characters was assembled and analysed to generate a comprehensive higher-level phylogenetic hypothesis of basal archosauromorphs and shed light on the species-level interrelationships of taxa historically identified as proterosuchian archosauriforms. The results of the analysis using maximum parsimony include a polyphyletic “Prolacertiformes” and “Protorosauria,” in which the Permian Aenigmastropheus and Protorosaurus are the most basal archosauromorphs. The enigmatic choristoderans are either found as the sister-taxa of all other lepidosauromorphs or archosauromorphs, but consistently placed within Sauria. Prolacertids, rhynchosaurs, allokotosaurians and tanystropheids are the major successive sister clades of Archosauriformes. The Early Triassic Tasmaniosaurus is recovered as the sister-taxon of Archosauriformes. Proterosuchidae is unambiguosly restricted to five species that occur immediately after and before the Permo-Triassic boundary, thus implying that they are a short-lived “disaster” clade. Erythrosuchidae is composed of eight nominal species that occur during the Early and Middle Triassic. “Proterosuchia” is polyphyletic, in which erythrosuchids are more closely related to Euparkeria and more crownward archosauriforms than to proterosuchids, and several species are found widespread along the archosauromorph tree, some being nested within Archosauria (e.g., “ Chasmatosaurus ultimus ,” Youngosuchus ). Doswelliids and proterochampsids are recovered as more closely related to each other than to other archosauromorphs, forming a large clade (Proterochampsia) of semi-aquatic to aquatic forms that includes the bizarre genus Vancleavea . Euparkeria is one of the sister-taxa of the clade composed of proterochamp…","author":[{"dropping-particle":"","family":"Ezcurra","given":"Martín D.","non-dropping-particle":"","parse-names":false,"suffix":""}],"container-title":"PeerJ","id":"ITEM-1","issued":{"date-parts":[["2016"]]},"page":"e1778","title":"The phylogenetic relationships of basal archosauromorphs, with an emphasis on the systematics of proterosuchian archosauriforms","type":"article-journal","volume":"4"},"uris":["http://www.mendeley.com/documents/?uuid=751449ab-8011-45ca-ade2-1f0c4f1401c2"]}],"mendeley":{"formattedCitation":"[2]","plainTextFormattedCitation":"[2]","previouslyFormattedCitation":"[2]"},"properties":{"noteIndex":0},"schema":"https://github.com/citation-style-language/schema/raw/master/csl-citation.json"}</w:instrText>
      </w:r>
      <w:r>
        <w:fldChar w:fldCharType="separate"/>
      </w:r>
      <w:r w:rsidR="005900B9" w:rsidRPr="005900B9">
        <w:rPr>
          <w:noProof/>
        </w:rPr>
        <w:t>[2]</w:t>
      </w:r>
      <w:r>
        <w:fldChar w:fldCharType="end"/>
      </w:r>
      <w:r>
        <w:t xml:space="preserve">, Garcia et al. </w:t>
      </w:r>
      <w:r>
        <w:fldChar w:fldCharType="begin" w:fldLock="1"/>
      </w:r>
      <w:r w:rsidR="00942229">
        <w:instrText>ADDIN CSL_CITATION {"citationItems":[{"id":"ITEM-1","itemData":{"DOI":"10.1016/j.jsames.2019.02.005","ISSN":"08959811","abstract":"Late Triassic deposits from south Pangea (Argentina and Brazil) bear the oldest (so far) and most informative unequivocal records of dinosaurs worldwide. Herein we describe a new lagerpetid dinosauromorph from a classic dinosaur-bearing locality (Cerro da Alemoa site) from the Candelária Sequence (Santa Maria Formation), southern Brazil, and report the oldest co-occurrence of dinosaurs, lagerpetids and silesaurids, in the same layer of a Triassic outcrop. Although tentatively regarded as a skeletally immature specimen, the new lagerpetid represents a new morphotype due to the occurrence of the following features: (1) distal condyles transversely wider than deep; (2) absence of flange in the craniomedial margin of the femur; (3) round shaped and medially deflected medial condyle; (4) round shaped crista tibiofibularis. This suit of traits differentiates the new specimen from Ixalerpeton polesinensis, (which was so far the only lagerpetid found in Brazilian strata) and from other known lagerpetids. As non-dinosaurian dinosauromorphs are still relatively scarce in Brazilian Triassic rocks, recent records from this region are gradually providing new data regarding faunal turnovers and biostratigraphy of south Pangean terrestrial deposits. Additionally, new insights on the oldest dinosauromorph-bearing sites throughout the Triassic, as well as regarding taxonomic diversity and geographic distribution of early dinosauromorphs reinforces previous hypotheses where dinosaurs and dinosaur-relatives consistently coexisted (for at least 21 Ma) before their extinction.","author":[{"dropping-particle":"","family":"Garcia","given":"Maurício S.","non-dropping-particle":"","parse-names":false,"suffix":""},{"dropping-particle":"","family":"Müller","given":"Rodrigo T.","non-dropping-particle":"","parse-names":false,"suffix":""},{"dropping-particle":"","family":"Da-Rosa","given":"Átila A.S.","non-dropping-particle":"","parse-names":false,"suffix":""},{"dropping-particle":"","family":"Dias-da-Silva","given":"Sérgio","non-dropping-particle":"","parse-names":false,"suffix":""}],"container-title":"Journal of South American Earth Sciences","id":"ITEM-1","issue":"February","issued":{"date-parts":[["2019","4"]]},"page":"302-319","publisher":"Elsevier","title":"The oldest known co-occurrence of dinosaurs and their closest relatives: A new lagerpetid from a Carnian (Upper Triassic) bed of Brazil with implications for dinosauromorph biostratigraphy, early diversification and biogeography","type":"article-journal","volume":"91"},"uris":["http://www.mendeley.com/documents/?uuid=2d354b41-770d-413c-993e-557f4aaad58c"]}],"mendeley":{"formattedCitation":"[3]","plainTextFormattedCitation":"[3]","previouslyFormattedCitation":"[3]"},"properties":{"noteIndex":0},"schema":"https://github.com/citation-style-language/schema/raw/master/csl-citation.json"}</w:instrText>
      </w:r>
      <w:r>
        <w:fldChar w:fldCharType="separate"/>
      </w:r>
      <w:r w:rsidR="005900B9" w:rsidRPr="005900B9">
        <w:rPr>
          <w:noProof/>
        </w:rPr>
        <w:t>[3]</w:t>
      </w:r>
      <w:r>
        <w:fldChar w:fldCharType="end"/>
      </w:r>
      <w:r>
        <w:t xml:space="preserve"> and Müller and Garcia </w:t>
      </w:r>
      <w:r>
        <w:fldChar w:fldCharType="begin" w:fldLock="1"/>
      </w:r>
      <w:r w:rsidR="00942229">
        <w:instrText>ADDIN CSL_CITATION {"citationItems":[{"id":"ITEM-1","itemData":{"DOI":"10.1098/rsbl.2020.0417rsbl20200417","ISSN":"1744957X","PMID":"32842895","abstract":"Whereas ornithischian dinosaurs are well known from Jurassic and Cretaceous deposits, deciphering the origin and early evolution of the group remains one of the hardest challenges for palaeontologists. So far, there are no unequivocal records of ornithischians from Triassic beds. Here, we present an alternative evolutionary hypothesis that suggests consideration of traditional 'silesaurids' as a group of low-diversity clades representing a stem group leading to core ornithischians (i.e. unambiguous ornithischians, such as Heterodontosaurus tucki). This is particularly interesting because it fills most of the ghost lineages that emerge from the Triassic. Following the present hypothesis, the lineage that encompasses the Jurassic ornithischians evolved from 'silesaurids' during the Middle to early Late Triassic, while typical 'silesaurids' shared the land ecosystems with their relatives until the Late Triassic, when the group completely vanished. Therefore, Ornithischia changes from an obscure to a well-documented clade in the Triassic and is represented by records from Gondwana and Laurasia. Furthermore, according to the present hypothesis, Ornithischia was the first group of dinosaurs to adopt an omnivorous/herbivorous diet. However, this behaviour was achieved as a secondary step instead of an ancestral condition for ornithischians, as the earliest member of the clade is a faunivorous taxon. This pattern was subsequently followed by sauropodomorph dinosaurs. Indeed, the present scenario favours the independent acquisition of an herbivorous diet for ornithischians and sauropodomorphs during the Triassic, whereas the previous hypotheses suggested the independent acquisition for sauropodomorphs, ornithischians, and 'silesaurids'.","author":[{"dropping-particle":"","family":"Müller","given":"Rodrigo Temp","non-dropping-particle":"","parse-names":false,"suffix":""},{"dropping-particle":"","family":"Garcia","given":"Maurício Silva","non-dropping-particle":"","parse-names":false,"suffix":""}],"container-title":"Biology Letters","id":"ITEM-1","issue":"8","issued":{"date-parts":[["2020"]]},"title":"A paraphyletic 'Silesauridae' as an alternative hypothesis for the initial radiation of ornithischian dinosaurs: Early evolution of Ornithischia","type":"article-journal","volume":"16"},"uris":["http://www.mendeley.com/documents/?uuid=725695d5-307e-4cce-bebb-38e0e80a58a7"]}],"mendeley":{"formattedCitation":"[4]","plainTextFormattedCitation":"[4]","previouslyFormattedCitation":"[4]"},"properties":{"noteIndex":0},"schema":"https://github.com/citation-style-language/schema/raw/master/csl-citation.json"}</w:instrText>
      </w:r>
      <w:r>
        <w:fldChar w:fldCharType="separate"/>
      </w:r>
      <w:r w:rsidR="005900B9" w:rsidRPr="005900B9">
        <w:rPr>
          <w:noProof/>
        </w:rPr>
        <w:t>[4]</w:t>
      </w:r>
      <w:r>
        <w:fldChar w:fldCharType="end"/>
      </w:r>
      <w:r>
        <w:t>.</w:t>
      </w:r>
      <w:r w:rsidR="005900B9">
        <w:t xml:space="preserve"> Red circles indicate bipedality and blue ones quadrupedality.</w:t>
      </w:r>
      <w:r w:rsidR="00942229">
        <w:t xml:space="preserve"> AIC score of </w:t>
      </w:r>
      <w:r w:rsidR="00942229" w:rsidRPr="00942229">
        <w:t>49.70</w:t>
      </w:r>
      <w:r w:rsidR="008A31F3">
        <w:t>.</w:t>
      </w:r>
    </w:p>
    <w:p w14:paraId="174784F7" w14:textId="77777777" w:rsidR="00942229" w:rsidRDefault="00942229" w:rsidP="00942229">
      <w:pPr>
        <w:ind w:left="-567"/>
      </w:pPr>
      <w:r>
        <w:rPr>
          <w:noProof/>
          <w:lang w:eastAsia="en-GB"/>
        </w:rPr>
        <w:lastRenderedPageBreak/>
        <w:drawing>
          <wp:inline distT="0" distB="0" distL="0" distR="0" wp14:anchorId="6F5E659A" wp14:editId="61F50965">
            <wp:extent cx="6660000" cy="5831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extLst>
                        <a:ext uri="{28A0092B-C50C-407E-A947-70E740481C1C}">
                          <a14:useLocalDpi xmlns:a14="http://schemas.microsoft.com/office/drawing/2010/main" val="0"/>
                        </a:ext>
                      </a:extLst>
                    </a:blip>
                    <a:stretch>
                      <a:fillRect/>
                    </a:stretch>
                  </pic:blipFill>
                  <pic:spPr>
                    <a:xfrm>
                      <a:off x="0" y="0"/>
                      <a:ext cx="6660000" cy="5831200"/>
                    </a:xfrm>
                    <a:prstGeom prst="rect">
                      <a:avLst/>
                    </a:prstGeom>
                  </pic:spPr>
                </pic:pic>
              </a:graphicData>
            </a:graphic>
          </wp:inline>
        </w:drawing>
      </w:r>
    </w:p>
    <w:p w14:paraId="2DC4BB9E" w14:textId="14998554" w:rsidR="00942229" w:rsidRPr="00AE5030" w:rsidRDefault="00942229" w:rsidP="00942229">
      <w:r w:rsidRPr="00AE5030">
        <w:rPr>
          <w:b/>
          <w:bCs/>
        </w:rPr>
        <w:t>Supplementary Figure S</w:t>
      </w:r>
      <w:r>
        <w:rPr>
          <w:b/>
          <w:bCs/>
        </w:rPr>
        <w:t>6</w:t>
      </w:r>
      <w:r w:rsidRPr="00AE5030">
        <w:rPr>
          <w:b/>
          <w:bCs/>
        </w:rPr>
        <w:t xml:space="preserve">. </w:t>
      </w:r>
      <w:r>
        <w:rPr>
          <w:b/>
          <w:bCs/>
        </w:rPr>
        <w:t>Time calibrated</w:t>
      </w:r>
      <w:r w:rsidRPr="00AE5030">
        <w:rPr>
          <w:b/>
          <w:bCs/>
        </w:rPr>
        <w:t xml:space="preserve"> ancestral state reconstruction of bipedality within Archosauria </w:t>
      </w:r>
      <w:r>
        <w:rPr>
          <w:b/>
          <w:bCs/>
        </w:rPr>
        <w:t>for</w:t>
      </w:r>
      <w:r w:rsidRPr="00AE5030">
        <w:rPr>
          <w:b/>
          <w:bCs/>
        </w:rPr>
        <w:t xml:space="preserve"> the ‘</w:t>
      </w:r>
      <w:proofErr w:type="spellStart"/>
      <w:r w:rsidRPr="00AE5030">
        <w:rPr>
          <w:b/>
          <w:bCs/>
        </w:rPr>
        <w:t>Ezcurra</w:t>
      </w:r>
      <w:proofErr w:type="spellEnd"/>
      <w:r w:rsidRPr="00AE5030">
        <w:rPr>
          <w:b/>
          <w:bCs/>
        </w:rPr>
        <w:t xml:space="preserve"> tree’</w:t>
      </w:r>
      <w:r>
        <w:rPr>
          <w:b/>
          <w:bCs/>
        </w:rPr>
        <w:t xml:space="preserve"> for </w:t>
      </w:r>
      <w:proofErr w:type="gramStart"/>
      <w:r>
        <w:rPr>
          <w:b/>
          <w:bCs/>
        </w:rPr>
        <w:t>three character</w:t>
      </w:r>
      <w:proofErr w:type="gramEnd"/>
      <w:r>
        <w:rPr>
          <w:b/>
          <w:bCs/>
        </w:rPr>
        <w:t xml:space="preserve"> states</w:t>
      </w:r>
      <w:r w:rsidR="00525F2F">
        <w:rPr>
          <w:b/>
          <w:bCs/>
        </w:rPr>
        <w:t xml:space="preserve"> using an ‘all rates different’ model</w:t>
      </w:r>
      <w:r w:rsidRPr="00AE5030">
        <w:rPr>
          <w:b/>
          <w:bCs/>
        </w:rPr>
        <w:t xml:space="preserve">. </w:t>
      </w:r>
      <w:r>
        <w:t xml:space="preserve">The phylogenetic tree </w:t>
      </w:r>
      <w:r w:rsidR="008A31F3">
        <w:t>was</w:t>
      </w:r>
      <w:r>
        <w:t xml:space="preserve"> assembled based on </w:t>
      </w:r>
      <w:proofErr w:type="spellStart"/>
      <w:r>
        <w:t>Ezcurra</w:t>
      </w:r>
      <w:proofErr w:type="spellEnd"/>
      <w:r>
        <w:t xml:space="preserve"> </w:t>
      </w:r>
      <w:r>
        <w:fldChar w:fldCharType="begin" w:fldLock="1"/>
      </w:r>
      <w:r>
        <w:instrText>ADDIN CSL_CITATION {"citationItems":[{"id":"ITEM-1","itemData":{"DOI":"10.7717/peerj.1778","ISSN":"2167-8359","PMID":"27162705","abstract":"The early evolution of archosauromorphs during the Permo-Triassic constitutes an excellent empirical case study to shed light on evolutionary radiations in deep time and the timing and processes of recovery of terrestrial faunas after a mass extinction. However, macroevolutionary studies of early archosauromorphs are currently limited by poor knowledge of their phylogenetic relationships. In particular, one of the main early archosauromorph groups that need an exhaustive phylogenetic study is “Proterosuchia,” which as historically conceived includes members of both Proterosuchidae and Erythrosuchidae. A new data matrix composed of 96 separate taxa (several of them not included in a quantitative phylogenetic analysis before) and 600 osteological characters was assembled and analysed to generate a comprehensive higher-level phylogenetic hypothesis of basal archosauromorphs and shed light on the species-level interrelationships of taxa historically identified as proterosuchian archosauriforms. The results of the analysis using maximum parsimony include a polyphyletic “Prolacertiformes” and “Protorosauria,” in which the Permian Aenigmastropheus and Protorosaurus are the most basal archosauromorphs. The enigmatic choristoderans are either found as the sister-taxa of all other lepidosauromorphs or archosauromorphs, but consistently placed within Sauria. Prolacertids, rhynchosaurs, allokotosaurians and tanystropheids are the major successive sister clades of Archosauriformes. The Early Triassic Tasmaniosaurus is recovered as the sister-taxon of Archosauriformes. Proterosuchidae is unambiguosly restricted to five species that occur immediately after and before the Permo-Triassic boundary, thus implying that they are a short-lived “disaster” clade. Erythrosuchidae is composed of eight nominal species that occur during the Early and Middle Triassic. “Proterosuchia” is polyphyletic, in which erythrosuchids are more closely related to Euparkeria and more crownward archosauriforms than to proterosuchids, and several species are found widespread along the archosauromorph tree, some being nested within Archosauria (e.g., “ Chasmatosaurus ultimus ,” Youngosuchus ). Doswelliids and proterochampsids are recovered as more closely related to each other than to other archosauromorphs, forming a large clade (Proterochampsia) of semi-aquatic to aquatic forms that includes the bizarre genus Vancleavea . Euparkeria is one of the sister-taxa of the clade composed of proterochamp…","author":[{"dropping-particle":"","family":"Ezcurra","given":"Martín D.","non-dropping-particle":"","parse-names":false,"suffix":""}],"container-title":"PeerJ","id":"ITEM-1","issued":{"date-parts":[["2016"]]},"page":"e1778","title":"The phylogenetic relationships of basal archosauromorphs, with an emphasis on the systematics of proterosuchian archosauriforms","type":"article-journal","volume":"4"},"uris":["http://www.mendeley.com/documents/?uuid=751449ab-8011-45ca-ade2-1f0c4f1401c2"]}],"mendeley":{"formattedCitation":"[2]","plainTextFormattedCitation":"[2]","previouslyFormattedCitation":"[2]"},"properties":{"noteIndex":0},"schema":"https://github.com/citation-style-language/schema/raw/master/csl-citation.json"}</w:instrText>
      </w:r>
      <w:r>
        <w:fldChar w:fldCharType="separate"/>
      </w:r>
      <w:r w:rsidRPr="005900B9">
        <w:rPr>
          <w:noProof/>
        </w:rPr>
        <w:t>[2]</w:t>
      </w:r>
      <w:r>
        <w:fldChar w:fldCharType="end"/>
      </w:r>
      <w:r>
        <w:t xml:space="preserve">, Garcia et al. </w:t>
      </w:r>
      <w:r>
        <w:fldChar w:fldCharType="begin" w:fldLock="1"/>
      </w:r>
      <w:r>
        <w:instrText>ADDIN CSL_CITATION {"citationItems":[{"id":"ITEM-1","itemData":{"DOI":"10.1016/j.jsames.2019.02.005","ISSN":"08959811","abstract":"Late Triassic deposits from south Pangea (Argentina and Brazil) bear the oldest (so far) and most informative unequivocal records of dinosaurs worldwide. Herein we describe a new lagerpetid dinosauromorph from a classic dinosaur-bearing locality (Cerro da Alemoa site) from the Candelária Sequence (Santa Maria Formation), southern Brazil, and report the oldest co-occurrence of dinosaurs, lagerpetids and silesaurids, in the same layer of a Triassic outcrop. Although tentatively regarded as a skeletally immature specimen, the new lagerpetid represents a new morphotype due to the occurrence of the following features: (1) distal condyles transversely wider than deep; (2) absence of flange in the craniomedial margin of the femur; (3) round shaped and medially deflected medial condyle; (4) round shaped crista tibiofibularis. This suit of traits differentiates the new specimen from Ixalerpeton polesinensis, (which was so far the only lagerpetid found in Brazilian strata) and from other known lagerpetids. As non-dinosaurian dinosauromorphs are still relatively scarce in Brazilian Triassic rocks, recent records from this region are gradually providing new data regarding faunal turnovers and biostratigraphy of south Pangean terrestrial deposits. Additionally, new insights on the oldest dinosauromorph-bearing sites throughout the Triassic, as well as regarding taxonomic diversity and geographic distribution of early dinosauromorphs reinforces previous hypotheses where dinosaurs and dinosaur-relatives consistently coexisted (for at least 21 Ma) before their extinction.","author":[{"dropping-particle":"","family":"Garcia","given":"Maurício S.","non-dropping-particle":"","parse-names":false,"suffix":""},{"dropping-particle":"","family":"Müller","given":"Rodrigo T.","non-dropping-particle":"","parse-names":false,"suffix":""},{"dropping-particle":"","family":"Da-Rosa","given":"Átila A.S.","non-dropping-particle":"","parse-names":false,"suffix":""},{"dropping-particle":"","family":"Dias-da-Silva","given":"Sérgio","non-dropping-particle":"","parse-names":false,"suffix":""}],"container-title":"Journal of South American Earth Sciences","id":"ITEM-1","issue":"February","issued":{"date-parts":[["2019","4"]]},"page":"302-319","publisher":"Elsevier","title":"The oldest known co-occurrence of dinosaurs and their closest relatives: A new lagerpetid from a Carnian (Upper Triassic) bed of Brazil with implications for dinosauromorph biostratigraphy, early diversification and biogeography","type":"article-journal","volume":"91"},"uris":["http://www.mendeley.com/documents/?uuid=2d354b41-770d-413c-993e-557f4aaad58c"]}],"mendeley":{"formattedCitation":"[3]","plainTextFormattedCitation":"[3]","previouslyFormattedCitation":"[3]"},"properties":{"noteIndex":0},"schema":"https://github.com/citation-style-language/schema/raw/master/csl-citation.json"}</w:instrText>
      </w:r>
      <w:r>
        <w:fldChar w:fldCharType="separate"/>
      </w:r>
      <w:r w:rsidRPr="005900B9">
        <w:rPr>
          <w:noProof/>
        </w:rPr>
        <w:t>[3]</w:t>
      </w:r>
      <w:r>
        <w:fldChar w:fldCharType="end"/>
      </w:r>
      <w:r>
        <w:t xml:space="preserve"> and Müller and Garcia </w:t>
      </w:r>
      <w:r>
        <w:fldChar w:fldCharType="begin" w:fldLock="1"/>
      </w:r>
      <w:r>
        <w:instrText>ADDIN CSL_CITATION {"citationItems":[{"id":"ITEM-1","itemData":{"DOI":"10.1098/rsbl.2020.0417rsbl20200417","ISSN":"1744957X","PMID":"32842895","abstract":"Whereas ornithischian dinosaurs are well known from Jurassic and Cretaceous deposits, deciphering the origin and early evolution of the group remains one of the hardest challenges for palaeontologists. So far, there are no unequivocal records of ornithischians from Triassic beds. Here, we present an alternative evolutionary hypothesis that suggests consideration of traditional 'silesaurids' as a group of low-diversity clades representing a stem group leading to core ornithischians (i.e. unambiguous ornithischians, such as Heterodontosaurus tucki). This is particularly interesting because it fills most of the ghost lineages that emerge from the Triassic. Following the present hypothesis, the lineage that encompasses the Jurassic ornithischians evolved from 'silesaurids' during the Middle to early Late Triassic, while typical 'silesaurids' shared the land ecosystems with their relatives until the Late Triassic, when the group completely vanished. Therefore, Ornithischia changes from an obscure to a well-documented clade in the Triassic and is represented by records from Gondwana and Laurasia. Furthermore, according to the present hypothesis, Ornithischia was the first group of dinosaurs to adopt an omnivorous/herbivorous diet. However, this behaviour was achieved as a secondary step instead of an ancestral condition for ornithischians, as the earliest member of the clade is a faunivorous taxon. This pattern was subsequently followed by sauropodomorph dinosaurs. Indeed, the present scenario favours the independent acquisition of an herbivorous diet for ornithischians and sauropodomorphs during the Triassic, whereas the previous hypotheses suggested the independent acquisition for sauropodomorphs, ornithischians, and 'silesaurids'.","author":[{"dropping-particle":"","family":"Müller","given":"Rodrigo Temp","non-dropping-particle":"","parse-names":false,"suffix":""},{"dropping-particle":"","family":"Garcia","given":"Maurício Silva","non-dropping-particle":"","parse-names":false,"suffix":""}],"container-title":"Biology Letters","id":"ITEM-1","issue":"8","issued":{"date-parts":[["2020"]]},"title":"A paraphyletic 'Silesauridae' as an alternative hypothesis for the initial radiation of ornithischian dinosaurs: Early evolution of Ornithischia","type":"article-journal","volume":"16"},"uris":["http://www.mendeley.com/documents/?uuid=725695d5-307e-4cce-bebb-38e0e80a58a7"]}],"mendeley":{"formattedCitation":"[4]","plainTextFormattedCitation":"[4]","previouslyFormattedCitation":"[4]"},"properties":{"noteIndex":0},"schema":"https://github.com/citation-style-language/schema/raw/master/csl-citation.json"}</w:instrText>
      </w:r>
      <w:r>
        <w:fldChar w:fldCharType="separate"/>
      </w:r>
      <w:r w:rsidRPr="005900B9">
        <w:rPr>
          <w:noProof/>
        </w:rPr>
        <w:t>[4]</w:t>
      </w:r>
      <w:r>
        <w:fldChar w:fldCharType="end"/>
      </w:r>
      <w:r>
        <w:t xml:space="preserve">. Red circles indicate bipedality, yellow circles facultative bipedality and blue ones quadrupedality. AIC score of </w:t>
      </w:r>
      <w:r w:rsidR="00791CC7" w:rsidRPr="00791CC7">
        <w:rPr>
          <w:rFonts w:eastAsia="Times New Roman" w:cs="Times New Roman"/>
          <w:color w:val="000000"/>
          <w:lang w:val="de-CH"/>
        </w:rPr>
        <w:t>63.54</w:t>
      </w:r>
      <w:r w:rsidR="008A31F3">
        <w:t>.</w:t>
      </w:r>
    </w:p>
    <w:p w14:paraId="594E33E3" w14:textId="77777777" w:rsidR="00942229" w:rsidRPr="00AE5030" w:rsidRDefault="00942229"/>
    <w:p w14:paraId="72893687" w14:textId="74E11A3C" w:rsidR="00AE5030" w:rsidRDefault="00AE5030" w:rsidP="00AE5030">
      <w:pPr>
        <w:ind w:left="-567"/>
      </w:pPr>
      <w:r>
        <w:rPr>
          <w:noProof/>
          <w:lang w:eastAsia="en-GB"/>
        </w:rPr>
        <w:lastRenderedPageBreak/>
        <w:drawing>
          <wp:inline distT="0" distB="0" distL="0" distR="0" wp14:anchorId="51031766" wp14:editId="247E760C">
            <wp:extent cx="6660000" cy="5831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extLst>
                        <a:ext uri="{28A0092B-C50C-407E-A947-70E740481C1C}">
                          <a14:useLocalDpi xmlns:a14="http://schemas.microsoft.com/office/drawing/2010/main" val="0"/>
                        </a:ext>
                      </a:extLst>
                    </a:blip>
                    <a:stretch>
                      <a:fillRect/>
                    </a:stretch>
                  </pic:blipFill>
                  <pic:spPr>
                    <a:xfrm>
                      <a:off x="0" y="0"/>
                      <a:ext cx="6660000" cy="5831200"/>
                    </a:xfrm>
                    <a:prstGeom prst="rect">
                      <a:avLst/>
                    </a:prstGeom>
                  </pic:spPr>
                </pic:pic>
              </a:graphicData>
            </a:graphic>
          </wp:inline>
        </w:drawing>
      </w:r>
    </w:p>
    <w:p w14:paraId="0E0F4E0C" w14:textId="75A4B4E7" w:rsidR="005900B9" w:rsidRDefault="00AE5030" w:rsidP="005900B9">
      <w:r w:rsidRPr="00AE5030">
        <w:rPr>
          <w:b/>
          <w:bCs/>
        </w:rPr>
        <w:t>Supplementary Figure S</w:t>
      </w:r>
      <w:r w:rsidR="00942229">
        <w:rPr>
          <w:b/>
          <w:bCs/>
        </w:rPr>
        <w:t>7</w:t>
      </w:r>
      <w:r w:rsidRPr="00AE5030">
        <w:rPr>
          <w:b/>
          <w:bCs/>
        </w:rPr>
        <w:t xml:space="preserve">. </w:t>
      </w:r>
      <w:r w:rsidR="0011543B">
        <w:rPr>
          <w:b/>
          <w:bCs/>
        </w:rPr>
        <w:t>Time calibrated</w:t>
      </w:r>
      <w:r w:rsidRPr="00AE5030">
        <w:rPr>
          <w:b/>
          <w:bCs/>
        </w:rPr>
        <w:t xml:space="preserve"> ancestral state reconstruction of bipedality within Archosauria </w:t>
      </w:r>
      <w:r w:rsidR="005900B9">
        <w:rPr>
          <w:b/>
          <w:bCs/>
        </w:rPr>
        <w:t>for</w:t>
      </w:r>
      <w:r w:rsidRPr="00AE5030">
        <w:rPr>
          <w:b/>
          <w:bCs/>
        </w:rPr>
        <w:t xml:space="preserve"> the ‘</w:t>
      </w:r>
      <w:r w:rsidR="005900B9">
        <w:rPr>
          <w:b/>
          <w:bCs/>
        </w:rPr>
        <w:t>Nesbitt</w:t>
      </w:r>
      <w:r w:rsidRPr="00AE5030">
        <w:rPr>
          <w:b/>
          <w:bCs/>
        </w:rPr>
        <w:t xml:space="preserve"> tree’</w:t>
      </w:r>
      <w:r w:rsidR="00942229">
        <w:rPr>
          <w:b/>
          <w:bCs/>
        </w:rPr>
        <w:t xml:space="preserve"> for </w:t>
      </w:r>
      <w:proofErr w:type="gramStart"/>
      <w:r w:rsidR="00942229">
        <w:rPr>
          <w:b/>
          <w:bCs/>
        </w:rPr>
        <w:t>two character</w:t>
      </w:r>
      <w:proofErr w:type="gramEnd"/>
      <w:r w:rsidR="00942229">
        <w:rPr>
          <w:b/>
          <w:bCs/>
        </w:rPr>
        <w:t xml:space="preserve"> states</w:t>
      </w:r>
      <w:r w:rsidR="00525F2F">
        <w:rPr>
          <w:b/>
          <w:bCs/>
        </w:rPr>
        <w:t xml:space="preserve"> using an ‘equal rates’ model</w:t>
      </w:r>
      <w:r w:rsidRPr="00AE5030">
        <w:rPr>
          <w:b/>
          <w:bCs/>
        </w:rPr>
        <w:t xml:space="preserve">. </w:t>
      </w:r>
      <w:r>
        <w:t xml:space="preserve">The phylogenetic tree </w:t>
      </w:r>
      <w:r w:rsidR="008A31F3">
        <w:t>was</w:t>
      </w:r>
      <w:r>
        <w:t xml:space="preserve"> assembled based on Nesbitt </w:t>
      </w:r>
      <w:r>
        <w:fldChar w:fldCharType="begin" w:fldLock="1"/>
      </w:r>
      <w:r w:rsidR="00942229">
        <w:instrText>ADDIN CSL_CITATION {"citationItems":[{"id":"ITEM-1","itemData":{"DOI":"10.1206/352.1","ISSN":"0003-0090","abstract":"Archosaurs have a nearly 250 million year record that originated shortly after the {Permian-Triassic} extinction event and is continued today by two extant clades, the crocodylians and the avians. The two extant lineages exemplify two bauplan extremes among a diverse and complex evolutionary history, but little is known about the common ancestor of these lineages. Renewed interest in early archosaurs has led to nearly a doubling of the known taxa in the last 20~{years.This} study presents a thorough phylogenetic analysis of 80 species-level taxa ranging from the latest Permian to the early part of the Jurassic using a dataset of 412 characters. Each terminal taxon is explicitly described and all specimens used in the analysis are clearly stated. Additionally, each character is discussed in detail and nearly all of the character states are illustrated in either a drawing or highlighted on a specimen photograph. A combination of novel characters and comprehensive character sampling has bridged previously published analyses that focus on particular archosauriform {subclades.A} well-resolved, robustly supported consensus tree {(MPTs} = 360) found a monophyletic Archosauria consisting of two major branches, the crocodylian-line and avian-line lineages. The monophyly of clades such as Ornithosuchidae, Phytosauria, Aetosauria, Crocodylomorpha, and Dinosauria is supported in this analysis. However, phytosaurs are recovered as the closest sister taxon to Archosauria, rather than basal crocodylian-line archosaurs, for the first time. Among taxa classically termed as “rauisuchians,” a monophyletic poposauroid clade was found as the sister taxon to a group of paraphyletic “rauisuchians” and monophyletic crocodylomorphs. Hence, crocodylomorphs are well nested within a clade of “rauisuchians,” and are not more closely related to aetosaurs than to taxa such as Postosuchus. Basal crocodylomorphs such as Hesperosuchus and similar forms {(“Sphenosuchia”)} were found as a paraphyletic grade leading to the clade Crocodyliformes. Among avian-line archosaurs, Dinosauria is well supported. A monophyletic clade containing Silesaurus and similar forms is well supported as the sister taxon to Dinosauria. Pterosaurs are robustly supported at the base of the avian {line.A} time-calibrated phylogeny of Archosauriformes indicates that the origin and initial diversification of Archosauria occurred during the Early Triassic following the {Permian-Triassic} extinction. Furthermore, all…","author":[{"dropping-particle":"","family":"Nesbitt","given":"Sterling J.","non-dropping-particle":"","parse-names":false,"suffix":""}],"container-title":"Bulletin of the American Museum of Natural History","id":"ITEM-1","issued":{"date-parts":[["2011","4","29"]]},"page":"1-292","title":"The Early Evolution of Archosaurs: Relationships and the Origin of Major Clades","type":"article-journal","volume":"352"},"uris":["http://www.mendeley.com/documents/?uuid=30336d03-cd86-4163-8e71-f7235f602f42"]}],"mendeley":{"formattedCitation":"[5]","plainTextFormattedCitation":"[5]","previouslyFormattedCitation":"[5]"},"properties":{"noteIndex":0},"schema":"https://github.com/citation-style-language/schema/raw/master/csl-citation.json"}</w:instrText>
      </w:r>
      <w:r>
        <w:fldChar w:fldCharType="separate"/>
      </w:r>
      <w:r w:rsidR="005900B9" w:rsidRPr="005900B9">
        <w:rPr>
          <w:noProof/>
        </w:rPr>
        <w:t>[5]</w:t>
      </w:r>
      <w:r>
        <w:fldChar w:fldCharType="end"/>
      </w:r>
      <w:r>
        <w:t xml:space="preserve">, Nesbitt et al. </w:t>
      </w:r>
      <w:r>
        <w:fldChar w:fldCharType="begin" w:fldLock="1"/>
      </w:r>
      <w:r w:rsidR="00942229">
        <w:instrText>ADDIN CSL_CITATION {"citationItems":[{"id":"ITEM-1","itemData":{"DOI":"10.1038/nature22037","ISSN":"0028-0836","abstract":"The relationship between dinosaurs and other reptiles is well established1,2,3,4, but the sequence of acquisition of dinosaurian features has been obscured by the scarcity of fossils with transitional morphologies. The closest extinct relatives of dinosaurs either have highly derived morphologies5,6,7 or are known from poorly preserved8,9 or incomplete material10,11. Here we describe one of the stratigraphically lowest and phylogenetically earliest members of the avian stem lineage (Avemetatarsalia), Teleocrater rhadinus gen. et sp. nov., from the Middle Triassic epoch. The anatomy of T. rhadinus provides key information that unites several enigmatic taxa from across Pangaea into a previously unrecognized clade, Aphanosauria. This clade is the sister taxon of Ornithodira (pterosaurs and birds) and shortens the ghost lineage inferred at the base of Avemetatarsalia. We demonstrate that several anatomical features long thought to characterize Dinosauria and dinosauriforms evolved much earlier, soon after the bird–crocodylian split, and that the earliest avemetatarsalians retained the crocodylian-like ankle morphology and hindlimb proportions of stem archosaurs and early pseudosuchians. Early avemetatarsalians were substantially more species-rich, widely geographically distributed and morphologically diverse than previously recognized. Moreover, several early dinosauromorphs that were previously used as models to understand dinosaur origins may represent specialized forms rather than the ancestral avemetatarsalian morphology.","author":[{"dropping-particle":"","family":"Nesbitt","given":"Sterling J.","non-dropping-particle":"","parse-names":false,"suffix":""},{"dropping-particle":"","family":"Butler","given":"Richard J.","non-dropping-particle":"","parse-names":false,"suffix":""},{"dropping-particle":"","family":"Ezcurra","given":"Martín D.","non-dropping-particle":"","parse-names":false,"suffix":""},{"dropping-particle":"","family":"Barrett","given":"Paul M.","non-dropping-particle":"","parse-names":false</w:instrText>
      </w:r>
      <w:r w:rsidR="00942229" w:rsidRPr="00942229">
        <w:rPr>
          <w:lang w:val="de-CH"/>
        </w:rPr>
        <w:instrText>,"suffix":""},{"dropping-particle":"","family":"Stocker","given":"Michelle R.","non-dropping-particle":"","parse-names":false,"suffix":""},{"dropping-particle":"","family":"Angielczyk","given":"Kenneth D.","non-dropping-particle":"","parse-names":false,"suffix":""},{"dropping-particle":"","family":"Smith","given":"Roger M. H.","non-dropping-particle":"","parse-names":false,"suffix":""},{"dropping-particle":"","family":"Sidor","given":"Christian A.","non-dropping-particle":"","parse-names":false,"suffix":""},{"dropping-particle":"","family":"Niedźwiedzki","given":"Grzegorz","non-dropping-particle":"","parse-names":false,"suffix":""},{"dropping-particle":"","family":"Sennikov","given":"Andrey G.","non-dropping-particle":"","parse-names":false,"suffix":""},{"dropping-particle":"","family":"Charig","given":"Alan J.","non-dropping-particle":"","parse-names":false,"suffix":""}],"container-title":"Nature","id":"ITEM-1","issue":"7651","issued":{"date-parts":[["2017","4","12"]]},"note":"10.1038/nature22037","page":"484-487","publisher":"nature","title":"The earliest bird-line archosaurs and the assembly of the dinosaur body plan","type":"article-journal","volume":"544"},"uris":["http://www.mendeley.com/documents/?uuid=ffb340a9-b85e-449b-beca-083a472eb790"]}],"mendeley":{"formattedCitation":"[6]","plainTextFormattedCitation":"[6]","previouslyFormattedCitation":"[6]"},"properties":{"noteIndex":0},"schema":"https://github.com/citation-style-language/schema/raw/master/csl-citation.json"}</w:instrText>
      </w:r>
      <w:r>
        <w:fldChar w:fldCharType="separate"/>
      </w:r>
      <w:r w:rsidR="005900B9" w:rsidRPr="00942229">
        <w:rPr>
          <w:noProof/>
          <w:lang w:val="de-CH"/>
        </w:rPr>
        <w:t>[6]</w:t>
      </w:r>
      <w:r>
        <w:fldChar w:fldCharType="end"/>
      </w:r>
      <w:r w:rsidRPr="00942229">
        <w:rPr>
          <w:lang w:val="de-CH"/>
        </w:rPr>
        <w:t>, v</w:t>
      </w:r>
      <w:r w:rsidR="005900B9" w:rsidRPr="00942229">
        <w:rPr>
          <w:lang w:val="de-CH"/>
        </w:rPr>
        <w:t>o</w:t>
      </w:r>
      <w:r w:rsidRPr="00942229">
        <w:rPr>
          <w:lang w:val="de-CH"/>
        </w:rPr>
        <w:t xml:space="preserve">n </w:t>
      </w:r>
      <w:proofErr w:type="spellStart"/>
      <w:r w:rsidRPr="00942229">
        <w:rPr>
          <w:lang w:val="de-CH"/>
        </w:rPr>
        <w:t>Baczko</w:t>
      </w:r>
      <w:proofErr w:type="spellEnd"/>
      <w:r w:rsidRPr="00942229">
        <w:rPr>
          <w:lang w:val="de-CH"/>
        </w:rPr>
        <w:t xml:space="preserve"> et al. </w:t>
      </w:r>
      <w:r>
        <w:fldChar w:fldCharType="begin" w:fldLock="1"/>
      </w:r>
      <w:r w:rsidR="00942229" w:rsidRPr="00942229">
        <w:rPr>
          <w:lang w:val="de-CH"/>
        </w:rPr>
        <w:instrText>ADDIN CSL_CITATION {"citationItems":[{"id":"ITEM-1","itemData":{"DOI":"10.1080/02724634.2019.1693396","ISSN":"0272-4634","author":[{"dropping-particle":"von","family":"Baczko","given":"M. Belén","non-dropping-particle":"","parse-names":false,"suffix":""},{"dropping-particle":"","family":"Desojo","given":"Julia B.","non-dropping-particle":"","parse-names":false,"suffix":""},{"dropping-particle":"","family":"Ponce","given":"Denis","non-dropping-particle":"","parse-names":false,"suffix":""}],"container-title":"Journal of Vertebrate Paleontology","id":"ITEM-1","issue":"5","issued":{"date-parts":[["2020","2","5"]]},"page":"e1693396","publisher":"Taylor &amp; Francis","title":"Postcranial anatomy and osteoderm histology of Riojasuchus tenuisceps and a phylogenetic update on Ornithosuchidae (Archosauria, Pseudosuchia)","type":"article-journal","volume":"39"},"uris":["http://www.mendeley.com/documents/?uuid=9fc92d2f-199a-4393-8985-464e80fb263c"]}],"mendeley":{"formattedCitation":"[7]","plainTextFormattedCitation":"[7]","previouslyFormattedCitation":"[7]"},"properties":{"noteIndex":0},"schema":"https://github.com/citation-style-language/schema/raw/master/csl-citation.json"}</w:instrText>
      </w:r>
      <w:r>
        <w:fldChar w:fldCharType="separate"/>
      </w:r>
      <w:r w:rsidR="005900B9" w:rsidRPr="00942229">
        <w:rPr>
          <w:noProof/>
          <w:lang w:val="de-CH"/>
        </w:rPr>
        <w:t>[7]</w:t>
      </w:r>
      <w:r>
        <w:fldChar w:fldCharType="end"/>
      </w:r>
      <w:r w:rsidR="00942229" w:rsidRPr="00942229">
        <w:rPr>
          <w:lang w:val="de-CH"/>
        </w:rPr>
        <w:t>,</w:t>
      </w:r>
      <w:r w:rsidRPr="00942229">
        <w:rPr>
          <w:lang w:val="de-CH"/>
        </w:rPr>
        <w:t xml:space="preserve"> </w:t>
      </w:r>
      <w:proofErr w:type="spellStart"/>
      <w:r w:rsidRPr="00942229">
        <w:rPr>
          <w:lang w:val="de-CH"/>
        </w:rPr>
        <w:t>Ezcurra</w:t>
      </w:r>
      <w:proofErr w:type="spellEnd"/>
      <w:r w:rsidRPr="00942229">
        <w:rPr>
          <w:lang w:val="de-CH"/>
        </w:rPr>
        <w:t xml:space="preserve"> et al. </w:t>
      </w:r>
      <w:r>
        <w:fldChar w:fldCharType="begin" w:fldLock="1"/>
      </w:r>
      <w:r w:rsidR="00942229" w:rsidRPr="00942229">
        <w:rPr>
          <w:lang w:val="de-CH"/>
        </w:rPr>
        <w:instrText>ADDIN CSL_CITATION {"citationItems":[{"id":"ITEM-1","itemData":{"DOI":"10.1038/s41586-020-3011-4","ISSN":"0028-0836","author":[{"dropping-particle":"","family":"Ezcurra","given":"Martín D.","non-dropping-particle":"","parse-names":false,"suffix":""},{"dropping-particle":"","family":"Nesbitt","given":"Sterling J.","non-dropping-particle":"","parse-names":false,"suffix":""},{"dropping-particle":"","family":"Bronzati","given":"Mario","non-dropping-particle":"","parse-names":false,"suffix":""},{"dropping-particle":"","family":"Dalla Vecchia","given":"Fabio Marco","non-dropping-particle":"","parse-names":false,"suffix":""},{"dropping-particle":"","family":"Agnolin","given":"Federico L.","non-dropping-particle":"","parse-names":false,"suffix":""},{"dropping-particle":"","family":"Benson","given":"Roger B. J.","non-dropping-particle":"","parse-names":false,"suffix":""},{"dropping-particle":"","family":"Brissón Egli","given":"Federico","non-dropping-particle":"","parse-names":false,"suffix":""},{"dropping-particle":"","family":"Cabreira","given":"Sergio F.","non-dropping-particle":"","parse-names":false,"suffix":""},{"dropping-particle":"","family":"Evers","given":"Serjoscha W.","non-dropping-particle":"","parse-names":false,"suffix":""},{"dropping-particle":"","family":"Gentil","given":"Adriel R.","non-dropping-particle":"","parse-names":false,"suffix":""},{"dropping-particle":"","family":"Irmis","given":"Randall B.","non-dropping-particle":"","parse-names":false,"suffix":""},{"dropping-particle":"","family":"Martinelli","given":"Agustín G.","non-dropping-particle":"","parse-names":false,"suffix":""},{"dropping-particle":"","family":"Novas","given":"Fernando E.","non-dropping-particle":"","parse-names":false,"suffix":""},{"dropping-particle":"","family":"Roberto da Silva","given":"Lúcio","non-dropping-particle":"","parse-names":false,"suffix":""},{"dropping-particle":"","family":"Smith","given":"Nathan D.","non-dropping-particle":"","parse-names":false,"suffix":""},{"dropping-particle":"","family":"Stocker","given":"Michelle R.","non-dropping-particle":"","parse-names":false,"suffix":""},{"dropping-particle":"","family":"Turner","given":"Alan H.","non-dropping-particle":"","parse-names":false,"suffix":""},{"dropping-particle":"","family":"Langer","given":"Max C.","non-dropping-particle":"","parse-names":false,"suffix":""}],"container-title":"Nature","id":"ITEM-1","issue":"7838","issued":{"date-parts":[["2020","12","17"]]},"page":"445-449","title":"Enigmatic dinosaur precursors bridge the gap to the origin of Pterosauria","type":"article-journal","volume":"588"},"uris":["http://www.mendeley.com/documents/?uuid=ed73183a-f072-4880-940f-5d28fb55097a"]}],"mendeley":{"formattedCitation":"[8]","plainTextFormattedCitation":"[8]","previouslyFormattedCitation":"[8]"},"properties":{"noteIndex":0},"schema":"https://github.com/citation-style-language/schema/raw/master/csl-citation.json"}</w:instrText>
      </w:r>
      <w:r>
        <w:fldChar w:fldCharType="separate"/>
      </w:r>
      <w:r w:rsidR="005900B9" w:rsidRPr="00942229">
        <w:rPr>
          <w:noProof/>
          <w:lang w:val="de-CH"/>
        </w:rPr>
        <w:t>[8]</w:t>
      </w:r>
      <w:r>
        <w:fldChar w:fldCharType="end"/>
      </w:r>
      <w:r w:rsidR="00942229" w:rsidRPr="00942229">
        <w:rPr>
          <w:lang w:val="de-CH"/>
        </w:rPr>
        <w:t xml:space="preserve"> and </w:t>
      </w:r>
      <w:proofErr w:type="spellStart"/>
      <w:r w:rsidR="00942229" w:rsidRPr="00942229">
        <w:rPr>
          <w:lang w:val="de-CH"/>
        </w:rPr>
        <w:t>Foffa</w:t>
      </w:r>
      <w:proofErr w:type="spellEnd"/>
      <w:r w:rsidR="00942229" w:rsidRPr="00942229">
        <w:rPr>
          <w:lang w:val="de-CH"/>
        </w:rPr>
        <w:t xml:space="preserve"> et al. </w:t>
      </w:r>
      <w:r w:rsidR="00942229">
        <w:fldChar w:fldCharType="begin" w:fldLock="1"/>
      </w:r>
      <w:r w:rsidR="003C4BE0">
        <w:rPr>
          <w:lang w:val="de-CH"/>
        </w:rPr>
        <w:instrText>ADDIN CSL_CITATION {"citationItems":[{"id":"ITEM-1","itemData":{"DOI":"10.1038/s41586-022-05284-x","ISSN":"0028-0836","PMID":"36198797","abstract":"Pterosaurs, the first vertebrates to evolve powered flight, were key components of Mesozoic terrestrial ecosystems from their sudden appearance in the Late Triassic until their demise at the end of the Cretaceous1–6. However, the origin and early evolution of pterosaurs are poorly understood owing to a substantial stratigraphic and morphological gap between these reptiles and their closest relatives6, Lagerpetidae7. Scleromochlus taylori, a tiny reptile from the early Late Triassic of Scotland discovered over a century ago, was hypothesized to be a key taxon closely related to pterosaurs8, but its poor preservation has limited previous studies and resulted in controversy over its phylogenetic position, with some even doubting its identification as an archosaur9. Here we use microcomputed tomographic scans to provide the first accurate whole-skeletal reconstruction and a revised diagnosis of Scleromochlus, revealing new anatomical details that conclusively identify it as a close pterosaur relative1 within Pterosauromorpha (the lagerpetid + pterosaur clade). Scleromochlus is anatomically more similar to lagerpetids than to pterosaurs and retains numerous features that were probably present in very early diverging members of Avemetatarsalia (bird-line archosaurs). These results support the hypothesis that the first flying reptiles evolved from tiny, probably facultatively bipedal, cursorial ancestors1.","author":[{"dropping-particle":"","family":"Foffa","given":"Davide","non-dropping-particle":"","parse-names":false,"suffix":""},{"dropping-particle":"","family":"Dunne","given":"Emma M.","non-dropping-particle":"","parse-names":false,"suffix":""},{"dropping-particle":"","family":"Nesbitt","given":"Sterling J.","non-dropping-particle":"","parse-names":false,"suffix":""},{"dropping-particle":"","family":"Butler","given":"Richard J.","non-dropping-particle":"","parse-names":false,"suffix":""},{"dropping-particle":"","family":"Fraser","given":"Nicholas C.","non-dropping-particle":"","parse-names":false,"suffix":""},{"dropping-particle":"","family":"Brusatte","given":"Stephen L.","non-dropping-particle":"","parse-names":false,"suffix":""},{"dropping-particle":"","family":"Farnsworth","given":"Alexander","non-dropping-particle":"","parse-names":false,"suffix":""},{"dropping-particle":"","family":"Lunt","given":"Daniel J.","non-dropping-particle":"","parse-names":false,"suffix":""},{"dropping-particle":"","family":"Valdes","given":"Paul J.","non-dropping-particle":"","parse-names":false,"suffix":""},{"dropping-particle":"","family":"Walsh","given":"Stig","non-dropping-particle":"","parse-names":false,"suffix":""},{"dropping-particle":"","family":"Barrett","given":"Paul M.","non-dropping-particle":"","parse-names":false,"suffix":""}],"container-title":"Nature","id":"ITEM-1","issue":"7931","issued":{"date-parts":[["2022","10","13"]]},"page":"313-318","title":"Scleromochlus and the early evolution of Pterosauromorpha","type":"article-journal","volume":"610"},"uris":["http://www.mendeley.com/documents/?uuid=af4ab1be-fc27-4b02-9399-45b6e438b0fd"]}],"mendeley":{"formattedCitation":"[9]","plainTextFormattedCitation":"[9]","previouslyFormattedCitation":"[9]"},"properties":{"noteIndex":0},"schema":"https://github.com/citation-style-language/schema/raw/master/csl-citation.json"}</w:instrText>
      </w:r>
      <w:r w:rsidR="00942229">
        <w:fldChar w:fldCharType="separate"/>
      </w:r>
      <w:r w:rsidR="00942229" w:rsidRPr="00942229">
        <w:rPr>
          <w:noProof/>
        </w:rPr>
        <w:t>[9]</w:t>
      </w:r>
      <w:r w:rsidR="00942229">
        <w:fldChar w:fldCharType="end"/>
      </w:r>
      <w:r w:rsidR="00942229">
        <w:t>.</w:t>
      </w:r>
      <w:r w:rsidR="005900B9">
        <w:t xml:space="preserve"> Red circles indicate bipedality and blue ones quadrupedality.</w:t>
      </w:r>
      <w:r w:rsidR="00942229">
        <w:t xml:space="preserve"> AIC score of </w:t>
      </w:r>
      <w:r w:rsidR="00942229" w:rsidRPr="00942229">
        <w:t>49.69</w:t>
      </w:r>
      <w:r w:rsidR="00942229">
        <w:t>.</w:t>
      </w:r>
    </w:p>
    <w:p w14:paraId="2B80CD24" w14:textId="77777777" w:rsidR="00942229" w:rsidRDefault="00942229" w:rsidP="00942229">
      <w:pPr>
        <w:ind w:left="-567"/>
      </w:pPr>
      <w:r>
        <w:rPr>
          <w:noProof/>
          <w:lang w:eastAsia="en-GB"/>
        </w:rPr>
        <w:lastRenderedPageBreak/>
        <w:drawing>
          <wp:inline distT="0" distB="0" distL="0" distR="0" wp14:anchorId="57F1AA61" wp14:editId="1DF66803">
            <wp:extent cx="6660000" cy="5831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a:extLst>
                        <a:ext uri="{28A0092B-C50C-407E-A947-70E740481C1C}">
                          <a14:useLocalDpi xmlns:a14="http://schemas.microsoft.com/office/drawing/2010/main" val="0"/>
                        </a:ext>
                      </a:extLst>
                    </a:blip>
                    <a:stretch>
                      <a:fillRect/>
                    </a:stretch>
                  </pic:blipFill>
                  <pic:spPr>
                    <a:xfrm>
                      <a:off x="0" y="0"/>
                      <a:ext cx="6660000" cy="5831200"/>
                    </a:xfrm>
                    <a:prstGeom prst="rect">
                      <a:avLst/>
                    </a:prstGeom>
                  </pic:spPr>
                </pic:pic>
              </a:graphicData>
            </a:graphic>
          </wp:inline>
        </w:drawing>
      </w:r>
    </w:p>
    <w:p w14:paraId="074AB440" w14:textId="6817D27E" w:rsidR="00942229" w:rsidRPr="00AE5030" w:rsidRDefault="00942229" w:rsidP="00942229">
      <w:r w:rsidRPr="00AE5030">
        <w:rPr>
          <w:b/>
          <w:bCs/>
        </w:rPr>
        <w:t>Supplementary Figure S</w:t>
      </w:r>
      <w:r>
        <w:rPr>
          <w:b/>
          <w:bCs/>
        </w:rPr>
        <w:t>8</w:t>
      </w:r>
      <w:r w:rsidRPr="00AE5030">
        <w:rPr>
          <w:b/>
          <w:bCs/>
        </w:rPr>
        <w:t xml:space="preserve">. </w:t>
      </w:r>
      <w:r>
        <w:rPr>
          <w:b/>
          <w:bCs/>
        </w:rPr>
        <w:t>Time calibrated</w:t>
      </w:r>
      <w:r w:rsidRPr="00AE5030">
        <w:rPr>
          <w:b/>
          <w:bCs/>
        </w:rPr>
        <w:t xml:space="preserve"> ancestral state reconstruction of bipedality within Archosauria </w:t>
      </w:r>
      <w:r>
        <w:rPr>
          <w:b/>
          <w:bCs/>
        </w:rPr>
        <w:t>for</w:t>
      </w:r>
      <w:r w:rsidRPr="00AE5030">
        <w:rPr>
          <w:b/>
          <w:bCs/>
        </w:rPr>
        <w:t xml:space="preserve"> the ‘</w:t>
      </w:r>
      <w:r>
        <w:rPr>
          <w:b/>
          <w:bCs/>
        </w:rPr>
        <w:t>Nesbitt</w:t>
      </w:r>
      <w:r w:rsidRPr="00AE5030">
        <w:rPr>
          <w:b/>
          <w:bCs/>
        </w:rPr>
        <w:t xml:space="preserve"> tree’</w:t>
      </w:r>
      <w:r>
        <w:rPr>
          <w:b/>
          <w:bCs/>
        </w:rPr>
        <w:t xml:space="preserve"> for </w:t>
      </w:r>
      <w:proofErr w:type="gramStart"/>
      <w:r>
        <w:rPr>
          <w:b/>
          <w:bCs/>
        </w:rPr>
        <w:t>three character</w:t>
      </w:r>
      <w:proofErr w:type="gramEnd"/>
      <w:r>
        <w:rPr>
          <w:b/>
          <w:bCs/>
        </w:rPr>
        <w:t xml:space="preserve"> states</w:t>
      </w:r>
      <w:r w:rsidR="00525F2F">
        <w:rPr>
          <w:b/>
          <w:bCs/>
        </w:rPr>
        <w:t xml:space="preserve"> using an ‘all rates different’ model</w:t>
      </w:r>
      <w:r w:rsidRPr="00AE5030">
        <w:rPr>
          <w:b/>
          <w:bCs/>
        </w:rPr>
        <w:t xml:space="preserve">. </w:t>
      </w:r>
      <w:r>
        <w:t xml:space="preserve">The phylogenetic tree </w:t>
      </w:r>
      <w:r w:rsidR="008A31F3">
        <w:t>was</w:t>
      </w:r>
      <w:r>
        <w:t xml:space="preserve"> assembled based on Nesbitt </w:t>
      </w:r>
      <w:r>
        <w:fldChar w:fldCharType="begin" w:fldLock="1"/>
      </w:r>
      <w:r>
        <w:instrText>ADDIN CSL_CITATION {"citationItems":[{"id":"ITEM-1","itemData":{"DOI":"10.1206/352.1","ISSN":"0003-0090","abstract":"Archosaurs have a nearly 250 million year record that originated shortly after the {Permian-Triassic} extinction event and is continued today by two extant clades, the crocodylians and the avians. The two extant lineages exemplify two bauplan extremes among a diverse and complex evolutionary history, but little is known about the common ancestor of these lineages. Renewed interest in early archosaurs has led to nearly a doubling of the known taxa in the last 20~{years.This} study presents a thorough phylogenetic analysis of 80 species-level taxa ranging from the latest Permian to the early part of the Jurassic using a dataset of 412 characters. Each terminal taxon is explicitly described and all specimens used in the analysis are clearly stated. Additionally, each character is discussed in detail and nearly all of the character states are illustrated in either a drawing or highlighted on a specimen photograph. A combination of novel characters and comprehensive character sampling has bridged previously published analyses that focus on particular archosauriform {subclades.A} well-resolved, robustly supported consensus tree {(MPTs} = 360) found a monophyletic Archosauria consisting of two major branches, the crocodylian-line and avian-line lineages. The monophyly of clades such as Ornithosuchidae, Phytosauria, Aetosauria, Crocodylomorpha, and Dinosauria is supported in this analysis. However, phytosaurs are recovered as the closest sister taxon to Archosauria, rather than basal crocodylian-line archosaurs, for the first time. Among taxa classically termed as “rauisuchians,” a monophyletic poposauroid clade was found as the sister taxon to a group of paraphyletic “rauisuchians” and monophyletic crocodylomorphs. Hence, crocodylomorphs are well nested within a clade of “rauisuchians,” and are not more closely related to aetosaurs than to taxa such as Postosuchus. Basal crocodylomorphs such as Hesperosuchus and similar forms {(“Sphenosuchia”)} were found as a paraphyletic grade leading to the clade Crocodyliformes. Among avian-line archosaurs, Dinosauria is well supported. A monophyletic clade containing Silesaurus and similar forms is well supported as the sister taxon to Dinosauria. Pterosaurs are robustly supported at the base of the avian {line.A} time-calibrated phylogeny of Archosauriformes indicates that the origin and initial diversification of Archosauria occurred during the Early Triassic following the {Permian-Triassic} extinction. Furthermore, all…","author":[{"dropping-particle":"","family":"Nesbitt","given":"Sterling J.","non-dropping-particle":"","parse-names":false,"suffix":""}],"container-title":"Bulletin of the American Museum of Natural History","id":"ITEM-1","issued":{"date-parts":[["2011","4","29"]]},"page":"1-292","title":"The Early Evolution of Archosaurs: Relationships and the Origin of Major Clades","type":"article-journal","volume":"352"},"uris":["http://www.mendeley.com/documents/?uuid=30336d03-cd86-4163-8e71-f7235f602f42"]}],"mendeley":{"formattedCitation":"[5]","plainTextFormattedCitation":"[5]","previouslyFormattedCitation":"[5]"},"properties":{"noteIndex":0},"schema":"https://github.com/citation-style-language/schema/raw/master/csl-citation.json"}</w:instrText>
      </w:r>
      <w:r>
        <w:fldChar w:fldCharType="separate"/>
      </w:r>
      <w:r w:rsidRPr="005900B9">
        <w:rPr>
          <w:noProof/>
        </w:rPr>
        <w:t>[5]</w:t>
      </w:r>
      <w:r>
        <w:fldChar w:fldCharType="end"/>
      </w:r>
      <w:r>
        <w:t xml:space="preserve">, Nesbitt et al. </w:t>
      </w:r>
      <w:r>
        <w:fldChar w:fldCharType="begin" w:fldLock="1"/>
      </w:r>
      <w:r>
        <w:instrText>ADDIN CSL_CITATION {"citationItems":[{"id":"ITEM-1","itemData":{"DOI":"10.1038/nature22037","ISSN":"0028-0836","abstract":"The relationship between dinosaurs and other reptiles is well established1,2,3,4, but the sequence of acquisition of dinosaurian features has been obscured by the scarcity of fossils with transitional morphologies. The closest extinct relatives of dinosaurs either have highly derived morphologies5,6,7 or are known from poorly preserved8,9 or incomplete material10,11. Here we describe one of the stratigraphically lowest and phylogenetically earliest members of the avian stem lineage (Avemetatarsalia), Teleocrater rhadinus gen. et sp. nov., from the Middle Triassic epoch. The anatomy of T. rhadinus provides key information that unites several enigmatic taxa from across Pangaea into a previously unrecognized clade, Aphanosauria. This clade is the sister taxon of Ornithodira (pterosaurs and birds) and shortens the ghost lineage inferred at the base of Avemetatarsalia. We demonstrate that several anatomical features long thought to characterize Dinosauria and dinosauriforms evolved much earlier, soon after the bird–crocodylian split, and that the earliest avemetatarsalians retained the crocodylian-like ankle morphology and hindlimb proportions of stem archosaurs and early pseudosuchians. Early avemetatarsalians were substantially more species-rich, widely geographically distributed and morphologically diverse than previously recognized. Moreover, several early dinosauromorphs that were previously used as models to understand dinosaur origins may represent specialized forms rather than the ancestral avemetatarsalian morphology.","author":[{"dropping-particle":"","family":"Nesbitt","given":"Sterling J.","non-dropping-particle":"","parse-names":false,"suffix":""},{"dropping-particle":"","family":"Butler","given":"Richard J.","non-dropping-particle":"","parse-names":false,"suffix":""},{"dropping-particle":"","family":"Ezcurra","given":"Martín D.","non-dropping-particle":"","parse-names":false,"suffix":""},{"dropping-particle":"","family":"Barrett","given":"Paul M.","non-dropping-particle":"","parse-names":false</w:instrText>
      </w:r>
      <w:r w:rsidRPr="00942229">
        <w:rPr>
          <w:lang w:val="de-CH"/>
        </w:rPr>
        <w:instrText>,"suffix":""},{"dropping-particle":"","family":"Stocker","given":"Michelle R.","non-dropping-particle":"","parse-names":false,"suffix":""},{"dropping-particle":"","family":"Angielczyk","given":"Kenneth D.","non-dropping-particle":"","parse-names":false,"suffix":""},{"dropping-particle":"","family":"Smith","given":"Roger M. H.","non-dropping-particle":"","parse-names":false,"suffix":""},{"dropping-particle":"","family":"Sidor","given":"Christian A.","non-dropping-particle":"","parse-names":false,"suffix":""},{"dropping-particle":"","family":"Niedźwiedzki","given":"Grzegorz","non-dropping-particle":"","parse-names":false,"suffix":""},{"dropping-particle":"","family":"Sennikov","given":"Andrey G.","non-dropping-particle":"","parse-names":false,"suffix":""},{"dropping-particle":"","family":"Charig","given":"Alan J.","non-dropping-particle":"","parse-names":false,"suffix":""}],"container-title":"Nature","id":"ITEM-1","issue":"7651","issued":{"date-parts":[["2017","4","12"]]},"note":"10.1038/nature22037","page":"484-487","publisher":"nature","title":"The earliest bird-line archosaurs and the assembly of the dinosaur body plan","type":"article-journal","volume":"544"},"uris":["http://www.mendeley.com/documents/?uuid=ffb340a9-b85e-449b-beca-083a472eb790"]}],"mendeley":{"formattedCitation":"[6]","plainTextFormattedCitation":"[6]","previouslyFormattedCitation":"[6]"},"properties":{"noteIndex":0},"schema":"https://github.com/citation-style-language/schema/raw/master/csl-citation.json"}</w:instrText>
      </w:r>
      <w:r>
        <w:fldChar w:fldCharType="separate"/>
      </w:r>
      <w:r w:rsidRPr="00942229">
        <w:rPr>
          <w:noProof/>
          <w:lang w:val="de-CH"/>
        </w:rPr>
        <w:t>[6]</w:t>
      </w:r>
      <w:r>
        <w:fldChar w:fldCharType="end"/>
      </w:r>
      <w:r w:rsidRPr="00942229">
        <w:rPr>
          <w:lang w:val="de-CH"/>
        </w:rPr>
        <w:t xml:space="preserve">, von </w:t>
      </w:r>
      <w:proofErr w:type="spellStart"/>
      <w:r w:rsidRPr="00942229">
        <w:rPr>
          <w:lang w:val="de-CH"/>
        </w:rPr>
        <w:t>Baczko</w:t>
      </w:r>
      <w:proofErr w:type="spellEnd"/>
      <w:r w:rsidRPr="00942229">
        <w:rPr>
          <w:lang w:val="de-CH"/>
        </w:rPr>
        <w:t xml:space="preserve"> et al. </w:t>
      </w:r>
      <w:r>
        <w:fldChar w:fldCharType="begin" w:fldLock="1"/>
      </w:r>
      <w:r w:rsidRPr="00942229">
        <w:rPr>
          <w:lang w:val="de-CH"/>
        </w:rPr>
        <w:instrText>ADDIN CSL_CITATION {"citationItems":[{"id":"ITEM-1","itemData":{"DOI":"10.1080/02724634.2019.1693396","ISSN":"0272-4634","author":[{"dropping-particle":"von","family":"Baczko","given":"M. Belén","non-dropping-particle":"","parse-names":false,"suffix":""},{"dropping-particle":"","family":"Desojo","given":"Julia B.","non-dropping-particle":"","parse-names":false,"suffix":""},{"dropping-particle":"","family":"Ponce","given":"Denis","non-dropping-particle":"","parse-names":false,"suffix":""}],"container-title":"Journal of Vertebrate Paleontology","id":"ITEM-1","issue":"5","issued":{"date-parts":[["2020","2","5"]]},"page":"e1693396","publisher":"Taylor &amp; Francis","title":"Postcranial anatomy and osteoderm histology of Riojasuchus tenuisceps and a phylogenetic update on Ornithosuchidae (Archosauria, Pseudosuchia)","type":"article-journal","volume":"39"},"uris":["http://www.mendeley.com/documents/?uuid=9fc92d2f-199a-4393-8985-464e80fb263c"]}],"mendeley":{"formattedCitation":"[7]","plainTextFormattedCitation":"[7]","previouslyFormattedCitation":"[7]"},"properties":{"noteIndex":0},"schema":"https://github.com/citation-style-language/schema/raw/master/csl-citation.json"}</w:instrText>
      </w:r>
      <w:r>
        <w:fldChar w:fldCharType="separate"/>
      </w:r>
      <w:r w:rsidRPr="00942229">
        <w:rPr>
          <w:noProof/>
          <w:lang w:val="de-CH"/>
        </w:rPr>
        <w:t>[7]</w:t>
      </w:r>
      <w:r>
        <w:fldChar w:fldCharType="end"/>
      </w:r>
      <w:r w:rsidRPr="00942229">
        <w:rPr>
          <w:lang w:val="de-CH"/>
        </w:rPr>
        <w:t xml:space="preserve">, </w:t>
      </w:r>
      <w:proofErr w:type="spellStart"/>
      <w:r w:rsidRPr="00942229">
        <w:rPr>
          <w:lang w:val="de-CH"/>
        </w:rPr>
        <w:t>Ezcurra</w:t>
      </w:r>
      <w:proofErr w:type="spellEnd"/>
      <w:r w:rsidRPr="00942229">
        <w:rPr>
          <w:lang w:val="de-CH"/>
        </w:rPr>
        <w:t xml:space="preserve"> et al. </w:t>
      </w:r>
      <w:r>
        <w:fldChar w:fldCharType="begin" w:fldLock="1"/>
      </w:r>
      <w:r w:rsidRPr="00942229">
        <w:rPr>
          <w:lang w:val="de-CH"/>
        </w:rPr>
        <w:instrText>ADDIN CSL_CITATION {"citationItems":[{"id":"ITEM-1","itemData":{"DOI":"10.1038/s41586-020-3011-4","ISSN":"0028-0836","author":[{"dropping-particle":"","family":"Ezcurra","given":"Martín D.","non-dropping-particle":"","parse-names":false,"suffix":""},{"dropping-particle":"","family":"Nesbitt","given":"Sterling J.","non-dropping-particle":"","parse-names":false,"suffix":""},{"dropping-particle":"","family":"Bronzati","given":"Mario","non-dropping-particle":"","parse-names":false,"suffix":""},{"dropping-particle":"","family":"Dalla Vecchia","given":"Fabio Marco","non-dropping-particle":"","parse-names":false,"suffix":""},{"dropping-particle":"","family":"Agnolin","given":"Federico L.","non-dropping-particle":"","parse-names":false,"suffix":""},{"dropping-particle":"","family":"Benson","given":"Roger B. J.","non-dropping-particle":"","parse-names":false,"suffix":""},{"dropping-particle":"","family":"Brissón Egli","given":"Federico","non-dropping-particle":"","parse-names":false,"suffix":""},{"dropping-particle":"","family":"Cabreira","given":"Sergio F.","non-dropping-particle":"","parse-names":false,"suffix":""},{"dropping-particle":"","family":"Evers","given":"Serjoscha W.","non-dropping-particle":"","parse-names":false,"suffix":""},{"dropping-particle":"","family":"Gentil","given":"Adriel R.","non-dropping-particle":"","parse-names":false,"suffix":""},{"dropping-particle":"","family":"Irmis","given":"Randall B.","non-dropping-particle":"","parse-names":false,"suffix":""},{"dropping-particle":"","family":"Martinelli","given":"Agustín G.","non-dropping-particle":"","parse-names":false,"suffix":""},{"dropping-particle":"","family":"Novas","given":"Fernando E.","non-dropping-particle":"","parse-names":false,"suffix":""},{"dropping-particle":"","family":"Roberto da Silva","given":"Lúcio","non-dropping-particle":"","parse-names":false,"suffix":""},{"dropping-particle":"","family":"Smith","given":"Nathan D.","non-dropping-particle":"","parse-names":false,"suffix":""},{"dropping-particle":"","family":"Stocker","given":"Michelle R.","non-dropping-particle":"","parse-names":false,"suffix":""},{"dropping-particle":"","family":"Turner","given":"Alan H.","non-dropping-particle":"","parse-names":false,"suffix":""},{"dropping-particle":"","family":"Langer","given":"Max C.","non-dropping-particle":"","parse-names":false,"suffix":""}],"container-title":"Nature","id":"ITEM-1","issue":"7838","issued":{"date-parts":[["2020","12","17"]]},"page":"445-449","title":"Enigmatic dinosaur precursors bridge the gap to the origin of Pterosauria","type":"article-journal","volume":"588"},"uris":["http://www.mendeley.com/documents/?uuid=ed73183a-f072-4880-940f-5d28fb55097a"]}],"mendeley":{"formattedCitation":"[8]","plainTextFormattedCitation":"[8]","previouslyFormattedCitation":"[8]"},"properties":{"noteIndex":0},"schema":"https://github.com/citation-style-language/schema/raw/master/csl-citation.json"}</w:instrText>
      </w:r>
      <w:r>
        <w:fldChar w:fldCharType="separate"/>
      </w:r>
      <w:r w:rsidRPr="00942229">
        <w:rPr>
          <w:noProof/>
          <w:lang w:val="de-CH"/>
        </w:rPr>
        <w:t>[8]</w:t>
      </w:r>
      <w:r>
        <w:fldChar w:fldCharType="end"/>
      </w:r>
      <w:r w:rsidRPr="00942229">
        <w:rPr>
          <w:lang w:val="de-CH"/>
        </w:rPr>
        <w:t xml:space="preserve"> and </w:t>
      </w:r>
      <w:proofErr w:type="spellStart"/>
      <w:r w:rsidRPr="00942229">
        <w:rPr>
          <w:lang w:val="de-CH"/>
        </w:rPr>
        <w:t>Foffa</w:t>
      </w:r>
      <w:proofErr w:type="spellEnd"/>
      <w:r w:rsidRPr="00942229">
        <w:rPr>
          <w:lang w:val="de-CH"/>
        </w:rPr>
        <w:t xml:space="preserve"> et al. </w:t>
      </w:r>
      <w:r>
        <w:fldChar w:fldCharType="begin" w:fldLock="1"/>
      </w:r>
      <w:r w:rsidR="003C4BE0">
        <w:rPr>
          <w:lang w:val="de-CH"/>
        </w:rPr>
        <w:instrText>ADDIN CSL_CITATION {"citationItems":[{"id":"ITEM-1","itemData":{"DOI":"10.1038/s41586-022-05284-x","ISSN":"0028-0836","PMID":"36198797","abstract":"Pterosaurs, the first vertebrates to evolve powered flight, were key components of Mesozoic terrestrial ecosystems from their sudden appearance in the Late Triassic until their demise at the end of the Cretaceous1–6. However, the origin and early evolution of pterosaurs are poorly understood owing to a substantial stratigraphic and morphological gap between these reptiles and their closest relatives6, Lagerpetidae7. Scleromochlus taylori, a tiny reptile from the early Late Triassic of Scotland discovered over a century ago, was hypothesized to be a key taxon closely related to pterosaurs8, but its poor preservation has limited previous studies and resulted in controversy over its phylogenetic position, with some even doubting its identification as an archosaur9. Here we use microcomputed tomographic scans to provide the first accurate whole-skeletal reconstruction and a revised diagnosis of Scleromochlus, revealing new anatomical details that conclusively identify it as a close pterosaur relative1 within Pterosauromorpha (the lagerpetid + pterosaur clade). Scleromochlus is anatomically more similar to lagerpetids than to pterosaurs and retains numerous features that were probably present in very early diverging members of Avemetatarsalia (bird-line archosaurs). These results support the hypothesis that the first flying reptiles evolved from tiny, probably facultatively bipedal, cursorial ancestors1.","author":[{"dropping-particle":"","family":"Foffa","given":"Davide","non-dropping-particle":"","parse-names":false,"suffix":""},{"dropping-particle":"","family":"Dunne","given":"Emma M.","non-dropping-particle":"","parse-names":false,"suffix":""},{"dropping-particle":"","family":"Nesbitt","given":"Sterling J.","non-dropping-particle":"","parse-names":false,"suffix":""},{"dropping-particle":"","family":"Butler","given":"Richard J.","non-dropping-particle":"","parse-names":false,"suffix":""},{"dropping-particle":"","family":"Fraser","given":"Nicholas C.","non-dropping-particle":"","parse-names":false,"suffix":""},{"dropping-particle":"","family":"Brusatte","given":"Stephen L.","non-dropping-particle":"","parse-names":false,"suffix":""},{"dropping-particle":"","family":"Farnsworth","given":"Alexander","non-dropping-particle":"","parse-names":false,"suffix":""},{"dropping-particle":"","family":"Lunt","given":"Daniel J.","non-dropping-particle":"","parse-names":false,"suffix":""},{"dropping-particle":"","family":"Valdes","given":"Paul J.","non-dropping-particle":"","parse-names":false,"suffix":""},{"dropping-particle":"","family":"Walsh","given":"Stig","non-dropping-particle":"","parse-names":false,"suffix":""},{"dropping-particle":"","family":"Barrett","given":"Paul M.","non-dropping-particle":"","parse-names":false,"suffix":""}],"container-title":"Nature","id":"ITEM-1","issue":"7931","issued":{"date-parts":[["2022","10","13"]]},"page":"313-318","title":"Scleromochlus and the early evolution of Pterosauromorpha","type":"article-journal","volume":"610"},"uris":["http://www.mendeley.com/documents/?uuid=af4ab1be-fc27-4b02-9399-45b6e438b0fd"]}],"mendeley":{"formattedCitation":"[9]","plainTextFormattedCitation":"[9]","previouslyFormattedCitation":"[9]"},"properties":{"noteIndex":0},"schema":"https://github.com/citation-style-language/schema/raw/master/csl-citation.json"}</w:instrText>
      </w:r>
      <w:r>
        <w:fldChar w:fldCharType="separate"/>
      </w:r>
      <w:r w:rsidRPr="00942229">
        <w:rPr>
          <w:noProof/>
        </w:rPr>
        <w:t>[9]</w:t>
      </w:r>
      <w:r>
        <w:fldChar w:fldCharType="end"/>
      </w:r>
      <w:r>
        <w:t xml:space="preserve">. Red circles indicate bipedality, yellow circles facultative bipedality and blue ones quadrupedality. AIC score of </w:t>
      </w:r>
      <w:r w:rsidR="00791CC7" w:rsidRPr="00791CC7">
        <w:rPr>
          <w:rFonts w:eastAsia="Times New Roman" w:cs="Times New Roman"/>
          <w:color w:val="000000"/>
          <w:lang w:val="de-CH"/>
        </w:rPr>
        <w:t>63.91</w:t>
      </w:r>
      <w:r>
        <w:t>.</w:t>
      </w:r>
    </w:p>
    <w:p w14:paraId="6382C9B3" w14:textId="77777777" w:rsidR="00942229" w:rsidRPr="00AE5030" w:rsidRDefault="00942229" w:rsidP="005900B9"/>
    <w:p w14:paraId="0CC80E8D" w14:textId="7C31DFF2" w:rsidR="00AE5030" w:rsidRDefault="00AE5030" w:rsidP="00AE5030"/>
    <w:p w14:paraId="0D9422BF" w14:textId="2FB72D8A" w:rsidR="00AE5030" w:rsidRDefault="003C4BE0" w:rsidP="00AE5030">
      <w:r>
        <w:rPr>
          <w:noProof/>
          <w:lang w:eastAsia="en-GB"/>
        </w:rPr>
        <w:lastRenderedPageBreak/>
        <w:drawing>
          <wp:inline distT="0" distB="0" distL="0" distR="0" wp14:anchorId="215AE04D" wp14:editId="66AAF031">
            <wp:extent cx="5308600" cy="40894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8600" cy="4089400"/>
                    </a:xfrm>
                    <a:prstGeom prst="rect">
                      <a:avLst/>
                    </a:prstGeom>
                  </pic:spPr>
                </pic:pic>
              </a:graphicData>
            </a:graphic>
          </wp:inline>
        </w:drawing>
      </w:r>
    </w:p>
    <w:p w14:paraId="519487E8" w14:textId="487FC37E" w:rsidR="00AE5030" w:rsidRDefault="003C4BE0" w:rsidP="00AE5030">
      <w:r w:rsidRPr="00AE5030">
        <w:rPr>
          <w:b/>
          <w:bCs/>
        </w:rPr>
        <w:t>Supplementary Figure S</w:t>
      </w:r>
      <w:r>
        <w:rPr>
          <w:b/>
          <w:bCs/>
        </w:rPr>
        <w:t>9</w:t>
      </w:r>
      <w:r w:rsidRPr="00AE5030">
        <w:rPr>
          <w:b/>
          <w:bCs/>
        </w:rPr>
        <w:t xml:space="preserve">. </w:t>
      </w:r>
      <w:r>
        <w:rPr>
          <w:b/>
          <w:bCs/>
        </w:rPr>
        <w:t xml:space="preserve">Saurian mass-length relationship. </w:t>
      </w:r>
      <w:r w:rsidR="00294513">
        <w:t>Snout-vent length (SVL)</w:t>
      </w:r>
      <w:r w:rsidR="00294513" w:rsidRPr="006A202A">
        <w:t xml:space="preserve"> </w:t>
      </w:r>
      <w:r w:rsidR="00294513">
        <w:t xml:space="preserve">and body mass data for </w:t>
      </w:r>
      <w:proofErr w:type="spellStart"/>
      <w:r w:rsidR="00294513">
        <w:t>saurians</w:t>
      </w:r>
      <w:proofErr w:type="spellEnd"/>
      <w:r w:rsidR="00294513">
        <w:t xml:space="preserve"> </w:t>
      </w:r>
      <w:r w:rsidR="00A00303">
        <w:t>are</w:t>
      </w:r>
      <w:r>
        <w:t xml:space="preserve"> based on the </w:t>
      </w:r>
      <w:r w:rsidRPr="003C4BE0">
        <w:t xml:space="preserve">dataset of legged lizards </w:t>
      </w:r>
      <w:r w:rsidR="00294513">
        <w:t>from</w:t>
      </w:r>
      <w:r w:rsidRPr="003C4BE0">
        <w:t xml:space="preserve"> </w:t>
      </w:r>
      <w:proofErr w:type="spellStart"/>
      <w:r w:rsidRPr="003C4BE0">
        <w:t>Meiri</w:t>
      </w:r>
      <w:proofErr w:type="spellEnd"/>
      <w:r>
        <w:t xml:space="preserve"> </w:t>
      </w:r>
      <w:r>
        <w:fldChar w:fldCharType="begin" w:fldLock="1"/>
      </w:r>
      <w:r>
        <w:instrText>ADDIN CSL_CITATION {"citationItems":[{"id":"ITEM-1","itemData":{"DOI":"10.1111/j.1469-7998.2010.00696.x","ISSN":"0952-8369","abstract":"Body shape and body size are hugely important for the understanding of multiple ecological phenomena. In order to study and compare sizes across taxa and to understand the ecological significance of shape differences, there is a need for ways to 'translate' different size measurements to a common metric. Body mass is the most useful such common index for size across taxa. Based on a large (&gt;900 species in 28 families) dataset of lizard and amphisbaenian weights, I generate equations to estimate weights from the common size index used in lizard morphometrics (snout-vent length). I then use a species-level phylogenetic hypothesis to examine the ecological factors that affect the variation in weight-length relationships. Legless and leg-reduced lizards are characterized by shallower allometric slopes, and thus long-bodied legless species are lighter than legged lizards of comparable length. Among legged species, the foraging strategy strongly influences the weights, with sit-and-wait species being bulkier at comparable lengths than active foraging species. Environmental productivity (positively related to mass) and activity times (diurnal species being heavier) are only significant when using non-phylogenetic models. The need for effective locomotion is a major factor affecting lizard shape. Previously used allometric equations are inaccurate. © 2010 The Authors. Journal compilation © 2010 The Zoological Society of London.","author":[{"dropping-particle":"","family":"Meiri","given":"S.","non-dropping-particle":"","parse-names":false,"suffix":""}],"container-title":"Journal of Zoology","id":"ITEM-1","issue":"3","issued":{"date-parts":[["2010","7","17"]]},"page":"218-226","title":"Length–weight allometries in lizards","type":"article-journal","volume":"281"},"uris":["http://www.mendeley.com/documents/?uuid=e7a61998-03ee-3471-a029-5b0189e34d15"]}],"mendeley":{"formattedCitation":"[10]","plainTextFormattedCitation":"[10]","previouslyFormattedCitation":"[10]"},"properties":{"noteIndex":0},"schema":"https://github.com/citation-style-language/schema/raw/master/csl-citation.json"}</w:instrText>
      </w:r>
      <w:r>
        <w:fldChar w:fldCharType="separate"/>
      </w:r>
      <w:r w:rsidRPr="003C4BE0">
        <w:rPr>
          <w:noProof/>
        </w:rPr>
        <w:t>[10]</w:t>
      </w:r>
      <w:r>
        <w:fldChar w:fldCharType="end"/>
      </w:r>
      <w:r>
        <w:t xml:space="preserve"> and </w:t>
      </w:r>
      <w:r w:rsidR="00294513">
        <w:t xml:space="preserve">data for </w:t>
      </w:r>
      <w:r>
        <w:t xml:space="preserve">crocodylians </w:t>
      </w:r>
      <w:r w:rsidR="00A00303">
        <w:t>are</w:t>
      </w:r>
      <w:r w:rsidR="00294513">
        <w:t xml:space="preserve"> </w:t>
      </w:r>
      <w:r>
        <w:t xml:space="preserve">from O’Brien et al. </w:t>
      </w:r>
      <w:r>
        <w:fldChar w:fldCharType="begin" w:fldLock="1"/>
      </w:r>
      <w:r>
        <w:instrText>ADDIN CSL_CITATION {"citationItems":[{"id":"ITEM-1","itemData":{"DOI":"10.1093/iob/obz006","ISSN":"2517-4843","abstract":"Body size and body-size shifts broadly impact life-history parameters of all animals, which has made accurate body-size estimates for extinct taxa an important component of understanding their paleobiology. Among extinct crocodylians and their precursors (e.g., suchians), several methods have been developed to predict body size from suites of hard-tissue proxies. Nevertheless, many have limited applications due to the disparity of some major suchian groups and biases in the fossil record. Here, we test the utility of head width (HW) as a broadly applicable body-size estimator in living and fossil suchians. We use a dataset of sexually mature male and female individuals (n = 76) from a comprehensive sample of extant suchian species encompassing nearly all known taxa (n = 22) to develop a Bayesian phylogenetic model for predicting three conventional metrics for size: body mass, snout–vent length, and total length. We then use the model to estimate size parameters for a select series of extinct suchians with known phylogenetic affinity (Montsechosuchus, Diplocynodon, and Sarcosuchus). We then compare our results to sizes reported in the literature to exemplify the utility of our approach for a broad array of fossil suchians. Our results show that HW is highly correlated with all other metrics (all R2≥0.85) and is commensurate with femoral dimensions for its reliably as a body-size predictor. We provide the R code in order to enable other researchers to employ the model in their own research.","author":[{"dropping-particle":"","family":"O’Brien","given":"Haley D","non-dropping-particle":"","parse-names":false,"suffix":""},{"dropping-particle":"","family":"Lynch","given":"Leigha M.","non-dropping-particle":"","parse-names":false,"suffix":""},{"dropping-particle":"","family":"Vliet","given":"Kent A.","non-dropping-particle":"","parse-names":false,"suffix":""},{"dropping-particle":"","family":"Brueggen","given":"John","non-dropping-particle":"","parse-names":false,"suffix":""},{"dropping-particle":"","family":"Erickson","given":"Gregory M.","non-dropping-particle":"","parse-names":false,"suffix":""},{"dropping-particle":"","family":"Gignac","given":"Paul M.","non-dropping-particle":"","parse-names":false,"suffix":""}],"container-title":"Integrative Organismal Biology","id":"ITEM-1","issue":"1","issued":{"date-parts":[["2019","1","1"]]},"publisher":"Oxford Academic","title":"Crocodylian Head Width Allometry and Phylogenetic Prediction of Body Size in Extinct Crocodyliforms","type":"article-journal","volume":"1"},"uris":["http://www.mendeley.com/documents/?uuid=d7b3738e-8b49-3246-af23-6c8c90c3068c"]}],"mendeley":{"formattedCitation":"[11]","plainTextFormattedCitation":"[11]"},"properties":{"noteIndex":0},"schema":"https://github.com/citation-style-language/schema/raw/master/csl-citation.json"}</w:instrText>
      </w:r>
      <w:r>
        <w:fldChar w:fldCharType="separate"/>
      </w:r>
      <w:r w:rsidRPr="003C4BE0">
        <w:rPr>
          <w:noProof/>
        </w:rPr>
        <w:t>[11]</w:t>
      </w:r>
      <w:r>
        <w:fldChar w:fldCharType="end"/>
      </w:r>
      <w:r>
        <w:t xml:space="preserve">. For </w:t>
      </w:r>
      <w:r w:rsidRPr="00E4684C">
        <w:rPr>
          <w:i/>
          <w:iCs/>
        </w:rPr>
        <w:t>Euparkeria</w:t>
      </w:r>
      <w:r>
        <w:t xml:space="preserve"> the </w:t>
      </w:r>
      <w:r w:rsidR="00294513">
        <w:t xml:space="preserve">SVL </w:t>
      </w:r>
      <w:r w:rsidRPr="00E4684C">
        <w:t>(317</w:t>
      </w:r>
      <w:r w:rsidR="00294513">
        <w:t xml:space="preserve"> </w:t>
      </w:r>
      <w:r w:rsidRPr="00E4684C">
        <w:t>mm) is plotted against the mass of the optimal model (899.8</w:t>
      </w:r>
      <w:r w:rsidR="00294513">
        <w:t xml:space="preserve"> </w:t>
      </w:r>
      <w:r w:rsidRPr="00E4684C">
        <w:t>g)</w:t>
      </w:r>
      <w:r>
        <w:t xml:space="preserve">. </w:t>
      </w:r>
      <w:r w:rsidR="00294513">
        <w:t>BM</w:t>
      </w:r>
      <w:r>
        <w:t xml:space="preserve"> and SVL </w:t>
      </w:r>
      <w:r w:rsidR="00294513">
        <w:t>were</w:t>
      </w:r>
      <w:r>
        <w:t xml:space="preserve"> </w:t>
      </w:r>
      <w:r w:rsidR="00294513">
        <w:t>log-transformed (log</w:t>
      </w:r>
      <w:r w:rsidR="00294513" w:rsidRPr="00E4684C">
        <w:rPr>
          <w:vertAlign w:val="subscript"/>
        </w:rPr>
        <w:t>10</w:t>
      </w:r>
      <w:r w:rsidR="00294513">
        <w:t>).</w:t>
      </w:r>
    </w:p>
    <w:p w14:paraId="2D800CC2" w14:textId="77777777" w:rsidR="00791CC7" w:rsidRDefault="00791CC7">
      <w:pPr>
        <w:spacing w:before="0" w:line="240" w:lineRule="auto"/>
      </w:pPr>
      <w:r>
        <w:br w:type="page"/>
      </w:r>
    </w:p>
    <w:p w14:paraId="39B90E92" w14:textId="466B845F" w:rsidR="00791CC7" w:rsidRDefault="00791CC7" w:rsidP="00AE5030">
      <w:pPr>
        <w:rPr>
          <w:b/>
          <w:bCs/>
        </w:rPr>
      </w:pPr>
      <w:r w:rsidRPr="00E4684C">
        <w:rPr>
          <w:b/>
          <w:bCs/>
        </w:rPr>
        <w:lastRenderedPageBreak/>
        <w:t>SUPPLEMENTARY TABLES</w:t>
      </w:r>
    </w:p>
    <w:tbl>
      <w:tblPr>
        <w:tblW w:w="10000" w:type="dxa"/>
        <w:tblInd w:w="-426" w:type="dxa"/>
        <w:tblCellMar>
          <w:left w:w="70" w:type="dxa"/>
          <w:right w:w="70" w:type="dxa"/>
        </w:tblCellMar>
        <w:tblLook w:val="04A0" w:firstRow="1" w:lastRow="0" w:firstColumn="1" w:lastColumn="0" w:noHBand="0" w:noVBand="1"/>
      </w:tblPr>
      <w:tblGrid>
        <w:gridCol w:w="1360"/>
        <w:gridCol w:w="1440"/>
        <w:gridCol w:w="1440"/>
        <w:gridCol w:w="1440"/>
        <w:gridCol w:w="1440"/>
        <w:gridCol w:w="1440"/>
        <w:gridCol w:w="1440"/>
      </w:tblGrid>
      <w:tr w:rsidR="00D42E1A" w:rsidRPr="00D42E1A" w14:paraId="12861CE6" w14:textId="77777777" w:rsidTr="00E4684C">
        <w:trPr>
          <w:trHeight w:val="320"/>
        </w:trPr>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09A4E9F"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rPr>
              <w:t>GRF [BW]</w:t>
            </w:r>
          </w:p>
        </w:tc>
        <w:tc>
          <w:tcPr>
            <w:tcW w:w="1440" w:type="dxa"/>
            <w:tcBorders>
              <w:top w:val="single" w:sz="4" w:space="0" w:color="auto"/>
              <w:left w:val="nil"/>
              <w:bottom w:val="single" w:sz="4" w:space="0" w:color="auto"/>
              <w:right w:val="nil"/>
            </w:tcBorders>
            <w:shd w:val="clear" w:color="auto" w:fill="auto"/>
            <w:noWrap/>
            <w:vAlign w:val="center"/>
            <w:hideMark/>
          </w:tcPr>
          <w:p w14:paraId="7AC7052C"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2.9</w:t>
            </w:r>
          </w:p>
        </w:tc>
        <w:tc>
          <w:tcPr>
            <w:tcW w:w="1440" w:type="dxa"/>
            <w:tcBorders>
              <w:top w:val="single" w:sz="4" w:space="0" w:color="auto"/>
              <w:left w:val="nil"/>
              <w:bottom w:val="single" w:sz="4" w:space="0" w:color="auto"/>
              <w:right w:val="nil"/>
            </w:tcBorders>
            <w:shd w:val="clear" w:color="auto" w:fill="auto"/>
            <w:noWrap/>
            <w:vAlign w:val="center"/>
            <w:hideMark/>
          </w:tcPr>
          <w:p w14:paraId="401E59E7"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3</w:t>
            </w:r>
          </w:p>
        </w:tc>
        <w:tc>
          <w:tcPr>
            <w:tcW w:w="1440" w:type="dxa"/>
            <w:tcBorders>
              <w:top w:val="single" w:sz="4" w:space="0" w:color="auto"/>
              <w:left w:val="nil"/>
              <w:bottom w:val="single" w:sz="4" w:space="0" w:color="auto"/>
              <w:right w:val="nil"/>
            </w:tcBorders>
            <w:shd w:val="clear" w:color="auto" w:fill="auto"/>
            <w:noWrap/>
            <w:vAlign w:val="center"/>
            <w:hideMark/>
          </w:tcPr>
          <w:p w14:paraId="676BC291"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3.1</w:t>
            </w:r>
          </w:p>
        </w:tc>
        <w:tc>
          <w:tcPr>
            <w:tcW w:w="1440" w:type="dxa"/>
            <w:tcBorders>
              <w:top w:val="single" w:sz="4" w:space="0" w:color="auto"/>
              <w:left w:val="nil"/>
              <w:bottom w:val="single" w:sz="4" w:space="0" w:color="auto"/>
              <w:right w:val="nil"/>
            </w:tcBorders>
            <w:shd w:val="clear" w:color="auto" w:fill="auto"/>
            <w:noWrap/>
            <w:vAlign w:val="center"/>
            <w:hideMark/>
          </w:tcPr>
          <w:p w14:paraId="2C1411B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6.7</w:t>
            </w:r>
          </w:p>
        </w:tc>
        <w:tc>
          <w:tcPr>
            <w:tcW w:w="1440" w:type="dxa"/>
            <w:tcBorders>
              <w:top w:val="single" w:sz="4" w:space="0" w:color="auto"/>
              <w:left w:val="nil"/>
              <w:bottom w:val="single" w:sz="4" w:space="0" w:color="auto"/>
              <w:right w:val="nil"/>
            </w:tcBorders>
            <w:shd w:val="clear" w:color="auto" w:fill="auto"/>
            <w:noWrap/>
            <w:vAlign w:val="center"/>
            <w:hideMark/>
          </w:tcPr>
          <w:p w14:paraId="18F94A11"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7.3</w:t>
            </w:r>
          </w:p>
        </w:tc>
        <w:tc>
          <w:tcPr>
            <w:tcW w:w="1440" w:type="dxa"/>
            <w:tcBorders>
              <w:top w:val="single" w:sz="4" w:space="0" w:color="auto"/>
              <w:left w:val="nil"/>
              <w:bottom w:val="single" w:sz="4" w:space="0" w:color="auto"/>
              <w:right w:val="nil"/>
            </w:tcBorders>
            <w:shd w:val="clear" w:color="auto" w:fill="auto"/>
            <w:noWrap/>
            <w:vAlign w:val="center"/>
            <w:hideMark/>
          </w:tcPr>
          <w:p w14:paraId="2E9B2FD0"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rPr>
              <w:t>7.4</w:t>
            </w:r>
          </w:p>
        </w:tc>
      </w:tr>
      <w:tr w:rsidR="00D42E1A" w:rsidRPr="00D42E1A" w14:paraId="638BE112"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3E0F7155"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Hip FE</w:t>
            </w:r>
          </w:p>
        </w:tc>
        <w:tc>
          <w:tcPr>
            <w:tcW w:w="1440" w:type="dxa"/>
            <w:tcBorders>
              <w:top w:val="nil"/>
              <w:left w:val="nil"/>
              <w:bottom w:val="nil"/>
              <w:right w:val="nil"/>
            </w:tcBorders>
            <w:shd w:val="clear" w:color="auto" w:fill="auto"/>
            <w:noWrap/>
            <w:vAlign w:val="center"/>
            <w:hideMark/>
          </w:tcPr>
          <w:p w14:paraId="717B922F"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0.727</w:t>
            </w:r>
          </w:p>
        </w:tc>
        <w:tc>
          <w:tcPr>
            <w:tcW w:w="1440" w:type="dxa"/>
            <w:tcBorders>
              <w:top w:val="nil"/>
              <w:left w:val="nil"/>
              <w:bottom w:val="nil"/>
              <w:right w:val="nil"/>
            </w:tcBorders>
            <w:shd w:val="clear" w:color="auto" w:fill="auto"/>
            <w:noWrap/>
            <w:vAlign w:val="center"/>
            <w:hideMark/>
          </w:tcPr>
          <w:p w14:paraId="2CA3F9C8"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0.752</w:t>
            </w:r>
          </w:p>
        </w:tc>
        <w:tc>
          <w:tcPr>
            <w:tcW w:w="1440" w:type="dxa"/>
            <w:tcBorders>
              <w:top w:val="nil"/>
              <w:left w:val="nil"/>
              <w:bottom w:val="nil"/>
              <w:right w:val="nil"/>
            </w:tcBorders>
            <w:shd w:val="clear" w:color="auto" w:fill="auto"/>
            <w:noWrap/>
            <w:vAlign w:val="center"/>
            <w:hideMark/>
          </w:tcPr>
          <w:p w14:paraId="29B225EE"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0.777</w:t>
            </w:r>
          </w:p>
        </w:tc>
        <w:tc>
          <w:tcPr>
            <w:tcW w:w="1440" w:type="dxa"/>
            <w:tcBorders>
              <w:top w:val="nil"/>
              <w:left w:val="nil"/>
              <w:bottom w:val="nil"/>
              <w:right w:val="nil"/>
            </w:tcBorders>
            <w:shd w:val="clear" w:color="auto" w:fill="auto"/>
            <w:noWrap/>
            <w:vAlign w:val="center"/>
            <w:hideMark/>
          </w:tcPr>
          <w:p w14:paraId="3265DEBF"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1.688</w:t>
            </w:r>
          </w:p>
        </w:tc>
        <w:tc>
          <w:tcPr>
            <w:tcW w:w="1440" w:type="dxa"/>
            <w:tcBorders>
              <w:top w:val="nil"/>
              <w:left w:val="nil"/>
              <w:bottom w:val="nil"/>
              <w:right w:val="nil"/>
            </w:tcBorders>
            <w:shd w:val="clear" w:color="auto" w:fill="auto"/>
            <w:noWrap/>
            <w:vAlign w:val="center"/>
            <w:hideMark/>
          </w:tcPr>
          <w:p w14:paraId="091F2393"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1.839</w:t>
            </w:r>
          </w:p>
        </w:tc>
        <w:tc>
          <w:tcPr>
            <w:tcW w:w="1440" w:type="dxa"/>
            <w:tcBorders>
              <w:top w:val="nil"/>
              <w:left w:val="nil"/>
              <w:bottom w:val="nil"/>
              <w:right w:val="nil"/>
            </w:tcBorders>
            <w:shd w:val="clear" w:color="auto" w:fill="auto"/>
            <w:noWrap/>
            <w:vAlign w:val="center"/>
            <w:hideMark/>
          </w:tcPr>
          <w:p w14:paraId="0AA47E3F"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1.865</w:t>
            </w:r>
          </w:p>
        </w:tc>
      </w:tr>
      <w:tr w:rsidR="00D42E1A" w:rsidRPr="00D42E1A" w14:paraId="071D51FC"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0846537F"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Hip ABAD</w:t>
            </w:r>
          </w:p>
        </w:tc>
        <w:tc>
          <w:tcPr>
            <w:tcW w:w="1440" w:type="dxa"/>
            <w:tcBorders>
              <w:top w:val="nil"/>
              <w:left w:val="nil"/>
              <w:bottom w:val="nil"/>
              <w:right w:val="nil"/>
            </w:tcBorders>
            <w:shd w:val="clear" w:color="auto" w:fill="auto"/>
            <w:noWrap/>
            <w:vAlign w:val="center"/>
            <w:hideMark/>
          </w:tcPr>
          <w:p w14:paraId="0CFDEE7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-0.161</w:t>
            </w:r>
          </w:p>
        </w:tc>
        <w:tc>
          <w:tcPr>
            <w:tcW w:w="1440" w:type="dxa"/>
            <w:tcBorders>
              <w:top w:val="nil"/>
              <w:left w:val="nil"/>
              <w:bottom w:val="nil"/>
              <w:right w:val="nil"/>
            </w:tcBorders>
            <w:shd w:val="clear" w:color="auto" w:fill="auto"/>
            <w:noWrap/>
            <w:vAlign w:val="center"/>
            <w:hideMark/>
          </w:tcPr>
          <w:p w14:paraId="04B19E47"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-0.167</w:t>
            </w:r>
          </w:p>
        </w:tc>
        <w:tc>
          <w:tcPr>
            <w:tcW w:w="1440" w:type="dxa"/>
            <w:tcBorders>
              <w:top w:val="nil"/>
              <w:left w:val="nil"/>
              <w:bottom w:val="nil"/>
              <w:right w:val="nil"/>
            </w:tcBorders>
            <w:shd w:val="clear" w:color="auto" w:fill="auto"/>
            <w:noWrap/>
            <w:vAlign w:val="center"/>
            <w:hideMark/>
          </w:tcPr>
          <w:p w14:paraId="2D11BDDF"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-0.173</w:t>
            </w:r>
          </w:p>
        </w:tc>
        <w:tc>
          <w:tcPr>
            <w:tcW w:w="1440" w:type="dxa"/>
            <w:tcBorders>
              <w:top w:val="nil"/>
              <w:left w:val="nil"/>
              <w:bottom w:val="nil"/>
              <w:right w:val="nil"/>
            </w:tcBorders>
            <w:shd w:val="clear" w:color="auto" w:fill="auto"/>
            <w:noWrap/>
            <w:vAlign w:val="center"/>
            <w:hideMark/>
          </w:tcPr>
          <w:p w14:paraId="1CADD0B5"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-0.384</w:t>
            </w:r>
          </w:p>
        </w:tc>
        <w:tc>
          <w:tcPr>
            <w:tcW w:w="1440" w:type="dxa"/>
            <w:tcBorders>
              <w:top w:val="nil"/>
              <w:left w:val="nil"/>
              <w:bottom w:val="nil"/>
              <w:right w:val="nil"/>
            </w:tcBorders>
            <w:shd w:val="clear" w:color="auto" w:fill="auto"/>
            <w:noWrap/>
            <w:vAlign w:val="center"/>
            <w:hideMark/>
          </w:tcPr>
          <w:p w14:paraId="532C682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-0.419</w:t>
            </w:r>
          </w:p>
        </w:tc>
        <w:tc>
          <w:tcPr>
            <w:tcW w:w="1440" w:type="dxa"/>
            <w:tcBorders>
              <w:top w:val="nil"/>
              <w:left w:val="nil"/>
              <w:bottom w:val="nil"/>
              <w:right w:val="nil"/>
            </w:tcBorders>
            <w:shd w:val="clear" w:color="auto" w:fill="auto"/>
            <w:noWrap/>
            <w:vAlign w:val="center"/>
            <w:hideMark/>
          </w:tcPr>
          <w:p w14:paraId="69A55791"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-0.425</w:t>
            </w:r>
          </w:p>
        </w:tc>
      </w:tr>
      <w:tr w:rsidR="00D42E1A" w:rsidRPr="00D42E1A" w14:paraId="4F4DF171"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0ADEF123"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Hip LAR</w:t>
            </w:r>
          </w:p>
        </w:tc>
        <w:tc>
          <w:tcPr>
            <w:tcW w:w="1440" w:type="dxa"/>
            <w:tcBorders>
              <w:top w:val="nil"/>
              <w:left w:val="nil"/>
              <w:bottom w:val="nil"/>
              <w:right w:val="nil"/>
            </w:tcBorders>
            <w:shd w:val="clear" w:color="auto" w:fill="auto"/>
            <w:noWrap/>
            <w:vAlign w:val="center"/>
            <w:hideMark/>
          </w:tcPr>
          <w:p w14:paraId="25D59539"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0.164</w:t>
            </w:r>
          </w:p>
        </w:tc>
        <w:tc>
          <w:tcPr>
            <w:tcW w:w="1440" w:type="dxa"/>
            <w:tcBorders>
              <w:top w:val="nil"/>
              <w:left w:val="nil"/>
              <w:bottom w:val="nil"/>
              <w:right w:val="nil"/>
            </w:tcBorders>
            <w:shd w:val="clear" w:color="auto" w:fill="auto"/>
            <w:noWrap/>
            <w:vAlign w:val="center"/>
            <w:hideMark/>
          </w:tcPr>
          <w:p w14:paraId="0DCA667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0.170</w:t>
            </w:r>
          </w:p>
        </w:tc>
        <w:tc>
          <w:tcPr>
            <w:tcW w:w="1440" w:type="dxa"/>
            <w:tcBorders>
              <w:top w:val="nil"/>
              <w:left w:val="nil"/>
              <w:bottom w:val="nil"/>
              <w:right w:val="nil"/>
            </w:tcBorders>
            <w:shd w:val="clear" w:color="auto" w:fill="auto"/>
            <w:noWrap/>
            <w:vAlign w:val="center"/>
            <w:hideMark/>
          </w:tcPr>
          <w:p w14:paraId="28C9333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0.176</w:t>
            </w:r>
          </w:p>
        </w:tc>
        <w:tc>
          <w:tcPr>
            <w:tcW w:w="1440" w:type="dxa"/>
            <w:tcBorders>
              <w:top w:val="nil"/>
              <w:left w:val="nil"/>
              <w:bottom w:val="nil"/>
              <w:right w:val="nil"/>
            </w:tcBorders>
            <w:shd w:val="clear" w:color="auto" w:fill="auto"/>
            <w:noWrap/>
            <w:vAlign w:val="center"/>
            <w:hideMark/>
          </w:tcPr>
          <w:p w14:paraId="49BE1B2C"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0.385</w:t>
            </w:r>
          </w:p>
        </w:tc>
        <w:tc>
          <w:tcPr>
            <w:tcW w:w="1440" w:type="dxa"/>
            <w:tcBorders>
              <w:top w:val="nil"/>
              <w:left w:val="nil"/>
              <w:bottom w:val="nil"/>
              <w:right w:val="nil"/>
            </w:tcBorders>
            <w:shd w:val="clear" w:color="auto" w:fill="auto"/>
            <w:noWrap/>
            <w:vAlign w:val="center"/>
            <w:hideMark/>
          </w:tcPr>
          <w:p w14:paraId="1D253330"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0.417</w:t>
            </w:r>
          </w:p>
        </w:tc>
        <w:tc>
          <w:tcPr>
            <w:tcW w:w="1440" w:type="dxa"/>
            <w:tcBorders>
              <w:top w:val="nil"/>
              <w:left w:val="nil"/>
              <w:bottom w:val="nil"/>
              <w:right w:val="nil"/>
            </w:tcBorders>
            <w:shd w:val="clear" w:color="auto" w:fill="auto"/>
            <w:noWrap/>
            <w:vAlign w:val="center"/>
            <w:hideMark/>
          </w:tcPr>
          <w:p w14:paraId="372987D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0.425</w:t>
            </w:r>
          </w:p>
        </w:tc>
      </w:tr>
      <w:tr w:rsidR="00D42E1A" w:rsidRPr="00D42E1A" w14:paraId="7041148A"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7C3452D0"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Knee</w:t>
            </w:r>
            <w:proofErr w:type="spellEnd"/>
            <w:r w:rsidRPr="00D42E1A">
              <w:rPr>
                <w:rFonts w:eastAsia="Times New Roman" w:cs="Times New Roman"/>
                <w:color w:val="000000"/>
                <w:sz w:val="20"/>
                <w:szCs w:val="20"/>
                <w:lang w:val="de-CH"/>
              </w:rPr>
              <w:t xml:space="preserve"> FE</w:t>
            </w:r>
          </w:p>
        </w:tc>
        <w:tc>
          <w:tcPr>
            <w:tcW w:w="1440" w:type="dxa"/>
            <w:tcBorders>
              <w:top w:val="nil"/>
              <w:left w:val="nil"/>
              <w:bottom w:val="nil"/>
              <w:right w:val="nil"/>
            </w:tcBorders>
            <w:shd w:val="clear" w:color="auto" w:fill="auto"/>
            <w:noWrap/>
            <w:vAlign w:val="center"/>
            <w:hideMark/>
          </w:tcPr>
          <w:p w14:paraId="7E5A02C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0.116</w:t>
            </w:r>
          </w:p>
        </w:tc>
        <w:tc>
          <w:tcPr>
            <w:tcW w:w="1440" w:type="dxa"/>
            <w:tcBorders>
              <w:top w:val="nil"/>
              <w:left w:val="nil"/>
              <w:bottom w:val="nil"/>
              <w:right w:val="nil"/>
            </w:tcBorders>
            <w:shd w:val="clear" w:color="auto" w:fill="auto"/>
            <w:noWrap/>
            <w:vAlign w:val="center"/>
            <w:hideMark/>
          </w:tcPr>
          <w:p w14:paraId="5E2A5B72"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0.120</w:t>
            </w:r>
          </w:p>
        </w:tc>
        <w:tc>
          <w:tcPr>
            <w:tcW w:w="1440" w:type="dxa"/>
            <w:tcBorders>
              <w:top w:val="nil"/>
              <w:left w:val="nil"/>
              <w:bottom w:val="nil"/>
              <w:right w:val="nil"/>
            </w:tcBorders>
            <w:shd w:val="clear" w:color="auto" w:fill="auto"/>
            <w:noWrap/>
            <w:vAlign w:val="center"/>
            <w:hideMark/>
          </w:tcPr>
          <w:p w14:paraId="1A0310B0"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0.124</w:t>
            </w:r>
          </w:p>
        </w:tc>
        <w:tc>
          <w:tcPr>
            <w:tcW w:w="1440" w:type="dxa"/>
            <w:tcBorders>
              <w:top w:val="nil"/>
              <w:left w:val="nil"/>
              <w:bottom w:val="nil"/>
              <w:right w:val="nil"/>
            </w:tcBorders>
            <w:shd w:val="clear" w:color="auto" w:fill="auto"/>
            <w:noWrap/>
            <w:vAlign w:val="center"/>
            <w:hideMark/>
          </w:tcPr>
          <w:p w14:paraId="02A3F57A"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0.271</w:t>
            </w:r>
          </w:p>
        </w:tc>
        <w:tc>
          <w:tcPr>
            <w:tcW w:w="1440" w:type="dxa"/>
            <w:tcBorders>
              <w:top w:val="nil"/>
              <w:left w:val="nil"/>
              <w:bottom w:val="nil"/>
              <w:right w:val="nil"/>
            </w:tcBorders>
            <w:shd w:val="clear" w:color="auto" w:fill="auto"/>
            <w:noWrap/>
            <w:vAlign w:val="center"/>
            <w:hideMark/>
          </w:tcPr>
          <w:p w14:paraId="670CEC03"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0.296</w:t>
            </w:r>
          </w:p>
        </w:tc>
        <w:tc>
          <w:tcPr>
            <w:tcW w:w="1440" w:type="dxa"/>
            <w:tcBorders>
              <w:top w:val="nil"/>
              <w:left w:val="nil"/>
              <w:bottom w:val="nil"/>
              <w:right w:val="nil"/>
            </w:tcBorders>
            <w:shd w:val="clear" w:color="auto" w:fill="auto"/>
            <w:noWrap/>
            <w:vAlign w:val="center"/>
            <w:hideMark/>
          </w:tcPr>
          <w:p w14:paraId="75C70CC0"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0.300</w:t>
            </w:r>
          </w:p>
        </w:tc>
      </w:tr>
      <w:tr w:rsidR="00D42E1A" w:rsidRPr="00D42E1A" w14:paraId="479B1138"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0BBDD677"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Knee</w:t>
            </w:r>
            <w:proofErr w:type="spellEnd"/>
            <w:r w:rsidRPr="00D42E1A">
              <w:rPr>
                <w:rFonts w:eastAsia="Times New Roman" w:cs="Times New Roman"/>
                <w:color w:val="000000"/>
                <w:sz w:val="20"/>
                <w:szCs w:val="20"/>
                <w:lang w:val="de-CH"/>
              </w:rPr>
              <w:t xml:space="preserve"> ABAD*</w:t>
            </w:r>
          </w:p>
        </w:tc>
        <w:tc>
          <w:tcPr>
            <w:tcW w:w="1440" w:type="dxa"/>
            <w:tcBorders>
              <w:top w:val="nil"/>
              <w:left w:val="nil"/>
              <w:bottom w:val="nil"/>
              <w:right w:val="nil"/>
            </w:tcBorders>
            <w:shd w:val="clear" w:color="auto" w:fill="auto"/>
            <w:noWrap/>
            <w:vAlign w:val="center"/>
            <w:hideMark/>
          </w:tcPr>
          <w:p w14:paraId="0CD94F1A"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0.197</w:t>
            </w:r>
          </w:p>
        </w:tc>
        <w:tc>
          <w:tcPr>
            <w:tcW w:w="1440" w:type="dxa"/>
            <w:tcBorders>
              <w:top w:val="nil"/>
              <w:left w:val="nil"/>
              <w:bottom w:val="nil"/>
              <w:right w:val="nil"/>
            </w:tcBorders>
            <w:shd w:val="clear" w:color="auto" w:fill="auto"/>
            <w:noWrap/>
            <w:vAlign w:val="center"/>
            <w:hideMark/>
          </w:tcPr>
          <w:p w14:paraId="07BC50F2"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0.204</w:t>
            </w:r>
          </w:p>
        </w:tc>
        <w:tc>
          <w:tcPr>
            <w:tcW w:w="1440" w:type="dxa"/>
            <w:tcBorders>
              <w:top w:val="nil"/>
              <w:left w:val="nil"/>
              <w:bottom w:val="nil"/>
              <w:right w:val="nil"/>
            </w:tcBorders>
            <w:shd w:val="clear" w:color="auto" w:fill="auto"/>
            <w:noWrap/>
            <w:vAlign w:val="center"/>
            <w:hideMark/>
          </w:tcPr>
          <w:p w14:paraId="5E7A05B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0.211</w:t>
            </w:r>
          </w:p>
        </w:tc>
        <w:tc>
          <w:tcPr>
            <w:tcW w:w="1440" w:type="dxa"/>
            <w:tcBorders>
              <w:top w:val="nil"/>
              <w:left w:val="nil"/>
              <w:bottom w:val="nil"/>
              <w:right w:val="nil"/>
            </w:tcBorders>
            <w:shd w:val="clear" w:color="auto" w:fill="auto"/>
            <w:noWrap/>
            <w:vAlign w:val="center"/>
            <w:hideMark/>
          </w:tcPr>
          <w:p w14:paraId="0A3B1BD9"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0.458</w:t>
            </w:r>
          </w:p>
        </w:tc>
        <w:tc>
          <w:tcPr>
            <w:tcW w:w="1440" w:type="dxa"/>
            <w:tcBorders>
              <w:top w:val="nil"/>
              <w:left w:val="nil"/>
              <w:bottom w:val="nil"/>
              <w:right w:val="nil"/>
            </w:tcBorders>
            <w:shd w:val="clear" w:color="auto" w:fill="auto"/>
            <w:noWrap/>
            <w:vAlign w:val="center"/>
            <w:hideMark/>
          </w:tcPr>
          <w:p w14:paraId="18A814CC"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0.500</w:t>
            </w:r>
          </w:p>
        </w:tc>
        <w:tc>
          <w:tcPr>
            <w:tcW w:w="1440" w:type="dxa"/>
            <w:tcBorders>
              <w:top w:val="nil"/>
              <w:left w:val="nil"/>
              <w:bottom w:val="nil"/>
              <w:right w:val="nil"/>
            </w:tcBorders>
            <w:shd w:val="clear" w:color="auto" w:fill="auto"/>
            <w:noWrap/>
            <w:vAlign w:val="center"/>
            <w:hideMark/>
          </w:tcPr>
          <w:p w14:paraId="03329C19"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0.507</w:t>
            </w:r>
          </w:p>
        </w:tc>
      </w:tr>
      <w:tr w:rsidR="00D42E1A" w:rsidRPr="00D42E1A" w14:paraId="79042321"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22F07CA5"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Knee</w:t>
            </w:r>
            <w:proofErr w:type="spellEnd"/>
            <w:r w:rsidRPr="00D42E1A">
              <w:rPr>
                <w:rFonts w:eastAsia="Times New Roman" w:cs="Times New Roman"/>
                <w:color w:val="000000"/>
                <w:sz w:val="20"/>
                <w:szCs w:val="20"/>
                <w:lang w:val="de-CH"/>
              </w:rPr>
              <w:t xml:space="preserve"> LAR*</w:t>
            </w:r>
          </w:p>
        </w:tc>
        <w:tc>
          <w:tcPr>
            <w:tcW w:w="1440" w:type="dxa"/>
            <w:tcBorders>
              <w:top w:val="nil"/>
              <w:left w:val="nil"/>
              <w:bottom w:val="nil"/>
              <w:right w:val="nil"/>
            </w:tcBorders>
            <w:shd w:val="clear" w:color="auto" w:fill="auto"/>
            <w:noWrap/>
            <w:vAlign w:val="center"/>
            <w:hideMark/>
          </w:tcPr>
          <w:p w14:paraId="7EEA949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-0.054</w:t>
            </w:r>
          </w:p>
        </w:tc>
        <w:tc>
          <w:tcPr>
            <w:tcW w:w="1440" w:type="dxa"/>
            <w:tcBorders>
              <w:top w:val="nil"/>
              <w:left w:val="nil"/>
              <w:bottom w:val="nil"/>
              <w:right w:val="nil"/>
            </w:tcBorders>
            <w:shd w:val="clear" w:color="auto" w:fill="auto"/>
            <w:noWrap/>
            <w:vAlign w:val="center"/>
            <w:hideMark/>
          </w:tcPr>
          <w:p w14:paraId="0854409A"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-0.056</w:t>
            </w:r>
          </w:p>
        </w:tc>
        <w:tc>
          <w:tcPr>
            <w:tcW w:w="1440" w:type="dxa"/>
            <w:tcBorders>
              <w:top w:val="nil"/>
              <w:left w:val="nil"/>
              <w:bottom w:val="nil"/>
              <w:right w:val="nil"/>
            </w:tcBorders>
            <w:shd w:val="clear" w:color="auto" w:fill="auto"/>
            <w:noWrap/>
            <w:vAlign w:val="center"/>
            <w:hideMark/>
          </w:tcPr>
          <w:p w14:paraId="233F0746"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-0.057</w:t>
            </w:r>
          </w:p>
        </w:tc>
        <w:tc>
          <w:tcPr>
            <w:tcW w:w="1440" w:type="dxa"/>
            <w:tcBorders>
              <w:top w:val="nil"/>
              <w:left w:val="nil"/>
              <w:bottom w:val="nil"/>
              <w:right w:val="nil"/>
            </w:tcBorders>
            <w:shd w:val="clear" w:color="auto" w:fill="auto"/>
            <w:noWrap/>
            <w:vAlign w:val="center"/>
            <w:hideMark/>
          </w:tcPr>
          <w:p w14:paraId="4406CC2A"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-0.124</w:t>
            </w:r>
          </w:p>
        </w:tc>
        <w:tc>
          <w:tcPr>
            <w:tcW w:w="1440" w:type="dxa"/>
            <w:tcBorders>
              <w:top w:val="nil"/>
              <w:left w:val="nil"/>
              <w:bottom w:val="nil"/>
              <w:right w:val="nil"/>
            </w:tcBorders>
            <w:shd w:val="clear" w:color="auto" w:fill="auto"/>
            <w:noWrap/>
            <w:vAlign w:val="center"/>
            <w:hideMark/>
          </w:tcPr>
          <w:p w14:paraId="53D348E3"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-0.135</w:t>
            </w:r>
          </w:p>
        </w:tc>
        <w:tc>
          <w:tcPr>
            <w:tcW w:w="1440" w:type="dxa"/>
            <w:tcBorders>
              <w:top w:val="nil"/>
              <w:left w:val="nil"/>
              <w:bottom w:val="nil"/>
              <w:right w:val="nil"/>
            </w:tcBorders>
            <w:shd w:val="clear" w:color="auto" w:fill="auto"/>
            <w:noWrap/>
            <w:vAlign w:val="center"/>
            <w:hideMark/>
          </w:tcPr>
          <w:p w14:paraId="6BA0204D"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-0.137</w:t>
            </w:r>
          </w:p>
        </w:tc>
      </w:tr>
      <w:tr w:rsidR="00D42E1A" w:rsidRPr="00D42E1A" w14:paraId="7DEC5A44"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2EC49E41"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Ankle</w:t>
            </w:r>
            <w:proofErr w:type="spellEnd"/>
            <w:r w:rsidRPr="00D42E1A">
              <w:rPr>
                <w:rFonts w:eastAsia="Times New Roman" w:cs="Times New Roman"/>
                <w:color w:val="000000"/>
                <w:sz w:val="20"/>
                <w:szCs w:val="20"/>
                <w:lang w:val="de-CH"/>
              </w:rPr>
              <w:t xml:space="preserve"> FE</w:t>
            </w:r>
          </w:p>
        </w:tc>
        <w:tc>
          <w:tcPr>
            <w:tcW w:w="1440" w:type="dxa"/>
            <w:tcBorders>
              <w:top w:val="nil"/>
              <w:left w:val="nil"/>
              <w:bottom w:val="nil"/>
              <w:right w:val="nil"/>
            </w:tcBorders>
            <w:shd w:val="clear" w:color="auto" w:fill="auto"/>
            <w:noWrap/>
            <w:vAlign w:val="center"/>
            <w:hideMark/>
          </w:tcPr>
          <w:p w14:paraId="47F7E16E"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-0.251</w:t>
            </w:r>
          </w:p>
        </w:tc>
        <w:tc>
          <w:tcPr>
            <w:tcW w:w="1440" w:type="dxa"/>
            <w:tcBorders>
              <w:top w:val="nil"/>
              <w:left w:val="nil"/>
              <w:bottom w:val="nil"/>
              <w:right w:val="nil"/>
            </w:tcBorders>
            <w:shd w:val="clear" w:color="auto" w:fill="auto"/>
            <w:noWrap/>
            <w:vAlign w:val="center"/>
            <w:hideMark/>
          </w:tcPr>
          <w:p w14:paraId="0B900D2F"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-0.260</w:t>
            </w:r>
          </w:p>
        </w:tc>
        <w:tc>
          <w:tcPr>
            <w:tcW w:w="1440" w:type="dxa"/>
            <w:tcBorders>
              <w:top w:val="nil"/>
              <w:left w:val="nil"/>
              <w:bottom w:val="nil"/>
              <w:right w:val="nil"/>
            </w:tcBorders>
            <w:shd w:val="clear" w:color="auto" w:fill="auto"/>
            <w:noWrap/>
            <w:vAlign w:val="center"/>
            <w:hideMark/>
          </w:tcPr>
          <w:p w14:paraId="30567DD8"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-0.268</w:t>
            </w:r>
          </w:p>
        </w:tc>
        <w:tc>
          <w:tcPr>
            <w:tcW w:w="1440" w:type="dxa"/>
            <w:tcBorders>
              <w:top w:val="nil"/>
              <w:left w:val="nil"/>
              <w:bottom w:val="nil"/>
              <w:right w:val="nil"/>
            </w:tcBorders>
            <w:shd w:val="clear" w:color="auto" w:fill="auto"/>
            <w:noWrap/>
            <w:vAlign w:val="center"/>
            <w:hideMark/>
          </w:tcPr>
          <w:p w14:paraId="0126A309"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-0.580</w:t>
            </w:r>
          </w:p>
        </w:tc>
        <w:tc>
          <w:tcPr>
            <w:tcW w:w="1440" w:type="dxa"/>
            <w:tcBorders>
              <w:top w:val="nil"/>
              <w:left w:val="nil"/>
              <w:bottom w:val="nil"/>
              <w:right w:val="nil"/>
            </w:tcBorders>
            <w:shd w:val="clear" w:color="auto" w:fill="auto"/>
            <w:noWrap/>
            <w:vAlign w:val="center"/>
            <w:hideMark/>
          </w:tcPr>
          <w:p w14:paraId="42494266"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-0.632</w:t>
            </w:r>
          </w:p>
        </w:tc>
        <w:tc>
          <w:tcPr>
            <w:tcW w:w="1440" w:type="dxa"/>
            <w:tcBorders>
              <w:top w:val="nil"/>
              <w:left w:val="nil"/>
              <w:bottom w:val="nil"/>
              <w:right w:val="nil"/>
            </w:tcBorders>
            <w:shd w:val="clear" w:color="auto" w:fill="auto"/>
            <w:noWrap/>
            <w:vAlign w:val="center"/>
            <w:hideMark/>
          </w:tcPr>
          <w:p w14:paraId="0F850A6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-0.641</w:t>
            </w:r>
          </w:p>
        </w:tc>
      </w:tr>
      <w:tr w:rsidR="00D42E1A" w:rsidRPr="00D42E1A" w14:paraId="72631999"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6F4FEEE4"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Ankle</w:t>
            </w:r>
            <w:proofErr w:type="spellEnd"/>
            <w:r w:rsidRPr="00D42E1A">
              <w:rPr>
                <w:rFonts w:eastAsia="Times New Roman" w:cs="Times New Roman"/>
                <w:color w:val="000000"/>
                <w:sz w:val="20"/>
                <w:szCs w:val="20"/>
                <w:lang w:val="de-CH"/>
              </w:rPr>
              <w:t xml:space="preserve"> ABAD*</w:t>
            </w:r>
          </w:p>
        </w:tc>
        <w:tc>
          <w:tcPr>
            <w:tcW w:w="1440" w:type="dxa"/>
            <w:tcBorders>
              <w:top w:val="nil"/>
              <w:left w:val="nil"/>
              <w:bottom w:val="nil"/>
              <w:right w:val="nil"/>
            </w:tcBorders>
            <w:shd w:val="clear" w:color="auto" w:fill="auto"/>
            <w:noWrap/>
            <w:vAlign w:val="center"/>
            <w:hideMark/>
          </w:tcPr>
          <w:p w14:paraId="688C9B55"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-0.098</w:t>
            </w:r>
          </w:p>
        </w:tc>
        <w:tc>
          <w:tcPr>
            <w:tcW w:w="1440" w:type="dxa"/>
            <w:tcBorders>
              <w:top w:val="nil"/>
              <w:left w:val="nil"/>
              <w:bottom w:val="nil"/>
              <w:right w:val="nil"/>
            </w:tcBorders>
            <w:shd w:val="clear" w:color="auto" w:fill="auto"/>
            <w:noWrap/>
            <w:vAlign w:val="center"/>
            <w:hideMark/>
          </w:tcPr>
          <w:p w14:paraId="75300B7B"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-0.101</w:t>
            </w:r>
          </w:p>
        </w:tc>
        <w:tc>
          <w:tcPr>
            <w:tcW w:w="1440" w:type="dxa"/>
            <w:tcBorders>
              <w:top w:val="nil"/>
              <w:left w:val="nil"/>
              <w:bottom w:val="nil"/>
              <w:right w:val="nil"/>
            </w:tcBorders>
            <w:shd w:val="clear" w:color="auto" w:fill="auto"/>
            <w:noWrap/>
            <w:vAlign w:val="center"/>
            <w:hideMark/>
          </w:tcPr>
          <w:p w14:paraId="4F355456"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-0.104</w:t>
            </w:r>
          </w:p>
        </w:tc>
        <w:tc>
          <w:tcPr>
            <w:tcW w:w="1440" w:type="dxa"/>
            <w:tcBorders>
              <w:top w:val="nil"/>
              <w:left w:val="nil"/>
              <w:bottom w:val="nil"/>
              <w:right w:val="nil"/>
            </w:tcBorders>
            <w:shd w:val="clear" w:color="auto" w:fill="auto"/>
            <w:noWrap/>
            <w:vAlign w:val="center"/>
            <w:hideMark/>
          </w:tcPr>
          <w:p w14:paraId="4BF13B63"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-0.225</w:t>
            </w:r>
          </w:p>
        </w:tc>
        <w:tc>
          <w:tcPr>
            <w:tcW w:w="1440" w:type="dxa"/>
            <w:tcBorders>
              <w:top w:val="nil"/>
              <w:left w:val="nil"/>
              <w:bottom w:val="nil"/>
              <w:right w:val="nil"/>
            </w:tcBorders>
            <w:shd w:val="clear" w:color="auto" w:fill="auto"/>
            <w:noWrap/>
            <w:vAlign w:val="center"/>
            <w:hideMark/>
          </w:tcPr>
          <w:p w14:paraId="00801E22"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-0.246</w:t>
            </w:r>
          </w:p>
        </w:tc>
        <w:tc>
          <w:tcPr>
            <w:tcW w:w="1440" w:type="dxa"/>
            <w:tcBorders>
              <w:top w:val="nil"/>
              <w:left w:val="nil"/>
              <w:bottom w:val="nil"/>
              <w:right w:val="nil"/>
            </w:tcBorders>
            <w:shd w:val="clear" w:color="auto" w:fill="auto"/>
            <w:noWrap/>
            <w:vAlign w:val="center"/>
            <w:hideMark/>
          </w:tcPr>
          <w:p w14:paraId="4E10B7AC"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-0.249</w:t>
            </w:r>
          </w:p>
        </w:tc>
      </w:tr>
      <w:tr w:rsidR="00D42E1A" w:rsidRPr="00D42E1A" w14:paraId="438F5E3F" w14:textId="77777777" w:rsidTr="00E4684C">
        <w:trPr>
          <w:trHeight w:val="320"/>
        </w:trPr>
        <w:tc>
          <w:tcPr>
            <w:tcW w:w="1360" w:type="dxa"/>
            <w:tcBorders>
              <w:top w:val="nil"/>
              <w:left w:val="nil"/>
              <w:bottom w:val="nil"/>
              <w:right w:val="single" w:sz="4" w:space="0" w:color="auto"/>
            </w:tcBorders>
            <w:shd w:val="clear" w:color="auto" w:fill="auto"/>
            <w:noWrap/>
            <w:vAlign w:val="center"/>
            <w:hideMark/>
          </w:tcPr>
          <w:p w14:paraId="5ED9FF43" w14:textId="77777777" w:rsidR="00D42E1A" w:rsidRPr="00D42E1A" w:rsidRDefault="00D42E1A" w:rsidP="00D42E1A">
            <w:pPr>
              <w:spacing w:before="0" w:line="240" w:lineRule="auto"/>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Ankle</w:t>
            </w:r>
            <w:proofErr w:type="spellEnd"/>
            <w:r w:rsidRPr="00D42E1A">
              <w:rPr>
                <w:rFonts w:eastAsia="Times New Roman" w:cs="Times New Roman"/>
                <w:color w:val="000000"/>
                <w:sz w:val="20"/>
                <w:szCs w:val="20"/>
                <w:lang w:val="de-CH"/>
              </w:rPr>
              <w:t xml:space="preserve"> LAR*</w:t>
            </w:r>
          </w:p>
        </w:tc>
        <w:tc>
          <w:tcPr>
            <w:tcW w:w="1440" w:type="dxa"/>
            <w:tcBorders>
              <w:top w:val="nil"/>
              <w:left w:val="nil"/>
              <w:bottom w:val="nil"/>
              <w:right w:val="nil"/>
            </w:tcBorders>
            <w:shd w:val="clear" w:color="auto" w:fill="auto"/>
            <w:noWrap/>
            <w:vAlign w:val="center"/>
            <w:hideMark/>
          </w:tcPr>
          <w:p w14:paraId="6C2290C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-0.064</w:t>
            </w:r>
          </w:p>
        </w:tc>
        <w:tc>
          <w:tcPr>
            <w:tcW w:w="1440" w:type="dxa"/>
            <w:tcBorders>
              <w:top w:val="nil"/>
              <w:left w:val="nil"/>
              <w:bottom w:val="nil"/>
              <w:right w:val="nil"/>
            </w:tcBorders>
            <w:shd w:val="clear" w:color="auto" w:fill="auto"/>
            <w:noWrap/>
            <w:vAlign w:val="center"/>
            <w:hideMark/>
          </w:tcPr>
          <w:p w14:paraId="0518B0D5"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-0.066</w:t>
            </w:r>
          </w:p>
        </w:tc>
        <w:tc>
          <w:tcPr>
            <w:tcW w:w="1440" w:type="dxa"/>
            <w:tcBorders>
              <w:top w:val="nil"/>
              <w:left w:val="nil"/>
              <w:bottom w:val="nil"/>
              <w:right w:val="nil"/>
            </w:tcBorders>
            <w:shd w:val="clear" w:color="auto" w:fill="auto"/>
            <w:noWrap/>
            <w:vAlign w:val="center"/>
            <w:hideMark/>
          </w:tcPr>
          <w:p w14:paraId="1F449826"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-0.068</w:t>
            </w:r>
          </w:p>
        </w:tc>
        <w:tc>
          <w:tcPr>
            <w:tcW w:w="1440" w:type="dxa"/>
            <w:tcBorders>
              <w:top w:val="nil"/>
              <w:left w:val="nil"/>
              <w:bottom w:val="nil"/>
              <w:right w:val="nil"/>
            </w:tcBorders>
            <w:shd w:val="clear" w:color="auto" w:fill="auto"/>
            <w:noWrap/>
            <w:vAlign w:val="center"/>
            <w:hideMark/>
          </w:tcPr>
          <w:p w14:paraId="258DA932"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-0.148</w:t>
            </w:r>
          </w:p>
        </w:tc>
        <w:tc>
          <w:tcPr>
            <w:tcW w:w="1440" w:type="dxa"/>
            <w:tcBorders>
              <w:top w:val="nil"/>
              <w:left w:val="nil"/>
              <w:bottom w:val="nil"/>
              <w:right w:val="nil"/>
            </w:tcBorders>
            <w:shd w:val="clear" w:color="auto" w:fill="auto"/>
            <w:noWrap/>
            <w:vAlign w:val="center"/>
            <w:hideMark/>
          </w:tcPr>
          <w:p w14:paraId="46A0B044"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-0.161</w:t>
            </w:r>
          </w:p>
        </w:tc>
        <w:tc>
          <w:tcPr>
            <w:tcW w:w="1440" w:type="dxa"/>
            <w:tcBorders>
              <w:top w:val="nil"/>
              <w:left w:val="nil"/>
              <w:bottom w:val="nil"/>
              <w:right w:val="nil"/>
            </w:tcBorders>
            <w:shd w:val="clear" w:color="auto" w:fill="auto"/>
            <w:noWrap/>
            <w:vAlign w:val="center"/>
            <w:hideMark/>
          </w:tcPr>
          <w:p w14:paraId="1D96F706" w14:textId="77777777" w:rsidR="00D42E1A" w:rsidRPr="00D42E1A" w:rsidRDefault="00D42E1A" w:rsidP="00D42E1A">
            <w:pPr>
              <w:spacing w:before="0" w:line="240" w:lineRule="auto"/>
              <w:jc w:val="right"/>
              <w:rPr>
                <w:rFonts w:eastAsia="Times New Roman" w:cs="Times New Roman"/>
                <w:color w:val="000000"/>
                <w:sz w:val="18"/>
                <w:szCs w:val="18"/>
                <w:lang w:val="de-CH"/>
              </w:rPr>
            </w:pPr>
            <w:r w:rsidRPr="00D42E1A">
              <w:rPr>
                <w:rFonts w:eastAsia="Times New Roman" w:cs="Times New Roman"/>
                <w:color w:val="000000"/>
                <w:sz w:val="18"/>
                <w:szCs w:val="18"/>
                <w:lang w:val="de-CH"/>
              </w:rPr>
              <w:t>-0.163</w:t>
            </w:r>
          </w:p>
        </w:tc>
      </w:tr>
      <w:tr w:rsidR="00D42E1A" w:rsidRPr="00D42E1A" w14:paraId="062734E0" w14:textId="77777777" w:rsidTr="00E4684C">
        <w:trPr>
          <w:trHeight w:val="560"/>
        </w:trPr>
        <w:tc>
          <w:tcPr>
            <w:tcW w:w="1360" w:type="dxa"/>
            <w:tcBorders>
              <w:top w:val="single" w:sz="4" w:space="0" w:color="auto"/>
              <w:left w:val="nil"/>
              <w:bottom w:val="single" w:sz="4" w:space="0" w:color="auto"/>
              <w:right w:val="single" w:sz="4" w:space="0" w:color="auto"/>
            </w:tcBorders>
            <w:shd w:val="clear" w:color="auto" w:fill="auto"/>
            <w:vAlign w:val="center"/>
            <w:hideMark/>
          </w:tcPr>
          <w:p w14:paraId="6E1F7226"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Models: Simulation</w:t>
            </w:r>
          </w:p>
        </w:tc>
        <w:tc>
          <w:tcPr>
            <w:tcW w:w="1440" w:type="dxa"/>
            <w:tcBorders>
              <w:top w:val="single" w:sz="4" w:space="0" w:color="auto"/>
              <w:left w:val="nil"/>
              <w:bottom w:val="single" w:sz="4" w:space="0" w:color="auto"/>
              <w:right w:val="nil"/>
            </w:tcBorders>
            <w:shd w:val="clear" w:color="auto" w:fill="auto"/>
            <w:vAlign w:val="center"/>
            <w:hideMark/>
          </w:tcPr>
          <w:p w14:paraId="476AFEC9"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M1: 0, 25, 50, 70 M3: 0</w:t>
            </w:r>
          </w:p>
        </w:tc>
        <w:tc>
          <w:tcPr>
            <w:tcW w:w="1440" w:type="dxa"/>
            <w:tcBorders>
              <w:top w:val="single" w:sz="4" w:space="0" w:color="auto"/>
              <w:left w:val="nil"/>
              <w:bottom w:val="single" w:sz="4" w:space="0" w:color="auto"/>
              <w:right w:val="nil"/>
            </w:tcBorders>
            <w:shd w:val="clear" w:color="auto" w:fill="auto"/>
            <w:vAlign w:val="center"/>
            <w:hideMark/>
          </w:tcPr>
          <w:p w14:paraId="6EBD3CE8"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M2: 0, 25, 50, 75 M3: 25, 75</w:t>
            </w:r>
          </w:p>
        </w:tc>
        <w:tc>
          <w:tcPr>
            <w:tcW w:w="1440" w:type="dxa"/>
            <w:tcBorders>
              <w:top w:val="single" w:sz="4" w:space="0" w:color="auto"/>
              <w:left w:val="nil"/>
              <w:bottom w:val="single" w:sz="4" w:space="0" w:color="auto"/>
              <w:right w:val="nil"/>
            </w:tcBorders>
            <w:shd w:val="clear" w:color="auto" w:fill="auto"/>
            <w:noWrap/>
            <w:vAlign w:val="center"/>
            <w:hideMark/>
          </w:tcPr>
          <w:p w14:paraId="6CD692F4"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M3: 50</w:t>
            </w:r>
          </w:p>
        </w:tc>
        <w:tc>
          <w:tcPr>
            <w:tcW w:w="1440" w:type="dxa"/>
            <w:tcBorders>
              <w:top w:val="single" w:sz="4" w:space="0" w:color="auto"/>
              <w:left w:val="nil"/>
              <w:bottom w:val="single" w:sz="4" w:space="0" w:color="auto"/>
              <w:right w:val="nil"/>
            </w:tcBorders>
            <w:shd w:val="clear" w:color="auto" w:fill="auto"/>
            <w:noWrap/>
            <w:vAlign w:val="center"/>
            <w:hideMark/>
          </w:tcPr>
          <w:p w14:paraId="7ED09273"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M4: 0</w:t>
            </w:r>
          </w:p>
        </w:tc>
        <w:tc>
          <w:tcPr>
            <w:tcW w:w="1440" w:type="dxa"/>
            <w:tcBorders>
              <w:top w:val="single" w:sz="4" w:space="0" w:color="auto"/>
              <w:left w:val="nil"/>
              <w:bottom w:val="single" w:sz="4" w:space="0" w:color="auto"/>
              <w:right w:val="nil"/>
            </w:tcBorders>
            <w:shd w:val="clear" w:color="auto" w:fill="auto"/>
            <w:noWrap/>
            <w:vAlign w:val="center"/>
            <w:hideMark/>
          </w:tcPr>
          <w:p w14:paraId="228F30B4"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M4: 25</w:t>
            </w:r>
          </w:p>
        </w:tc>
        <w:tc>
          <w:tcPr>
            <w:tcW w:w="1440" w:type="dxa"/>
            <w:tcBorders>
              <w:top w:val="single" w:sz="4" w:space="0" w:color="auto"/>
              <w:left w:val="nil"/>
              <w:bottom w:val="single" w:sz="4" w:space="0" w:color="auto"/>
              <w:right w:val="nil"/>
            </w:tcBorders>
            <w:shd w:val="clear" w:color="auto" w:fill="auto"/>
            <w:noWrap/>
            <w:vAlign w:val="center"/>
            <w:hideMark/>
          </w:tcPr>
          <w:p w14:paraId="6A4C24A8" w14:textId="77777777" w:rsidR="00D42E1A" w:rsidRPr="00D42E1A" w:rsidRDefault="00D42E1A" w:rsidP="00D42E1A">
            <w:pPr>
              <w:spacing w:before="0" w:line="240" w:lineRule="auto"/>
              <w:rPr>
                <w:rFonts w:eastAsia="Times New Roman" w:cs="Times New Roman"/>
                <w:color w:val="000000"/>
                <w:sz w:val="18"/>
                <w:szCs w:val="18"/>
                <w:lang w:val="de-CH"/>
              </w:rPr>
            </w:pPr>
            <w:r w:rsidRPr="00D42E1A">
              <w:rPr>
                <w:rFonts w:eastAsia="Times New Roman" w:cs="Times New Roman"/>
                <w:color w:val="000000"/>
                <w:sz w:val="18"/>
                <w:szCs w:val="18"/>
                <w:lang w:val="de-CH"/>
              </w:rPr>
              <w:t>M4: 50, 75</w:t>
            </w:r>
          </w:p>
        </w:tc>
      </w:tr>
    </w:tbl>
    <w:p w14:paraId="25C20E8C" w14:textId="4EFB7410" w:rsidR="00833680" w:rsidRPr="00E4684C" w:rsidRDefault="00D42E1A" w:rsidP="00AE5030">
      <w:r w:rsidRPr="006A202A">
        <w:rPr>
          <w:b/>
          <w:bCs/>
        </w:rPr>
        <w:t>Supplementary Table S</w:t>
      </w:r>
      <w:r>
        <w:rPr>
          <w:b/>
          <w:bCs/>
        </w:rPr>
        <w:t>1</w:t>
      </w:r>
      <w:r w:rsidRPr="006A202A">
        <w:rPr>
          <w:b/>
          <w:bCs/>
        </w:rPr>
        <w:t>.</w:t>
      </w:r>
      <w:r>
        <w:t xml:space="preserve"> </w:t>
      </w:r>
      <w:r w:rsidRPr="00E4684C">
        <w:rPr>
          <w:b/>
          <w:bCs/>
          <w:i/>
          <w:iCs/>
        </w:rPr>
        <w:t>Euparkeria</w:t>
      </w:r>
      <w:r w:rsidRPr="00E4684C">
        <w:rPr>
          <w:b/>
          <w:bCs/>
        </w:rPr>
        <w:t xml:space="preserve"> hindlimb joint moments.</w:t>
      </w:r>
      <w:r>
        <w:t xml:space="preserve"> </w:t>
      </w:r>
      <w:r w:rsidRPr="00E4684C">
        <w:t xml:space="preserve">Joint moments in Nm for the different maximal GRF of the different simulations. </w:t>
      </w:r>
      <w:r>
        <w:t xml:space="preserve">Note, joints denoted with an asterisk (*) were locked in the simulations and not actuated by muscle force. </w:t>
      </w:r>
    </w:p>
    <w:p w14:paraId="336CFBAF" w14:textId="09D4ECD5" w:rsidR="00D42E1A" w:rsidRDefault="00D42E1A" w:rsidP="00AE5030">
      <w:pPr>
        <w:rPr>
          <w:b/>
          <w:bCs/>
        </w:rPr>
      </w:pPr>
    </w:p>
    <w:tbl>
      <w:tblPr>
        <w:tblW w:w="5780" w:type="dxa"/>
        <w:tblCellMar>
          <w:left w:w="70" w:type="dxa"/>
          <w:right w:w="70" w:type="dxa"/>
        </w:tblCellMar>
        <w:tblLook w:val="04A0" w:firstRow="1" w:lastRow="0" w:firstColumn="1" w:lastColumn="0" w:noHBand="0" w:noVBand="1"/>
      </w:tblPr>
      <w:tblGrid>
        <w:gridCol w:w="580"/>
        <w:gridCol w:w="1300"/>
        <w:gridCol w:w="1300"/>
        <w:gridCol w:w="1300"/>
        <w:gridCol w:w="1300"/>
      </w:tblGrid>
      <w:tr w:rsidR="00D42E1A" w:rsidRPr="00D42E1A" w14:paraId="1DE215E5" w14:textId="77777777" w:rsidTr="00D42E1A">
        <w:trPr>
          <w:trHeight w:val="560"/>
        </w:trPr>
        <w:tc>
          <w:tcPr>
            <w:tcW w:w="580" w:type="dxa"/>
            <w:tcBorders>
              <w:top w:val="single" w:sz="4" w:space="0" w:color="auto"/>
              <w:left w:val="nil"/>
              <w:bottom w:val="single" w:sz="4" w:space="0" w:color="auto"/>
              <w:right w:val="nil"/>
            </w:tcBorders>
            <w:shd w:val="clear" w:color="auto" w:fill="auto"/>
            <w:vAlign w:val="center"/>
            <w:hideMark/>
          </w:tcPr>
          <w:p w14:paraId="4908BCB6" w14:textId="77777777" w:rsidR="00D42E1A" w:rsidRPr="00D42E1A" w:rsidRDefault="00D42E1A" w:rsidP="00D42E1A">
            <w:pPr>
              <w:spacing w:before="0" w:line="240" w:lineRule="auto"/>
              <w:jc w:val="center"/>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Tree</w:t>
            </w:r>
            <w:proofErr w:type="spellEnd"/>
          </w:p>
        </w:tc>
        <w:tc>
          <w:tcPr>
            <w:tcW w:w="1300" w:type="dxa"/>
            <w:tcBorders>
              <w:top w:val="single" w:sz="4" w:space="0" w:color="auto"/>
              <w:left w:val="nil"/>
              <w:bottom w:val="single" w:sz="4" w:space="0" w:color="auto"/>
              <w:right w:val="nil"/>
            </w:tcBorders>
            <w:shd w:val="clear" w:color="auto" w:fill="auto"/>
            <w:vAlign w:val="center"/>
            <w:hideMark/>
          </w:tcPr>
          <w:p w14:paraId="6F3C71B9"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 xml:space="preserve">Character </w:t>
            </w:r>
            <w:proofErr w:type="spellStart"/>
            <w:r w:rsidRPr="00D42E1A">
              <w:rPr>
                <w:rFonts w:eastAsia="Times New Roman" w:cs="Times New Roman"/>
                <w:color w:val="000000"/>
                <w:sz w:val="20"/>
                <w:szCs w:val="20"/>
                <w:lang w:val="de-CH"/>
              </w:rPr>
              <w:t>states</w:t>
            </w:r>
            <w:proofErr w:type="spellEnd"/>
          </w:p>
        </w:tc>
        <w:tc>
          <w:tcPr>
            <w:tcW w:w="1300" w:type="dxa"/>
            <w:tcBorders>
              <w:top w:val="single" w:sz="4" w:space="0" w:color="auto"/>
              <w:left w:val="nil"/>
              <w:bottom w:val="single" w:sz="4" w:space="0" w:color="auto"/>
              <w:right w:val="nil"/>
            </w:tcBorders>
            <w:shd w:val="clear" w:color="auto" w:fill="auto"/>
            <w:vAlign w:val="center"/>
            <w:hideMark/>
          </w:tcPr>
          <w:p w14:paraId="7CE3BDB7"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Model</w:t>
            </w:r>
          </w:p>
        </w:tc>
        <w:tc>
          <w:tcPr>
            <w:tcW w:w="1300" w:type="dxa"/>
            <w:tcBorders>
              <w:top w:val="single" w:sz="4" w:space="0" w:color="auto"/>
              <w:left w:val="nil"/>
              <w:bottom w:val="single" w:sz="4" w:space="0" w:color="auto"/>
              <w:right w:val="nil"/>
            </w:tcBorders>
            <w:shd w:val="clear" w:color="auto" w:fill="auto"/>
            <w:vAlign w:val="center"/>
            <w:hideMark/>
          </w:tcPr>
          <w:p w14:paraId="47F20AE5"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log-</w:t>
            </w:r>
            <w:proofErr w:type="spellStart"/>
            <w:r w:rsidRPr="00D42E1A">
              <w:rPr>
                <w:rFonts w:eastAsia="Times New Roman" w:cs="Times New Roman"/>
                <w:color w:val="000000"/>
                <w:sz w:val="20"/>
                <w:szCs w:val="20"/>
                <w:lang w:val="de-CH"/>
              </w:rPr>
              <w:t>likelihood</w:t>
            </w:r>
            <w:proofErr w:type="spellEnd"/>
          </w:p>
        </w:tc>
        <w:tc>
          <w:tcPr>
            <w:tcW w:w="1300" w:type="dxa"/>
            <w:tcBorders>
              <w:top w:val="single" w:sz="4" w:space="0" w:color="auto"/>
              <w:left w:val="nil"/>
              <w:bottom w:val="single" w:sz="4" w:space="0" w:color="auto"/>
              <w:right w:val="nil"/>
            </w:tcBorders>
            <w:shd w:val="clear" w:color="auto" w:fill="auto"/>
            <w:vAlign w:val="center"/>
            <w:hideMark/>
          </w:tcPr>
          <w:p w14:paraId="2B98BEF2"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AIC</w:t>
            </w:r>
          </w:p>
        </w:tc>
      </w:tr>
      <w:tr w:rsidR="00D42E1A" w:rsidRPr="00D42E1A" w14:paraId="44ADF1D1" w14:textId="77777777" w:rsidTr="00D42E1A">
        <w:trPr>
          <w:trHeight w:val="320"/>
        </w:trPr>
        <w:tc>
          <w:tcPr>
            <w:tcW w:w="580" w:type="dxa"/>
            <w:vMerge w:val="restart"/>
            <w:tcBorders>
              <w:top w:val="nil"/>
              <w:left w:val="nil"/>
              <w:bottom w:val="single" w:sz="4" w:space="0" w:color="000000"/>
              <w:right w:val="nil"/>
            </w:tcBorders>
            <w:shd w:val="clear" w:color="auto" w:fill="auto"/>
            <w:noWrap/>
            <w:textDirection w:val="btLr"/>
            <w:vAlign w:val="center"/>
            <w:hideMark/>
          </w:tcPr>
          <w:p w14:paraId="056EACB7" w14:textId="77777777" w:rsidR="00D42E1A" w:rsidRPr="00D42E1A" w:rsidRDefault="00D42E1A" w:rsidP="00D42E1A">
            <w:pPr>
              <w:spacing w:before="0" w:line="240" w:lineRule="auto"/>
              <w:jc w:val="center"/>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Nesbitt</w:t>
            </w:r>
            <w:proofErr w:type="spellEnd"/>
          </w:p>
        </w:tc>
        <w:tc>
          <w:tcPr>
            <w:tcW w:w="1300" w:type="dxa"/>
            <w:tcBorders>
              <w:top w:val="nil"/>
              <w:left w:val="nil"/>
              <w:bottom w:val="nil"/>
              <w:right w:val="nil"/>
            </w:tcBorders>
            <w:shd w:val="clear" w:color="auto" w:fill="auto"/>
            <w:noWrap/>
            <w:vAlign w:val="center"/>
            <w:hideMark/>
          </w:tcPr>
          <w:p w14:paraId="01E496A4"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2</w:t>
            </w:r>
          </w:p>
        </w:tc>
        <w:tc>
          <w:tcPr>
            <w:tcW w:w="1300" w:type="dxa"/>
            <w:tcBorders>
              <w:top w:val="nil"/>
              <w:left w:val="nil"/>
              <w:bottom w:val="nil"/>
              <w:right w:val="nil"/>
            </w:tcBorders>
            <w:shd w:val="clear" w:color="auto" w:fill="auto"/>
            <w:noWrap/>
            <w:vAlign w:val="center"/>
            <w:hideMark/>
          </w:tcPr>
          <w:p w14:paraId="3973C0DC"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EQ</w:t>
            </w:r>
          </w:p>
        </w:tc>
        <w:tc>
          <w:tcPr>
            <w:tcW w:w="1300" w:type="dxa"/>
            <w:tcBorders>
              <w:top w:val="nil"/>
              <w:left w:val="nil"/>
              <w:bottom w:val="nil"/>
              <w:right w:val="nil"/>
            </w:tcBorders>
            <w:shd w:val="clear" w:color="auto" w:fill="auto"/>
            <w:noWrap/>
            <w:vAlign w:val="center"/>
            <w:hideMark/>
          </w:tcPr>
          <w:p w14:paraId="28BA8301"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-21.845</w:t>
            </w:r>
          </w:p>
        </w:tc>
        <w:tc>
          <w:tcPr>
            <w:tcW w:w="1300" w:type="dxa"/>
            <w:tcBorders>
              <w:top w:val="nil"/>
              <w:left w:val="nil"/>
              <w:bottom w:val="nil"/>
              <w:right w:val="nil"/>
            </w:tcBorders>
            <w:shd w:val="clear" w:color="auto" w:fill="auto"/>
            <w:noWrap/>
            <w:vAlign w:val="center"/>
            <w:hideMark/>
          </w:tcPr>
          <w:p w14:paraId="164087FF"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49.690</w:t>
            </w:r>
          </w:p>
        </w:tc>
      </w:tr>
      <w:tr w:rsidR="00D42E1A" w:rsidRPr="00D42E1A" w14:paraId="0477816F" w14:textId="77777777" w:rsidTr="00D42E1A">
        <w:trPr>
          <w:trHeight w:val="320"/>
        </w:trPr>
        <w:tc>
          <w:tcPr>
            <w:tcW w:w="580" w:type="dxa"/>
            <w:vMerge/>
            <w:tcBorders>
              <w:top w:val="nil"/>
              <w:left w:val="nil"/>
              <w:bottom w:val="single" w:sz="4" w:space="0" w:color="000000"/>
              <w:right w:val="nil"/>
            </w:tcBorders>
            <w:vAlign w:val="center"/>
            <w:hideMark/>
          </w:tcPr>
          <w:p w14:paraId="6022B0E5"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2DE93675"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2</w:t>
            </w:r>
          </w:p>
        </w:tc>
        <w:tc>
          <w:tcPr>
            <w:tcW w:w="1300" w:type="dxa"/>
            <w:tcBorders>
              <w:top w:val="nil"/>
              <w:left w:val="nil"/>
              <w:bottom w:val="nil"/>
              <w:right w:val="nil"/>
            </w:tcBorders>
            <w:shd w:val="clear" w:color="auto" w:fill="auto"/>
            <w:noWrap/>
            <w:vAlign w:val="center"/>
            <w:hideMark/>
          </w:tcPr>
          <w:p w14:paraId="66DAE43E"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ARD</w:t>
            </w:r>
          </w:p>
        </w:tc>
        <w:tc>
          <w:tcPr>
            <w:tcW w:w="1300" w:type="dxa"/>
            <w:tcBorders>
              <w:top w:val="nil"/>
              <w:left w:val="nil"/>
              <w:bottom w:val="nil"/>
              <w:right w:val="nil"/>
            </w:tcBorders>
            <w:shd w:val="clear" w:color="auto" w:fill="auto"/>
            <w:noWrap/>
            <w:vAlign w:val="center"/>
            <w:hideMark/>
          </w:tcPr>
          <w:p w14:paraId="76731223"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-21.837</w:t>
            </w:r>
          </w:p>
        </w:tc>
        <w:tc>
          <w:tcPr>
            <w:tcW w:w="1300" w:type="dxa"/>
            <w:tcBorders>
              <w:top w:val="nil"/>
              <w:left w:val="nil"/>
              <w:bottom w:val="nil"/>
              <w:right w:val="nil"/>
            </w:tcBorders>
            <w:shd w:val="clear" w:color="auto" w:fill="auto"/>
            <w:noWrap/>
            <w:vAlign w:val="center"/>
            <w:hideMark/>
          </w:tcPr>
          <w:p w14:paraId="378BACF8"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51.675</w:t>
            </w:r>
          </w:p>
        </w:tc>
      </w:tr>
      <w:tr w:rsidR="00D42E1A" w:rsidRPr="00D42E1A" w14:paraId="3F8709E1" w14:textId="77777777" w:rsidTr="00D42E1A">
        <w:trPr>
          <w:trHeight w:val="320"/>
        </w:trPr>
        <w:tc>
          <w:tcPr>
            <w:tcW w:w="580" w:type="dxa"/>
            <w:vMerge/>
            <w:tcBorders>
              <w:top w:val="nil"/>
              <w:left w:val="nil"/>
              <w:bottom w:val="single" w:sz="4" w:space="0" w:color="000000"/>
              <w:right w:val="nil"/>
            </w:tcBorders>
            <w:vAlign w:val="center"/>
            <w:hideMark/>
          </w:tcPr>
          <w:p w14:paraId="77AD42E8"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4CECB857"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nil"/>
              <w:right w:val="nil"/>
            </w:tcBorders>
            <w:shd w:val="clear" w:color="auto" w:fill="auto"/>
            <w:noWrap/>
            <w:vAlign w:val="center"/>
            <w:hideMark/>
          </w:tcPr>
          <w:p w14:paraId="3068B766"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EQ</w:t>
            </w:r>
          </w:p>
        </w:tc>
        <w:tc>
          <w:tcPr>
            <w:tcW w:w="1300" w:type="dxa"/>
            <w:tcBorders>
              <w:top w:val="nil"/>
              <w:left w:val="nil"/>
              <w:bottom w:val="nil"/>
              <w:right w:val="nil"/>
            </w:tcBorders>
            <w:shd w:val="clear" w:color="auto" w:fill="auto"/>
            <w:noWrap/>
            <w:vAlign w:val="center"/>
            <w:hideMark/>
          </w:tcPr>
          <w:p w14:paraId="3C509D12"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-35.304</w:t>
            </w:r>
          </w:p>
        </w:tc>
        <w:tc>
          <w:tcPr>
            <w:tcW w:w="1300" w:type="dxa"/>
            <w:tcBorders>
              <w:top w:val="nil"/>
              <w:left w:val="nil"/>
              <w:bottom w:val="nil"/>
              <w:right w:val="nil"/>
            </w:tcBorders>
            <w:shd w:val="clear" w:color="auto" w:fill="auto"/>
            <w:noWrap/>
            <w:vAlign w:val="center"/>
            <w:hideMark/>
          </w:tcPr>
          <w:p w14:paraId="7BA68D48"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80.608</w:t>
            </w:r>
          </w:p>
        </w:tc>
      </w:tr>
      <w:tr w:rsidR="00D42E1A" w:rsidRPr="00D42E1A" w14:paraId="0662EF7C" w14:textId="77777777" w:rsidTr="00D42E1A">
        <w:trPr>
          <w:trHeight w:val="320"/>
        </w:trPr>
        <w:tc>
          <w:tcPr>
            <w:tcW w:w="580" w:type="dxa"/>
            <w:vMerge/>
            <w:tcBorders>
              <w:top w:val="nil"/>
              <w:left w:val="nil"/>
              <w:bottom w:val="single" w:sz="4" w:space="0" w:color="000000"/>
              <w:right w:val="nil"/>
            </w:tcBorders>
            <w:vAlign w:val="center"/>
            <w:hideMark/>
          </w:tcPr>
          <w:p w14:paraId="3A92C6FE"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2BE8D857"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nil"/>
              <w:right w:val="nil"/>
            </w:tcBorders>
            <w:shd w:val="clear" w:color="auto" w:fill="auto"/>
            <w:noWrap/>
            <w:vAlign w:val="center"/>
            <w:hideMark/>
          </w:tcPr>
          <w:p w14:paraId="1EC041D2"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SYM</w:t>
            </w:r>
          </w:p>
        </w:tc>
        <w:tc>
          <w:tcPr>
            <w:tcW w:w="1300" w:type="dxa"/>
            <w:tcBorders>
              <w:top w:val="nil"/>
              <w:left w:val="nil"/>
              <w:bottom w:val="nil"/>
              <w:right w:val="nil"/>
            </w:tcBorders>
            <w:shd w:val="clear" w:color="auto" w:fill="auto"/>
            <w:noWrap/>
            <w:vAlign w:val="center"/>
            <w:hideMark/>
          </w:tcPr>
          <w:p w14:paraId="50A9E251"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-32.604</w:t>
            </w:r>
          </w:p>
        </w:tc>
        <w:tc>
          <w:tcPr>
            <w:tcW w:w="1300" w:type="dxa"/>
            <w:tcBorders>
              <w:top w:val="nil"/>
              <w:left w:val="nil"/>
              <w:bottom w:val="nil"/>
              <w:right w:val="nil"/>
            </w:tcBorders>
            <w:shd w:val="clear" w:color="auto" w:fill="auto"/>
            <w:noWrap/>
            <w:vAlign w:val="center"/>
            <w:hideMark/>
          </w:tcPr>
          <w:p w14:paraId="205C0CC7"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77.209</w:t>
            </w:r>
          </w:p>
        </w:tc>
      </w:tr>
      <w:tr w:rsidR="00D42E1A" w:rsidRPr="00D42E1A" w14:paraId="545FEACA" w14:textId="77777777" w:rsidTr="00D42E1A">
        <w:trPr>
          <w:trHeight w:val="320"/>
        </w:trPr>
        <w:tc>
          <w:tcPr>
            <w:tcW w:w="580" w:type="dxa"/>
            <w:vMerge/>
            <w:tcBorders>
              <w:top w:val="nil"/>
              <w:left w:val="nil"/>
              <w:bottom w:val="single" w:sz="4" w:space="0" w:color="000000"/>
              <w:right w:val="nil"/>
            </w:tcBorders>
            <w:vAlign w:val="center"/>
            <w:hideMark/>
          </w:tcPr>
          <w:p w14:paraId="1C8A1C93"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single" w:sz="4" w:space="0" w:color="auto"/>
              <w:right w:val="nil"/>
            </w:tcBorders>
            <w:shd w:val="clear" w:color="auto" w:fill="auto"/>
            <w:noWrap/>
            <w:vAlign w:val="center"/>
            <w:hideMark/>
          </w:tcPr>
          <w:p w14:paraId="7976F38A"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single" w:sz="4" w:space="0" w:color="auto"/>
              <w:right w:val="nil"/>
            </w:tcBorders>
            <w:shd w:val="clear" w:color="auto" w:fill="auto"/>
            <w:noWrap/>
            <w:vAlign w:val="center"/>
            <w:hideMark/>
          </w:tcPr>
          <w:p w14:paraId="6369E18D"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ARD</w:t>
            </w:r>
          </w:p>
        </w:tc>
        <w:tc>
          <w:tcPr>
            <w:tcW w:w="1300" w:type="dxa"/>
            <w:tcBorders>
              <w:top w:val="nil"/>
              <w:left w:val="nil"/>
              <w:bottom w:val="single" w:sz="4" w:space="0" w:color="auto"/>
              <w:right w:val="nil"/>
            </w:tcBorders>
            <w:shd w:val="clear" w:color="auto" w:fill="auto"/>
            <w:noWrap/>
            <w:vAlign w:val="center"/>
            <w:hideMark/>
          </w:tcPr>
          <w:p w14:paraId="6FFED821"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-23.956</w:t>
            </w:r>
          </w:p>
        </w:tc>
        <w:tc>
          <w:tcPr>
            <w:tcW w:w="1300" w:type="dxa"/>
            <w:tcBorders>
              <w:top w:val="nil"/>
              <w:left w:val="nil"/>
              <w:bottom w:val="single" w:sz="4" w:space="0" w:color="auto"/>
              <w:right w:val="nil"/>
            </w:tcBorders>
            <w:shd w:val="clear" w:color="auto" w:fill="auto"/>
            <w:noWrap/>
            <w:vAlign w:val="center"/>
            <w:hideMark/>
          </w:tcPr>
          <w:p w14:paraId="1EB65823"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63.913</w:t>
            </w:r>
          </w:p>
        </w:tc>
      </w:tr>
      <w:tr w:rsidR="00D42E1A" w:rsidRPr="00D42E1A" w14:paraId="6AE00878" w14:textId="77777777" w:rsidTr="00D42E1A">
        <w:trPr>
          <w:trHeight w:val="320"/>
        </w:trPr>
        <w:tc>
          <w:tcPr>
            <w:tcW w:w="580" w:type="dxa"/>
            <w:vMerge w:val="restart"/>
            <w:tcBorders>
              <w:top w:val="nil"/>
              <w:left w:val="nil"/>
              <w:bottom w:val="single" w:sz="4" w:space="0" w:color="000000"/>
              <w:right w:val="nil"/>
            </w:tcBorders>
            <w:shd w:val="clear" w:color="auto" w:fill="auto"/>
            <w:noWrap/>
            <w:textDirection w:val="btLr"/>
            <w:vAlign w:val="center"/>
            <w:hideMark/>
          </w:tcPr>
          <w:p w14:paraId="7EBF2A6F" w14:textId="77777777" w:rsidR="00D42E1A" w:rsidRPr="00D42E1A" w:rsidRDefault="00D42E1A" w:rsidP="00D42E1A">
            <w:pPr>
              <w:spacing w:before="0" w:line="240" w:lineRule="auto"/>
              <w:jc w:val="center"/>
              <w:rPr>
                <w:rFonts w:eastAsia="Times New Roman" w:cs="Times New Roman"/>
                <w:color w:val="000000"/>
                <w:sz w:val="20"/>
                <w:szCs w:val="20"/>
                <w:lang w:val="de-CH"/>
              </w:rPr>
            </w:pPr>
            <w:proofErr w:type="spellStart"/>
            <w:r w:rsidRPr="00D42E1A">
              <w:rPr>
                <w:rFonts w:eastAsia="Times New Roman" w:cs="Times New Roman"/>
                <w:color w:val="000000"/>
                <w:sz w:val="20"/>
                <w:szCs w:val="20"/>
                <w:lang w:val="de-CH"/>
              </w:rPr>
              <w:t>Ezcurra</w:t>
            </w:r>
            <w:proofErr w:type="spellEnd"/>
          </w:p>
        </w:tc>
        <w:tc>
          <w:tcPr>
            <w:tcW w:w="1300" w:type="dxa"/>
            <w:tcBorders>
              <w:top w:val="nil"/>
              <w:left w:val="nil"/>
              <w:bottom w:val="nil"/>
              <w:right w:val="nil"/>
            </w:tcBorders>
            <w:shd w:val="clear" w:color="auto" w:fill="auto"/>
            <w:noWrap/>
            <w:vAlign w:val="center"/>
            <w:hideMark/>
          </w:tcPr>
          <w:p w14:paraId="06CBE97A"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2</w:t>
            </w:r>
          </w:p>
        </w:tc>
        <w:tc>
          <w:tcPr>
            <w:tcW w:w="1300" w:type="dxa"/>
            <w:tcBorders>
              <w:top w:val="nil"/>
              <w:left w:val="nil"/>
              <w:bottom w:val="nil"/>
              <w:right w:val="nil"/>
            </w:tcBorders>
            <w:shd w:val="clear" w:color="auto" w:fill="auto"/>
            <w:noWrap/>
            <w:vAlign w:val="center"/>
            <w:hideMark/>
          </w:tcPr>
          <w:p w14:paraId="57C89841"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EQ</w:t>
            </w:r>
          </w:p>
        </w:tc>
        <w:tc>
          <w:tcPr>
            <w:tcW w:w="1300" w:type="dxa"/>
            <w:tcBorders>
              <w:top w:val="nil"/>
              <w:left w:val="nil"/>
              <w:bottom w:val="nil"/>
              <w:right w:val="nil"/>
            </w:tcBorders>
            <w:shd w:val="clear" w:color="auto" w:fill="auto"/>
            <w:noWrap/>
            <w:vAlign w:val="center"/>
            <w:hideMark/>
          </w:tcPr>
          <w:p w14:paraId="4585D286"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-21.851</w:t>
            </w:r>
          </w:p>
        </w:tc>
        <w:tc>
          <w:tcPr>
            <w:tcW w:w="1300" w:type="dxa"/>
            <w:tcBorders>
              <w:top w:val="nil"/>
              <w:left w:val="nil"/>
              <w:bottom w:val="nil"/>
              <w:right w:val="nil"/>
            </w:tcBorders>
            <w:shd w:val="clear" w:color="auto" w:fill="auto"/>
            <w:noWrap/>
            <w:vAlign w:val="center"/>
            <w:hideMark/>
          </w:tcPr>
          <w:p w14:paraId="39EA4183"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49.702</w:t>
            </w:r>
          </w:p>
        </w:tc>
      </w:tr>
      <w:tr w:rsidR="00D42E1A" w:rsidRPr="00D42E1A" w14:paraId="2711C176" w14:textId="77777777" w:rsidTr="00D42E1A">
        <w:trPr>
          <w:trHeight w:val="320"/>
        </w:trPr>
        <w:tc>
          <w:tcPr>
            <w:tcW w:w="580" w:type="dxa"/>
            <w:vMerge/>
            <w:tcBorders>
              <w:top w:val="nil"/>
              <w:left w:val="nil"/>
              <w:bottom w:val="single" w:sz="4" w:space="0" w:color="000000"/>
              <w:right w:val="nil"/>
            </w:tcBorders>
            <w:vAlign w:val="center"/>
            <w:hideMark/>
          </w:tcPr>
          <w:p w14:paraId="2FB1C12E"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514CD69B"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2</w:t>
            </w:r>
          </w:p>
        </w:tc>
        <w:tc>
          <w:tcPr>
            <w:tcW w:w="1300" w:type="dxa"/>
            <w:tcBorders>
              <w:top w:val="nil"/>
              <w:left w:val="nil"/>
              <w:bottom w:val="nil"/>
              <w:right w:val="nil"/>
            </w:tcBorders>
            <w:shd w:val="clear" w:color="auto" w:fill="auto"/>
            <w:noWrap/>
            <w:vAlign w:val="center"/>
            <w:hideMark/>
          </w:tcPr>
          <w:p w14:paraId="0BD1CA6F"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ARD</w:t>
            </w:r>
          </w:p>
        </w:tc>
        <w:tc>
          <w:tcPr>
            <w:tcW w:w="1300" w:type="dxa"/>
            <w:tcBorders>
              <w:top w:val="nil"/>
              <w:left w:val="nil"/>
              <w:bottom w:val="nil"/>
              <w:right w:val="nil"/>
            </w:tcBorders>
            <w:shd w:val="clear" w:color="auto" w:fill="auto"/>
            <w:noWrap/>
            <w:vAlign w:val="center"/>
            <w:hideMark/>
          </w:tcPr>
          <w:p w14:paraId="0A4FBACD"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-21.850</w:t>
            </w:r>
          </w:p>
        </w:tc>
        <w:tc>
          <w:tcPr>
            <w:tcW w:w="1300" w:type="dxa"/>
            <w:tcBorders>
              <w:top w:val="nil"/>
              <w:left w:val="nil"/>
              <w:bottom w:val="nil"/>
              <w:right w:val="nil"/>
            </w:tcBorders>
            <w:shd w:val="clear" w:color="auto" w:fill="auto"/>
            <w:noWrap/>
            <w:vAlign w:val="center"/>
            <w:hideMark/>
          </w:tcPr>
          <w:p w14:paraId="2FBDFFF9"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51.699</w:t>
            </w:r>
          </w:p>
        </w:tc>
      </w:tr>
      <w:tr w:rsidR="00D42E1A" w:rsidRPr="00D42E1A" w14:paraId="38578C77" w14:textId="77777777" w:rsidTr="00D42E1A">
        <w:trPr>
          <w:trHeight w:val="320"/>
        </w:trPr>
        <w:tc>
          <w:tcPr>
            <w:tcW w:w="580" w:type="dxa"/>
            <w:vMerge/>
            <w:tcBorders>
              <w:top w:val="nil"/>
              <w:left w:val="nil"/>
              <w:bottom w:val="single" w:sz="4" w:space="0" w:color="000000"/>
              <w:right w:val="nil"/>
            </w:tcBorders>
            <w:vAlign w:val="center"/>
            <w:hideMark/>
          </w:tcPr>
          <w:p w14:paraId="6F3782B6"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3F9E7ED2"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nil"/>
              <w:right w:val="nil"/>
            </w:tcBorders>
            <w:shd w:val="clear" w:color="auto" w:fill="auto"/>
            <w:noWrap/>
            <w:vAlign w:val="center"/>
            <w:hideMark/>
          </w:tcPr>
          <w:p w14:paraId="3E741E1F"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EQ</w:t>
            </w:r>
          </w:p>
        </w:tc>
        <w:tc>
          <w:tcPr>
            <w:tcW w:w="1300" w:type="dxa"/>
            <w:tcBorders>
              <w:top w:val="nil"/>
              <w:left w:val="nil"/>
              <w:bottom w:val="nil"/>
              <w:right w:val="nil"/>
            </w:tcBorders>
            <w:shd w:val="clear" w:color="auto" w:fill="auto"/>
            <w:noWrap/>
            <w:vAlign w:val="center"/>
            <w:hideMark/>
          </w:tcPr>
          <w:p w14:paraId="07B47151"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-35.301</w:t>
            </w:r>
          </w:p>
        </w:tc>
        <w:tc>
          <w:tcPr>
            <w:tcW w:w="1300" w:type="dxa"/>
            <w:tcBorders>
              <w:top w:val="nil"/>
              <w:left w:val="nil"/>
              <w:bottom w:val="nil"/>
              <w:right w:val="nil"/>
            </w:tcBorders>
            <w:shd w:val="clear" w:color="auto" w:fill="auto"/>
            <w:noWrap/>
            <w:vAlign w:val="center"/>
            <w:hideMark/>
          </w:tcPr>
          <w:p w14:paraId="306BF30A"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80.602</w:t>
            </w:r>
          </w:p>
        </w:tc>
      </w:tr>
      <w:tr w:rsidR="00D42E1A" w:rsidRPr="00D42E1A" w14:paraId="4AFC9AD2" w14:textId="77777777" w:rsidTr="00D42E1A">
        <w:trPr>
          <w:trHeight w:val="320"/>
        </w:trPr>
        <w:tc>
          <w:tcPr>
            <w:tcW w:w="580" w:type="dxa"/>
            <w:vMerge/>
            <w:tcBorders>
              <w:top w:val="nil"/>
              <w:left w:val="nil"/>
              <w:bottom w:val="single" w:sz="4" w:space="0" w:color="000000"/>
              <w:right w:val="nil"/>
            </w:tcBorders>
            <w:vAlign w:val="center"/>
            <w:hideMark/>
          </w:tcPr>
          <w:p w14:paraId="11B49629"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nil"/>
              <w:right w:val="nil"/>
            </w:tcBorders>
            <w:shd w:val="clear" w:color="auto" w:fill="auto"/>
            <w:noWrap/>
            <w:vAlign w:val="center"/>
            <w:hideMark/>
          </w:tcPr>
          <w:p w14:paraId="57F17012"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nil"/>
              <w:right w:val="nil"/>
            </w:tcBorders>
            <w:shd w:val="clear" w:color="auto" w:fill="auto"/>
            <w:noWrap/>
            <w:vAlign w:val="center"/>
            <w:hideMark/>
          </w:tcPr>
          <w:p w14:paraId="64653FD3"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SYM</w:t>
            </w:r>
          </w:p>
        </w:tc>
        <w:tc>
          <w:tcPr>
            <w:tcW w:w="1300" w:type="dxa"/>
            <w:tcBorders>
              <w:top w:val="nil"/>
              <w:left w:val="nil"/>
              <w:bottom w:val="nil"/>
              <w:right w:val="nil"/>
            </w:tcBorders>
            <w:shd w:val="clear" w:color="auto" w:fill="auto"/>
            <w:noWrap/>
            <w:vAlign w:val="center"/>
            <w:hideMark/>
          </w:tcPr>
          <w:p w14:paraId="1B4E60F7"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-32.497</w:t>
            </w:r>
          </w:p>
        </w:tc>
        <w:tc>
          <w:tcPr>
            <w:tcW w:w="1300" w:type="dxa"/>
            <w:tcBorders>
              <w:top w:val="nil"/>
              <w:left w:val="nil"/>
              <w:bottom w:val="nil"/>
              <w:right w:val="nil"/>
            </w:tcBorders>
            <w:shd w:val="clear" w:color="auto" w:fill="auto"/>
            <w:noWrap/>
            <w:vAlign w:val="center"/>
            <w:hideMark/>
          </w:tcPr>
          <w:p w14:paraId="28EA9902"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76.995</w:t>
            </w:r>
          </w:p>
        </w:tc>
      </w:tr>
      <w:tr w:rsidR="00D42E1A" w:rsidRPr="00D42E1A" w14:paraId="3AD03CE7" w14:textId="77777777" w:rsidTr="00D42E1A">
        <w:trPr>
          <w:trHeight w:val="320"/>
        </w:trPr>
        <w:tc>
          <w:tcPr>
            <w:tcW w:w="580" w:type="dxa"/>
            <w:vMerge/>
            <w:tcBorders>
              <w:top w:val="nil"/>
              <w:left w:val="nil"/>
              <w:bottom w:val="single" w:sz="4" w:space="0" w:color="000000"/>
              <w:right w:val="nil"/>
            </w:tcBorders>
            <w:vAlign w:val="center"/>
            <w:hideMark/>
          </w:tcPr>
          <w:p w14:paraId="57CC53DD" w14:textId="77777777" w:rsidR="00D42E1A" w:rsidRPr="00D42E1A" w:rsidRDefault="00D42E1A" w:rsidP="00D42E1A">
            <w:pPr>
              <w:spacing w:before="0" w:line="240" w:lineRule="auto"/>
              <w:rPr>
                <w:rFonts w:eastAsia="Times New Roman" w:cs="Times New Roman"/>
                <w:color w:val="000000"/>
                <w:sz w:val="20"/>
                <w:szCs w:val="20"/>
                <w:lang w:val="de-CH"/>
              </w:rPr>
            </w:pPr>
          </w:p>
        </w:tc>
        <w:tc>
          <w:tcPr>
            <w:tcW w:w="1300" w:type="dxa"/>
            <w:tcBorders>
              <w:top w:val="nil"/>
              <w:left w:val="nil"/>
              <w:bottom w:val="single" w:sz="4" w:space="0" w:color="auto"/>
              <w:right w:val="nil"/>
            </w:tcBorders>
            <w:shd w:val="clear" w:color="auto" w:fill="auto"/>
            <w:noWrap/>
            <w:vAlign w:val="center"/>
            <w:hideMark/>
          </w:tcPr>
          <w:p w14:paraId="54BA1C80" w14:textId="77777777" w:rsidR="00D42E1A" w:rsidRPr="00D42E1A" w:rsidRDefault="00D42E1A" w:rsidP="00D42E1A">
            <w:pPr>
              <w:spacing w:before="0" w:line="240" w:lineRule="auto"/>
              <w:jc w:val="center"/>
              <w:rPr>
                <w:rFonts w:eastAsia="Times New Roman" w:cs="Times New Roman"/>
                <w:color w:val="000000"/>
                <w:sz w:val="20"/>
                <w:szCs w:val="20"/>
                <w:lang w:val="de-CH"/>
              </w:rPr>
            </w:pPr>
            <w:r w:rsidRPr="00D42E1A">
              <w:rPr>
                <w:rFonts w:eastAsia="Times New Roman" w:cs="Times New Roman"/>
                <w:color w:val="000000"/>
                <w:sz w:val="20"/>
                <w:szCs w:val="20"/>
                <w:lang w:val="de-CH"/>
              </w:rPr>
              <w:t>3</w:t>
            </w:r>
          </w:p>
        </w:tc>
        <w:tc>
          <w:tcPr>
            <w:tcW w:w="1300" w:type="dxa"/>
            <w:tcBorders>
              <w:top w:val="nil"/>
              <w:left w:val="nil"/>
              <w:bottom w:val="single" w:sz="4" w:space="0" w:color="auto"/>
              <w:right w:val="nil"/>
            </w:tcBorders>
            <w:shd w:val="clear" w:color="auto" w:fill="auto"/>
            <w:noWrap/>
            <w:vAlign w:val="center"/>
            <w:hideMark/>
          </w:tcPr>
          <w:p w14:paraId="02E444D4" w14:textId="77777777" w:rsidR="00D42E1A" w:rsidRPr="00D42E1A" w:rsidRDefault="00D42E1A" w:rsidP="00D42E1A">
            <w:pPr>
              <w:spacing w:before="0" w:line="240" w:lineRule="auto"/>
              <w:rPr>
                <w:rFonts w:eastAsia="Times New Roman" w:cs="Times New Roman"/>
                <w:color w:val="000000"/>
                <w:sz w:val="20"/>
                <w:szCs w:val="20"/>
                <w:lang w:val="de-CH"/>
              </w:rPr>
            </w:pPr>
            <w:r w:rsidRPr="00D42E1A">
              <w:rPr>
                <w:rFonts w:eastAsia="Times New Roman" w:cs="Times New Roman"/>
                <w:color w:val="000000"/>
                <w:sz w:val="20"/>
                <w:szCs w:val="20"/>
                <w:lang w:val="de-CH"/>
              </w:rPr>
              <w:t>ARD</w:t>
            </w:r>
          </w:p>
        </w:tc>
        <w:tc>
          <w:tcPr>
            <w:tcW w:w="1300" w:type="dxa"/>
            <w:tcBorders>
              <w:top w:val="nil"/>
              <w:left w:val="nil"/>
              <w:bottom w:val="single" w:sz="4" w:space="0" w:color="auto"/>
              <w:right w:val="nil"/>
            </w:tcBorders>
            <w:shd w:val="clear" w:color="auto" w:fill="auto"/>
            <w:noWrap/>
            <w:vAlign w:val="center"/>
            <w:hideMark/>
          </w:tcPr>
          <w:p w14:paraId="0A3122D4"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-23.771</w:t>
            </w:r>
          </w:p>
        </w:tc>
        <w:tc>
          <w:tcPr>
            <w:tcW w:w="1300" w:type="dxa"/>
            <w:tcBorders>
              <w:top w:val="nil"/>
              <w:left w:val="nil"/>
              <w:bottom w:val="single" w:sz="4" w:space="0" w:color="auto"/>
              <w:right w:val="nil"/>
            </w:tcBorders>
            <w:shd w:val="clear" w:color="auto" w:fill="auto"/>
            <w:noWrap/>
            <w:vAlign w:val="center"/>
            <w:hideMark/>
          </w:tcPr>
          <w:p w14:paraId="1A11E022" w14:textId="77777777" w:rsidR="00D42E1A" w:rsidRPr="00D42E1A" w:rsidRDefault="00D42E1A" w:rsidP="00D42E1A">
            <w:pPr>
              <w:spacing w:before="0" w:line="240" w:lineRule="auto"/>
              <w:jc w:val="right"/>
              <w:rPr>
                <w:rFonts w:eastAsia="Times New Roman" w:cs="Times New Roman"/>
                <w:color w:val="000000"/>
                <w:sz w:val="20"/>
                <w:szCs w:val="20"/>
                <w:lang w:val="de-CH"/>
              </w:rPr>
            </w:pPr>
            <w:r w:rsidRPr="00D42E1A">
              <w:rPr>
                <w:rFonts w:eastAsia="Times New Roman" w:cs="Times New Roman"/>
                <w:color w:val="000000"/>
                <w:sz w:val="20"/>
                <w:szCs w:val="20"/>
                <w:lang w:val="de-CH"/>
              </w:rPr>
              <w:t>63.542</w:t>
            </w:r>
          </w:p>
        </w:tc>
      </w:tr>
    </w:tbl>
    <w:p w14:paraId="56D739B0" w14:textId="4F3EAAE7" w:rsidR="00791CC7" w:rsidRPr="003F2938" w:rsidRDefault="00791CC7" w:rsidP="00AE5030">
      <w:r w:rsidRPr="00E4684C">
        <w:rPr>
          <w:b/>
          <w:bCs/>
        </w:rPr>
        <w:t>Supplementary Table S</w:t>
      </w:r>
      <w:r w:rsidR="00833680">
        <w:rPr>
          <w:b/>
          <w:bCs/>
        </w:rPr>
        <w:t>2</w:t>
      </w:r>
      <w:r w:rsidRPr="00E4684C">
        <w:rPr>
          <w:b/>
          <w:bCs/>
        </w:rPr>
        <w:t>.</w:t>
      </w:r>
      <w:r>
        <w:t xml:space="preserve"> </w:t>
      </w:r>
      <w:r w:rsidRPr="00E4684C">
        <w:rPr>
          <w:b/>
          <w:bCs/>
        </w:rPr>
        <w:t xml:space="preserve">Likelihood of different models for </w:t>
      </w:r>
      <w:r>
        <w:rPr>
          <w:b/>
          <w:bCs/>
        </w:rPr>
        <w:t xml:space="preserve">the </w:t>
      </w:r>
      <w:r w:rsidRPr="00E4684C">
        <w:rPr>
          <w:b/>
          <w:bCs/>
        </w:rPr>
        <w:t>ancestral state reconstruction.</w:t>
      </w:r>
      <w:r w:rsidR="003F2938">
        <w:rPr>
          <w:b/>
          <w:bCs/>
        </w:rPr>
        <w:t xml:space="preserve"> </w:t>
      </w:r>
      <w:r w:rsidR="00E300A1">
        <w:t xml:space="preserve">See Supplementary Figures S5-S8 for </w:t>
      </w:r>
      <w:r w:rsidR="001B049F">
        <w:t xml:space="preserve">the </w:t>
      </w:r>
      <w:r w:rsidR="00E300A1">
        <w:t xml:space="preserve">most likely models for </w:t>
      </w:r>
      <w:r w:rsidR="001B049F">
        <w:t>two- and three-character</w:t>
      </w:r>
      <w:r w:rsidR="00E300A1">
        <w:t xml:space="preserve"> state ancestral state reconstructions. </w:t>
      </w:r>
      <w:r w:rsidR="003F2938">
        <w:t>Abbreviations: EQ, equal rates; ARD, all rates different; SYM, symmetrical rates.</w:t>
      </w:r>
    </w:p>
    <w:p w14:paraId="671C0C83" w14:textId="77777777" w:rsidR="00791CC7" w:rsidRDefault="00791CC7" w:rsidP="00AE5030"/>
    <w:p w14:paraId="2BF583E1" w14:textId="473F58C1" w:rsidR="00AE5030" w:rsidRPr="00AE5030" w:rsidRDefault="00AE5030" w:rsidP="00AE5030">
      <w:pPr>
        <w:keepNext/>
        <w:keepLines/>
        <w:outlineLvl w:val="0"/>
        <w:rPr>
          <w:rFonts w:eastAsia="MS Gothic" w:cs="Times New Roman"/>
          <w:b/>
          <w:bCs/>
          <w:caps/>
        </w:rPr>
      </w:pPr>
      <w:r>
        <w:rPr>
          <w:rFonts w:eastAsia="MS Gothic" w:cs="Times New Roman"/>
          <w:b/>
          <w:bCs/>
          <w:caps/>
        </w:rPr>
        <w:lastRenderedPageBreak/>
        <w:t xml:space="preserve">Supplementary </w:t>
      </w:r>
      <w:r w:rsidRPr="00AE5030">
        <w:rPr>
          <w:rFonts w:eastAsia="MS Gothic" w:cs="Times New Roman"/>
          <w:b/>
          <w:bCs/>
          <w:caps/>
        </w:rPr>
        <w:t>References</w:t>
      </w:r>
    </w:p>
    <w:p w14:paraId="2F3932CF" w14:textId="64685C31" w:rsidR="003C4BE0" w:rsidRPr="00E4684C" w:rsidRDefault="00AE5030" w:rsidP="003C4BE0">
      <w:pPr>
        <w:widowControl w:val="0"/>
        <w:autoSpaceDE w:val="0"/>
        <w:autoSpaceDN w:val="0"/>
        <w:adjustRightInd w:val="0"/>
        <w:ind w:left="640" w:hanging="640"/>
        <w:rPr>
          <w:rFonts w:cs="Times New Roman"/>
          <w:noProof/>
          <w:lang w:val="en-US"/>
        </w:rPr>
      </w:pPr>
      <w:r>
        <w:fldChar w:fldCharType="begin" w:fldLock="1"/>
      </w:r>
      <w:r>
        <w:instrText xml:space="preserve">ADDIN Mendeley Bibliography CSL_BIBLIOGRAPHY </w:instrText>
      </w:r>
      <w:r>
        <w:fldChar w:fldCharType="separate"/>
      </w:r>
      <w:r w:rsidR="003C4BE0" w:rsidRPr="00E4684C">
        <w:rPr>
          <w:rFonts w:cs="Times New Roman"/>
          <w:noProof/>
          <w:lang w:val="en-US"/>
        </w:rPr>
        <w:t>1.</w:t>
      </w:r>
      <w:r w:rsidR="003C4BE0" w:rsidRPr="00E4684C">
        <w:rPr>
          <w:rFonts w:cs="Times New Roman"/>
          <w:noProof/>
          <w:lang w:val="en-US"/>
        </w:rPr>
        <w:tab/>
        <w:t xml:space="preserve">Hattori S, Tsuihiji T. 2021 Homology and osteological correlates of pedal muscles among extant sauropsids. </w:t>
      </w:r>
      <w:r w:rsidR="003C4BE0" w:rsidRPr="00E4684C">
        <w:rPr>
          <w:rFonts w:cs="Times New Roman"/>
          <w:i/>
          <w:iCs/>
          <w:noProof/>
          <w:lang w:val="en-US"/>
        </w:rPr>
        <w:t>J. Anat.</w:t>
      </w:r>
      <w:r w:rsidR="003C4BE0" w:rsidRPr="00E4684C">
        <w:rPr>
          <w:rFonts w:cs="Times New Roman"/>
          <w:noProof/>
          <w:lang w:val="en-US"/>
        </w:rPr>
        <w:t xml:space="preserve"> </w:t>
      </w:r>
      <w:r w:rsidR="003C4BE0" w:rsidRPr="00E4684C">
        <w:rPr>
          <w:rFonts w:cs="Times New Roman"/>
          <w:b/>
          <w:bCs/>
          <w:noProof/>
          <w:lang w:val="en-US"/>
        </w:rPr>
        <w:t>238</w:t>
      </w:r>
      <w:r w:rsidR="003C4BE0" w:rsidRPr="00E4684C">
        <w:rPr>
          <w:rFonts w:cs="Times New Roman"/>
          <w:noProof/>
          <w:lang w:val="en-US"/>
        </w:rPr>
        <w:t>, 365–399. (doi:10.1111/joa.13307)</w:t>
      </w:r>
    </w:p>
    <w:p w14:paraId="405EF3FC"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2.</w:t>
      </w:r>
      <w:r w:rsidRPr="00E4684C">
        <w:rPr>
          <w:rFonts w:cs="Times New Roman"/>
          <w:noProof/>
          <w:lang w:val="en-US"/>
        </w:rPr>
        <w:tab/>
        <w:t xml:space="preserve">Ezcurra MD. 2016 The phylogenetic relationships of basal archosauromorphs, with an emphasis on the systematics of proterosuchian archosauriforms. </w:t>
      </w:r>
      <w:r w:rsidRPr="00E4684C">
        <w:rPr>
          <w:rFonts w:cs="Times New Roman"/>
          <w:i/>
          <w:iCs/>
          <w:noProof/>
          <w:lang w:val="en-US"/>
        </w:rPr>
        <w:t>PeerJ</w:t>
      </w:r>
      <w:r w:rsidRPr="00E4684C">
        <w:rPr>
          <w:rFonts w:cs="Times New Roman"/>
          <w:noProof/>
          <w:lang w:val="en-US"/>
        </w:rPr>
        <w:t xml:space="preserve"> </w:t>
      </w:r>
      <w:r w:rsidRPr="00E4684C">
        <w:rPr>
          <w:rFonts w:cs="Times New Roman"/>
          <w:b/>
          <w:bCs/>
          <w:noProof/>
          <w:lang w:val="en-US"/>
        </w:rPr>
        <w:t>4</w:t>
      </w:r>
      <w:r w:rsidRPr="00E4684C">
        <w:rPr>
          <w:rFonts w:cs="Times New Roman"/>
          <w:noProof/>
          <w:lang w:val="en-US"/>
        </w:rPr>
        <w:t>, e1778. (doi:10.7717/peerj.1778)</w:t>
      </w:r>
    </w:p>
    <w:p w14:paraId="15C2DAA6"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3.</w:t>
      </w:r>
      <w:r w:rsidRPr="00E4684C">
        <w:rPr>
          <w:rFonts w:cs="Times New Roman"/>
          <w:noProof/>
          <w:lang w:val="en-US"/>
        </w:rPr>
        <w:tab/>
        <w:t xml:space="preserve">Garcia MS, Müller RT, Da-Rosa ÁAS, Dias-da-Silva S. 2019 The oldest known co-occurrence of dinosaurs and their closest relatives: A new lagerpetid from a Carnian (Upper Triassic) bed of Brazil with implications for dinosauromorph biostratigraphy, early diversification and biogeography. </w:t>
      </w:r>
      <w:r w:rsidRPr="00E4684C">
        <w:rPr>
          <w:rFonts w:cs="Times New Roman"/>
          <w:i/>
          <w:iCs/>
          <w:noProof/>
          <w:lang w:val="en-US"/>
        </w:rPr>
        <w:t>J. South Am. Earth Sci.</w:t>
      </w:r>
      <w:r w:rsidRPr="00E4684C">
        <w:rPr>
          <w:rFonts w:cs="Times New Roman"/>
          <w:noProof/>
          <w:lang w:val="en-US"/>
        </w:rPr>
        <w:t xml:space="preserve"> </w:t>
      </w:r>
      <w:r w:rsidRPr="00E4684C">
        <w:rPr>
          <w:rFonts w:cs="Times New Roman"/>
          <w:b/>
          <w:bCs/>
          <w:noProof/>
          <w:lang w:val="en-US"/>
        </w:rPr>
        <w:t>91</w:t>
      </w:r>
      <w:r w:rsidRPr="00E4684C">
        <w:rPr>
          <w:rFonts w:cs="Times New Roman"/>
          <w:noProof/>
          <w:lang w:val="en-US"/>
        </w:rPr>
        <w:t>, 302–319. (doi:10.1016/j.jsames.2019.02.005)</w:t>
      </w:r>
    </w:p>
    <w:p w14:paraId="6F4ACC72"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4.</w:t>
      </w:r>
      <w:r w:rsidRPr="00E4684C">
        <w:rPr>
          <w:rFonts w:cs="Times New Roman"/>
          <w:noProof/>
          <w:lang w:val="en-US"/>
        </w:rPr>
        <w:tab/>
        <w:t xml:space="preserve">Müller RT, Garcia MS. 2020 A paraphyletic ‘Silesauridae’ as an alternative hypothesis for the initial radiation of ornithischian dinosaurs: Early evolution of Ornithischia. </w:t>
      </w:r>
      <w:r w:rsidRPr="00E4684C">
        <w:rPr>
          <w:rFonts w:cs="Times New Roman"/>
          <w:i/>
          <w:iCs/>
          <w:noProof/>
          <w:lang w:val="en-US"/>
        </w:rPr>
        <w:t>Biol. Lett.</w:t>
      </w:r>
      <w:r w:rsidRPr="00E4684C">
        <w:rPr>
          <w:rFonts w:cs="Times New Roman"/>
          <w:noProof/>
          <w:lang w:val="en-US"/>
        </w:rPr>
        <w:t xml:space="preserve"> </w:t>
      </w:r>
      <w:r w:rsidRPr="00E4684C">
        <w:rPr>
          <w:rFonts w:cs="Times New Roman"/>
          <w:b/>
          <w:bCs/>
          <w:noProof/>
          <w:lang w:val="en-US"/>
        </w:rPr>
        <w:t>16</w:t>
      </w:r>
      <w:r w:rsidRPr="00E4684C">
        <w:rPr>
          <w:rFonts w:cs="Times New Roman"/>
          <w:noProof/>
          <w:lang w:val="en-US"/>
        </w:rPr>
        <w:t>. (doi:10.1098/rsbl.2020.0417rsbl20200417)</w:t>
      </w:r>
    </w:p>
    <w:p w14:paraId="23922FD2"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5.</w:t>
      </w:r>
      <w:r w:rsidRPr="00E4684C">
        <w:rPr>
          <w:rFonts w:cs="Times New Roman"/>
          <w:noProof/>
          <w:lang w:val="en-US"/>
        </w:rPr>
        <w:tab/>
        <w:t xml:space="preserve">Nesbitt SJ. 2011 The Early Evolution of Archosaurs: Relationships and the Origin of Major Clades. </w:t>
      </w:r>
      <w:r w:rsidRPr="00E4684C">
        <w:rPr>
          <w:rFonts w:cs="Times New Roman"/>
          <w:i/>
          <w:iCs/>
          <w:noProof/>
          <w:lang w:val="en-US"/>
        </w:rPr>
        <w:t>Bull. Am. Museum Nat. Hist.</w:t>
      </w:r>
      <w:r w:rsidRPr="00E4684C">
        <w:rPr>
          <w:rFonts w:cs="Times New Roman"/>
          <w:noProof/>
          <w:lang w:val="en-US"/>
        </w:rPr>
        <w:t xml:space="preserve"> </w:t>
      </w:r>
      <w:r w:rsidRPr="00E4684C">
        <w:rPr>
          <w:rFonts w:cs="Times New Roman"/>
          <w:b/>
          <w:bCs/>
          <w:noProof/>
          <w:lang w:val="en-US"/>
        </w:rPr>
        <w:t>352</w:t>
      </w:r>
      <w:r w:rsidRPr="00E4684C">
        <w:rPr>
          <w:rFonts w:cs="Times New Roman"/>
          <w:noProof/>
          <w:lang w:val="en-US"/>
        </w:rPr>
        <w:t>, 1–292. (doi:10.1206/352.1)</w:t>
      </w:r>
    </w:p>
    <w:p w14:paraId="3A414F40"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6.</w:t>
      </w:r>
      <w:r w:rsidRPr="00E4684C">
        <w:rPr>
          <w:rFonts w:cs="Times New Roman"/>
          <w:noProof/>
          <w:lang w:val="en-US"/>
        </w:rPr>
        <w:tab/>
        <w:t xml:space="preserve">Nesbitt SJ </w:t>
      </w:r>
      <w:r w:rsidRPr="00E4684C">
        <w:rPr>
          <w:rFonts w:cs="Times New Roman"/>
          <w:i/>
          <w:iCs/>
          <w:noProof/>
          <w:lang w:val="en-US"/>
        </w:rPr>
        <w:t>et al.</w:t>
      </w:r>
      <w:r w:rsidRPr="00E4684C">
        <w:rPr>
          <w:rFonts w:cs="Times New Roman"/>
          <w:noProof/>
          <w:lang w:val="en-US"/>
        </w:rPr>
        <w:t xml:space="preserve"> 2017 The earliest bird-line archosaurs and the assembly of the dinosaur body plan. </w:t>
      </w:r>
      <w:r w:rsidRPr="00E4684C">
        <w:rPr>
          <w:rFonts w:cs="Times New Roman"/>
          <w:i/>
          <w:iCs/>
          <w:noProof/>
          <w:lang w:val="en-US"/>
        </w:rPr>
        <w:t>Nature</w:t>
      </w:r>
      <w:r w:rsidRPr="00E4684C">
        <w:rPr>
          <w:rFonts w:cs="Times New Roman"/>
          <w:noProof/>
          <w:lang w:val="en-US"/>
        </w:rPr>
        <w:t xml:space="preserve"> </w:t>
      </w:r>
      <w:r w:rsidRPr="00E4684C">
        <w:rPr>
          <w:rFonts w:cs="Times New Roman"/>
          <w:b/>
          <w:bCs/>
          <w:noProof/>
          <w:lang w:val="en-US"/>
        </w:rPr>
        <w:t>544</w:t>
      </w:r>
      <w:r w:rsidRPr="00E4684C">
        <w:rPr>
          <w:rFonts w:cs="Times New Roman"/>
          <w:noProof/>
          <w:lang w:val="en-US"/>
        </w:rPr>
        <w:t>, 484–487. (doi:10.1038/nature22037)</w:t>
      </w:r>
    </w:p>
    <w:p w14:paraId="768A1A6C"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7.</w:t>
      </w:r>
      <w:r w:rsidRPr="00E4684C">
        <w:rPr>
          <w:rFonts w:cs="Times New Roman"/>
          <w:noProof/>
          <w:lang w:val="en-US"/>
        </w:rPr>
        <w:tab/>
        <w:t xml:space="preserve">Baczko MB von, Desojo JB, Ponce D. 2020 Postcranial anatomy and osteoderm histology of Riojasuchus tenuisceps and a phylogenetic update on Ornithosuchidae (Archosauria, Pseudosuchia). </w:t>
      </w:r>
      <w:r w:rsidRPr="00E4684C">
        <w:rPr>
          <w:rFonts w:cs="Times New Roman"/>
          <w:i/>
          <w:iCs/>
          <w:noProof/>
          <w:lang w:val="en-US"/>
        </w:rPr>
        <w:t>J. Vertebr. Paleontol.</w:t>
      </w:r>
      <w:r w:rsidRPr="00E4684C">
        <w:rPr>
          <w:rFonts w:cs="Times New Roman"/>
          <w:noProof/>
          <w:lang w:val="en-US"/>
        </w:rPr>
        <w:t xml:space="preserve"> </w:t>
      </w:r>
      <w:r w:rsidRPr="00E4684C">
        <w:rPr>
          <w:rFonts w:cs="Times New Roman"/>
          <w:b/>
          <w:bCs/>
          <w:noProof/>
          <w:lang w:val="en-US"/>
        </w:rPr>
        <w:t>39</w:t>
      </w:r>
      <w:r w:rsidRPr="00E4684C">
        <w:rPr>
          <w:rFonts w:cs="Times New Roman"/>
          <w:noProof/>
          <w:lang w:val="en-US"/>
        </w:rPr>
        <w:t>, e1693396. (doi:10.1080/02724634.2019.1693396)</w:t>
      </w:r>
    </w:p>
    <w:p w14:paraId="2B2488B6"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8.</w:t>
      </w:r>
      <w:r w:rsidRPr="00E4684C">
        <w:rPr>
          <w:rFonts w:cs="Times New Roman"/>
          <w:noProof/>
          <w:lang w:val="en-US"/>
        </w:rPr>
        <w:tab/>
        <w:t xml:space="preserve">Ezcurra MD </w:t>
      </w:r>
      <w:r w:rsidRPr="00E4684C">
        <w:rPr>
          <w:rFonts w:cs="Times New Roman"/>
          <w:i/>
          <w:iCs/>
          <w:noProof/>
          <w:lang w:val="en-US"/>
        </w:rPr>
        <w:t>et al.</w:t>
      </w:r>
      <w:r w:rsidRPr="00E4684C">
        <w:rPr>
          <w:rFonts w:cs="Times New Roman"/>
          <w:noProof/>
          <w:lang w:val="en-US"/>
        </w:rPr>
        <w:t xml:space="preserve"> 2020 Enigmatic dinosaur precursors bridge the gap to the origin of Pterosauria. </w:t>
      </w:r>
      <w:r w:rsidRPr="00E4684C">
        <w:rPr>
          <w:rFonts w:cs="Times New Roman"/>
          <w:i/>
          <w:iCs/>
          <w:noProof/>
          <w:lang w:val="en-US"/>
        </w:rPr>
        <w:t>Nature</w:t>
      </w:r>
      <w:r w:rsidRPr="00E4684C">
        <w:rPr>
          <w:rFonts w:cs="Times New Roman"/>
          <w:noProof/>
          <w:lang w:val="en-US"/>
        </w:rPr>
        <w:t xml:space="preserve"> </w:t>
      </w:r>
      <w:r w:rsidRPr="00E4684C">
        <w:rPr>
          <w:rFonts w:cs="Times New Roman"/>
          <w:b/>
          <w:bCs/>
          <w:noProof/>
          <w:lang w:val="en-US"/>
        </w:rPr>
        <w:t>588</w:t>
      </w:r>
      <w:r w:rsidRPr="00E4684C">
        <w:rPr>
          <w:rFonts w:cs="Times New Roman"/>
          <w:noProof/>
          <w:lang w:val="en-US"/>
        </w:rPr>
        <w:t>, 445–449. (doi:10.1038/s41586-020-3011-4)</w:t>
      </w:r>
    </w:p>
    <w:p w14:paraId="339D821D"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lastRenderedPageBreak/>
        <w:t>9.</w:t>
      </w:r>
      <w:r w:rsidRPr="00E4684C">
        <w:rPr>
          <w:rFonts w:cs="Times New Roman"/>
          <w:noProof/>
          <w:lang w:val="en-US"/>
        </w:rPr>
        <w:tab/>
        <w:t xml:space="preserve">Foffa D </w:t>
      </w:r>
      <w:r w:rsidRPr="00E4684C">
        <w:rPr>
          <w:rFonts w:cs="Times New Roman"/>
          <w:i/>
          <w:iCs/>
          <w:noProof/>
          <w:lang w:val="en-US"/>
        </w:rPr>
        <w:t>et al.</w:t>
      </w:r>
      <w:r w:rsidRPr="00E4684C">
        <w:rPr>
          <w:rFonts w:cs="Times New Roman"/>
          <w:noProof/>
          <w:lang w:val="en-US"/>
        </w:rPr>
        <w:t xml:space="preserve"> 2022 Scleromochlus and the early evolution of Pterosauromorpha. </w:t>
      </w:r>
      <w:r w:rsidRPr="00E4684C">
        <w:rPr>
          <w:rFonts w:cs="Times New Roman"/>
          <w:i/>
          <w:iCs/>
          <w:noProof/>
          <w:lang w:val="en-US"/>
        </w:rPr>
        <w:t>Nature</w:t>
      </w:r>
      <w:r w:rsidRPr="00E4684C">
        <w:rPr>
          <w:rFonts w:cs="Times New Roman"/>
          <w:noProof/>
          <w:lang w:val="en-US"/>
        </w:rPr>
        <w:t xml:space="preserve"> </w:t>
      </w:r>
      <w:r w:rsidRPr="00E4684C">
        <w:rPr>
          <w:rFonts w:cs="Times New Roman"/>
          <w:b/>
          <w:bCs/>
          <w:noProof/>
          <w:lang w:val="en-US"/>
        </w:rPr>
        <w:t>610</w:t>
      </w:r>
      <w:r w:rsidRPr="00E4684C">
        <w:rPr>
          <w:rFonts w:cs="Times New Roman"/>
          <w:noProof/>
          <w:lang w:val="en-US"/>
        </w:rPr>
        <w:t>, 313–318. (doi:10.1038/s41586-022-05284-x)</w:t>
      </w:r>
    </w:p>
    <w:p w14:paraId="3C955DC4" w14:textId="77777777" w:rsidR="003C4BE0" w:rsidRPr="00E4684C" w:rsidRDefault="003C4BE0" w:rsidP="003C4BE0">
      <w:pPr>
        <w:widowControl w:val="0"/>
        <w:autoSpaceDE w:val="0"/>
        <w:autoSpaceDN w:val="0"/>
        <w:adjustRightInd w:val="0"/>
        <w:ind w:left="640" w:hanging="640"/>
        <w:rPr>
          <w:rFonts w:cs="Times New Roman"/>
          <w:noProof/>
          <w:lang w:val="en-US"/>
        </w:rPr>
      </w:pPr>
      <w:r w:rsidRPr="00E4684C">
        <w:rPr>
          <w:rFonts w:cs="Times New Roman"/>
          <w:noProof/>
          <w:lang w:val="en-US"/>
        </w:rPr>
        <w:t>10.</w:t>
      </w:r>
      <w:r w:rsidRPr="00E4684C">
        <w:rPr>
          <w:rFonts w:cs="Times New Roman"/>
          <w:noProof/>
          <w:lang w:val="en-US"/>
        </w:rPr>
        <w:tab/>
        <w:t xml:space="preserve">Meiri S. 2010 Length–weight allometries in lizards. </w:t>
      </w:r>
      <w:r w:rsidRPr="00E4684C">
        <w:rPr>
          <w:rFonts w:cs="Times New Roman"/>
          <w:i/>
          <w:iCs/>
          <w:noProof/>
          <w:lang w:val="en-US"/>
        </w:rPr>
        <w:t>J. Zool.</w:t>
      </w:r>
      <w:r w:rsidRPr="00E4684C">
        <w:rPr>
          <w:rFonts w:cs="Times New Roman"/>
          <w:noProof/>
          <w:lang w:val="en-US"/>
        </w:rPr>
        <w:t xml:space="preserve"> </w:t>
      </w:r>
      <w:r w:rsidRPr="00E4684C">
        <w:rPr>
          <w:rFonts w:cs="Times New Roman"/>
          <w:b/>
          <w:bCs/>
          <w:noProof/>
          <w:lang w:val="en-US"/>
        </w:rPr>
        <w:t>281</w:t>
      </w:r>
      <w:r w:rsidRPr="00E4684C">
        <w:rPr>
          <w:rFonts w:cs="Times New Roman"/>
          <w:noProof/>
          <w:lang w:val="en-US"/>
        </w:rPr>
        <w:t>, 218–226. (doi:10.1111/j.1469-7998.2010.00696.x)</w:t>
      </w:r>
    </w:p>
    <w:p w14:paraId="7AB855FF" w14:textId="687B83ED" w:rsidR="00AE5030" w:rsidRPr="00AE5030" w:rsidRDefault="003C4BE0" w:rsidP="00294513">
      <w:pPr>
        <w:widowControl w:val="0"/>
        <w:autoSpaceDE w:val="0"/>
        <w:autoSpaceDN w:val="0"/>
        <w:adjustRightInd w:val="0"/>
        <w:ind w:left="640" w:hanging="640"/>
      </w:pPr>
      <w:r w:rsidRPr="00E4684C">
        <w:rPr>
          <w:rFonts w:cs="Times New Roman"/>
          <w:noProof/>
          <w:lang w:val="en-US"/>
        </w:rPr>
        <w:t>11.</w:t>
      </w:r>
      <w:r w:rsidRPr="00E4684C">
        <w:rPr>
          <w:rFonts w:cs="Times New Roman"/>
          <w:noProof/>
          <w:lang w:val="en-US"/>
        </w:rPr>
        <w:tab/>
        <w:t xml:space="preserve">O’Brien HD, Lynch LM, Vliet KA, Brueggen J, Erickson GM, Gignac PM. 2019 Crocodylian Head Width Allometry and Phylogenetic Prediction of Body Size in Extinct Crocodyliforms. </w:t>
      </w:r>
      <w:r w:rsidRPr="003C4BE0">
        <w:rPr>
          <w:rFonts w:cs="Times New Roman"/>
          <w:i/>
          <w:iCs/>
          <w:noProof/>
          <w:lang w:val="de-DE"/>
        </w:rPr>
        <w:t>Integr. Org. Biol.</w:t>
      </w:r>
      <w:r w:rsidRPr="003C4BE0">
        <w:rPr>
          <w:rFonts w:cs="Times New Roman"/>
          <w:noProof/>
          <w:lang w:val="de-DE"/>
        </w:rPr>
        <w:t xml:space="preserve"> </w:t>
      </w:r>
      <w:r w:rsidRPr="003C4BE0">
        <w:rPr>
          <w:rFonts w:cs="Times New Roman"/>
          <w:b/>
          <w:bCs/>
          <w:noProof/>
          <w:lang w:val="de-DE"/>
        </w:rPr>
        <w:t>1</w:t>
      </w:r>
      <w:r w:rsidRPr="003C4BE0">
        <w:rPr>
          <w:rFonts w:cs="Times New Roman"/>
          <w:noProof/>
          <w:lang w:val="de-DE"/>
        </w:rPr>
        <w:t>. (doi:10.1093/iob/obz006)</w:t>
      </w:r>
      <w:r w:rsidR="00AE5030">
        <w:fldChar w:fldCharType="end"/>
      </w:r>
    </w:p>
    <w:sectPr w:rsidR="00AE5030" w:rsidRPr="00AE503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7D3"/>
    <w:rsid w:val="00016513"/>
    <w:rsid w:val="000C3B34"/>
    <w:rsid w:val="0011543B"/>
    <w:rsid w:val="001602D8"/>
    <w:rsid w:val="001B049F"/>
    <w:rsid w:val="002564E7"/>
    <w:rsid w:val="00294513"/>
    <w:rsid w:val="002D6F40"/>
    <w:rsid w:val="003267D3"/>
    <w:rsid w:val="003C4BE0"/>
    <w:rsid w:val="003D009A"/>
    <w:rsid w:val="003D451A"/>
    <w:rsid w:val="003F2938"/>
    <w:rsid w:val="00466A03"/>
    <w:rsid w:val="00475625"/>
    <w:rsid w:val="004E54C5"/>
    <w:rsid w:val="00525F2F"/>
    <w:rsid w:val="005342FE"/>
    <w:rsid w:val="00547D4A"/>
    <w:rsid w:val="005900B9"/>
    <w:rsid w:val="00612472"/>
    <w:rsid w:val="006331CF"/>
    <w:rsid w:val="00665A4F"/>
    <w:rsid w:val="00791CC7"/>
    <w:rsid w:val="00833680"/>
    <w:rsid w:val="00873E78"/>
    <w:rsid w:val="008A31F3"/>
    <w:rsid w:val="00915BEC"/>
    <w:rsid w:val="00942229"/>
    <w:rsid w:val="00A00303"/>
    <w:rsid w:val="00A473EF"/>
    <w:rsid w:val="00AE5030"/>
    <w:rsid w:val="00BA748A"/>
    <w:rsid w:val="00BD0D33"/>
    <w:rsid w:val="00C77203"/>
    <w:rsid w:val="00D21D52"/>
    <w:rsid w:val="00D42E1A"/>
    <w:rsid w:val="00E03C71"/>
    <w:rsid w:val="00E300A1"/>
    <w:rsid w:val="00E35727"/>
    <w:rsid w:val="00E4684C"/>
    <w:rsid w:val="00ED06E3"/>
    <w:rsid w:val="00EF35E0"/>
    <w:rsid w:val="00F64E2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C850C"/>
  <w15:chartTrackingRefBased/>
  <w15:docId w15:val="{2F8D0A30-5247-794A-953C-F6A452E0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267D3"/>
    <w:pPr>
      <w:spacing w:before="120" w:line="480" w:lineRule="auto"/>
    </w:pPr>
    <w:rPr>
      <w:rFonts w:ascii="Times New Roman" w:eastAsiaTheme="minorEastAsia" w:hAnsi="Times New Roman"/>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aliases w:val="Heading not in table of contents"/>
    <w:basedOn w:val="Absatz-Standardschriftart"/>
    <w:uiPriority w:val="22"/>
    <w:qFormat/>
    <w:rsid w:val="003267D3"/>
    <w:rPr>
      <w:rFonts w:ascii="Times New Roman" w:hAnsi="Times New Roman"/>
      <w:b/>
      <w:bCs/>
      <w:caps/>
      <w:smallCaps w:val="0"/>
      <w:strike w:val="0"/>
      <w:dstrike w:val="0"/>
      <w:vanish w:val="0"/>
      <w:color w:val="auto"/>
      <w:sz w:val="24"/>
      <w:szCs w:val="24"/>
      <w:vertAlign w:val="baseline"/>
    </w:rPr>
  </w:style>
  <w:style w:type="character" w:styleId="Kommentarzeichen">
    <w:name w:val="annotation reference"/>
    <w:basedOn w:val="Absatz-Standardschriftart"/>
    <w:uiPriority w:val="99"/>
    <w:semiHidden/>
    <w:unhideWhenUsed/>
    <w:rsid w:val="003267D3"/>
    <w:rPr>
      <w:sz w:val="18"/>
      <w:szCs w:val="18"/>
    </w:rPr>
  </w:style>
  <w:style w:type="paragraph" w:styleId="Kommentartext">
    <w:name w:val="annotation text"/>
    <w:basedOn w:val="Standard"/>
    <w:link w:val="KommentartextZchn"/>
    <w:uiPriority w:val="99"/>
    <w:unhideWhenUsed/>
    <w:rsid w:val="003267D3"/>
    <w:pPr>
      <w:spacing w:line="240" w:lineRule="auto"/>
    </w:pPr>
  </w:style>
  <w:style w:type="character" w:customStyle="1" w:styleId="KommentartextZchn">
    <w:name w:val="Kommentartext Zchn"/>
    <w:basedOn w:val="Absatz-Standardschriftart"/>
    <w:link w:val="Kommentartext"/>
    <w:uiPriority w:val="99"/>
    <w:rsid w:val="003267D3"/>
    <w:rPr>
      <w:rFonts w:ascii="Times New Roman" w:eastAsiaTheme="minorEastAsia" w:hAnsi="Times New Roman"/>
      <w:lang w:val="en-GB" w:eastAsia="de-DE"/>
    </w:rPr>
  </w:style>
  <w:style w:type="character" w:styleId="Hyperlink">
    <w:name w:val="Hyperlink"/>
    <w:basedOn w:val="Absatz-Standardschriftart"/>
    <w:uiPriority w:val="99"/>
    <w:unhideWhenUsed/>
    <w:rsid w:val="00F64E20"/>
    <w:rPr>
      <w:color w:val="0563C1" w:themeColor="hyperlink"/>
      <w:u w:val="single"/>
    </w:rPr>
  </w:style>
  <w:style w:type="character" w:customStyle="1" w:styleId="NichtaufgelsteErwhnung1">
    <w:name w:val="Nicht aufgelöste Erwähnung1"/>
    <w:basedOn w:val="Absatz-Standardschriftart"/>
    <w:uiPriority w:val="99"/>
    <w:semiHidden/>
    <w:unhideWhenUsed/>
    <w:rsid w:val="00F64E20"/>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8A31F3"/>
    <w:rPr>
      <w:b/>
      <w:bCs/>
      <w:sz w:val="20"/>
      <w:szCs w:val="20"/>
    </w:rPr>
  </w:style>
  <w:style w:type="character" w:customStyle="1" w:styleId="KommentarthemaZchn">
    <w:name w:val="Kommentarthema Zchn"/>
    <w:basedOn w:val="KommentartextZchn"/>
    <w:link w:val="Kommentarthema"/>
    <w:uiPriority w:val="99"/>
    <w:semiHidden/>
    <w:rsid w:val="008A31F3"/>
    <w:rPr>
      <w:rFonts w:ascii="Times New Roman" w:eastAsiaTheme="minorEastAsia" w:hAnsi="Times New Roman"/>
      <w:b/>
      <w:bCs/>
      <w:sz w:val="20"/>
      <w:szCs w:val="20"/>
      <w:lang w:val="en-GB" w:eastAsia="de-DE"/>
    </w:rPr>
  </w:style>
  <w:style w:type="paragraph" w:styleId="Sprechblasentext">
    <w:name w:val="Balloon Text"/>
    <w:basedOn w:val="Standard"/>
    <w:link w:val="SprechblasentextZchn"/>
    <w:uiPriority w:val="99"/>
    <w:semiHidden/>
    <w:unhideWhenUsed/>
    <w:rsid w:val="008A31F3"/>
    <w:pPr>
      <w:spacing w:before="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31F3"/>
    <w:rPr>
      <w:rFonts w:ascii="Segoe UI" w:eastAsiaTheme="minorEastAsia" w:hAnsi="Segoe UI" w:cs="Segoe UI"/>
      <w:sz w:val="18"/>
      <w:szCs w:val="18"/>
      <w:lang w:val="en-GB" w:eastAsia="de-DE"/>
    </w:rPr>
  </w:style>
  <w:style w:type="paragraph" w:styleId="berarbeitung">
    <w:name w:val="Revision"/>
    <w:hidden/>
    <w:uiPriority w:val="99"/>
    <w:semiHidden/>
    <w:rsid w:val="00525F2F"/>
    <w:rPr>
      <w:rFonts w:ascii="Times New Roman" w:eastAsiaTheme="minorEastAsia" w:hAnsi="Times New Roman"/>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2867">
      <w:bodyDiv w:val="1"/>
      <w:marLeft w:val="0"/>
      <w:marRight w:val="0"/>
      <w:marTop w:val="0"/>
      <w:marBottom w:val="0"/>
      <w:divBdr>
        <w:top w:val="none" w:sz="0" w:space="0" w:color="auto"/>
        <w:left w:val="none" w:sz="0" w:space="0" w:color="auto"/>
        <w:bottom w:val="none" w:sz="0" w:space="0" w:color="auto"/>
        <w:right w:val="none" w:sz="0" w:space="0" w:color="auto"/>
      </w:divBdr>
    </w:div>
    <w:div w:id="278800553">
      <w:bodyDiv w:val="1"/>
      <w:marLeft w:val="0"/>
      <w:marRight w:val="0"/>
      <w:marTop w:val="0"/>
      <w:marBottom w:val="0"/>
      <w:divBdr>
        <w:top w:val="none" w:sz="0" w:space="0" w:color="auto"/>
        <w:left w:val="none" w:sz="0" w:space="0" w:color="auto"/>
        <w:bottom w:val="none" w:sz="0" w:space="0" w:color="auto"/>
        <w:right w:val="none" w:sz="0" w:space="0" w:color="auto"/>
      </w:divBdr>
    </w:div>
    <w:div w:id="469322311">
      <w:bodyDiv w:val="1"/>
      <w:marLeft w:val="0"/>
      <w:marRight w:val="0"/>
      <w:marTop w:val="0"/>
      <w:marBottom w:val="0"/>
      <w:divBdr>
        <w:top w:val="none" w:sz="0" w:space="0" w:color="auto"/>
        <w:left w:val="none" w:sz="0" w:space="0" w:color="auto"/>
        <w:bottom w:val="none" w:sz="0" w:space="0" w:color="auto"/>
        <w:right w:val="none" w:sz="0" w:space="0" w:color="auto"/>
      </w:divBdr>
    </w:div>
    <w:div w:id="603346616">
      <w:bodyDiv w:val="1"/>
      <w:marLeft w:val="0"/>
      <w:marRight w:val="0"/>
      <w:marTop w:val="0"/>
      <w:marBottom w:val="0"/>
      <w:divBdr>
        <w:top w:val="none" w:sz="0" w:space="0" w:color="auto"/>
        <w:left w:val="none" w:sz="0" w:space="0" w:color="auto"/>
        <w:bottom w:val="none" w:sz="0" w:space="0" w:color="auto"/>
        <w:right w:val="none" w:sz="0" w:space="0" w:color="auto"/>
      </w:divBdr>
    </w:div>
    <w:div w:id="638456667">
      <w:bodyDiv w:val="1"/>
      <w:marLeft w:val="0"/>
      <w:marRight w:val="0"/>
      <w:marTop w:val="0"/>
      <w:marBottom w:val="0"/>
      <w:divBdr>
        <w:top w:val="none" w:sz="0" w:space="0" w:color="auto"/>
        <w:left w:val="none" w:sz="0" w:space="0" w:color="auto"/>
        <w:bottom w:val="none" w:sz="0" w:space="0" w:color="auto"/>
        <w:right w:val="none" w:sz="0" w:space="0" w:color="auto"/>
      </w:divBdr>
    </w:div>
    <w:div w:id="812407430">
      <w:bodyDiv w:val="1"/>
      <w:marLeft w:val="0"/>
      <w:marRight w:val="0"/>
      <w:marTop w:val="0"/>
      <w:marBottom w:val="0"/>
      <w:divBdr>
        <w:top w:val="none" w:sz="0" w:space="0" w:color="auto"/>
        <w:left w:val="none" w:sz="0" w:space="0" w:color="auto"/>
        <w:bottom w:val="none" w:sz="0" w:space="0" w:color="auto"/>
        <w:right w:val="none" w:sz="0" w:space="0" w:color="auto"/>
      </w:divBdr>
    </w:div>
    <w:div w:id="1101727481">
      <w:bodyDiv w:val="1"/>
      <w:marLeft w:val="0"/>
      <w:marRight w:val="0"/>
      <w:marTop w:val="0"/>
      <w:marBottom w:val="0"/>
      <w:divBdr>
        <w:top w:val="none" w:sz="0" w:space="0" w:color="auto"/>
        <w:left w:val="none" w:sz="0" w:space="0" w:color="auto"/>
        <w:bottom w:val="none" w:sz="0" w:space="0" w:color="auto"/>
        <w:right w:val="none" w:sz="0" w:space="0" w:color="auto"/>
      </w:divBdr>
    </w:div>
    <w:div w:id="1169171509">
      <w:bodyDiv w:val="1"/>
      <w:marLeft w:val="0"/>
      <w:marRight w:val="0"/>
      <w:marTop w:val="0"/>
      <w:marBottom w:val="0"/>
      <w:divBdr>
        <w:top w:val="none" w:sz="0" w:space="0" w:color="auto"/>
        <w:left w:val="none" w:sz="0" w:space="0" w:color="auto"/>
        <w:bottom w:val="none" w:sz="0" w:space="0" w:color="auto"/>
        <w:right w:val="none" w:sz="0" w:space="0" w:color="auto"/>
      </w:divBdr>
    </w:div>
    <w:div w:id="182199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hyperlink" Target="mailto:oed24@cam.ac.uk" TargetMode="Externa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A80D9-9CE4-4AED-9D8F-D6F74BB8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8796</Words>
  <Characters>55416</Characters>
  <Application>Microsoft Office Word</Application>
  <DocSecurity>0</DocSecurity>
  <Lines>461</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Demuth</dc:creator>
  <cp:keywords/>
  <dc:description/>
  <cp:lastModifiedBy>Oliver Demuth</cp:lastModifiedBy>
  <cp:revision>2</cp:revision>
  <dcterms:created xsi:type="dcterms:W3CDTF">2023-01-09T11:48:00Z</dcterms:created>
  <dcterms:modified xsi:type="dcterms:W3CDTF">2023-01-09T11:48:00Z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http://www.zotero.org/styles/peerj</vt:lpwstr>
  </property>
  <property fmtid="{D5CDD505-2E9C-101B-9397-08002B2CF9AE}" pid="15" name="Mendeley Recent Style Name 6_1">
    <vt:lpwstr>PeerJ</vt:lpwstr>
  </property>
  <property fmtid="{D5CDD505-2E9C-101B-9397-08002B2CF9AE}" pid="16" name="Mendeley Recent Style Id 7_1">
    <vt:lpwstr>http://www.zotero.org/styles/proceedings-of-the-royal-society-b</vt:lpwstr>
  </property>
  <property fmtid="{D5CDD505-2E9C-101B-9397-08002B2CF9AE}" pid="17" name="Mendeley Recent Style Name 7_1">
    <vt:lpwstr>Proceedings of the Royal Society B</vt:lpwstr>
  </property>
  <property fmtid="{D5CDD505-2E9C-101B-9397-08002B2CF9AE}" pid="18" name="Mendeley Recent Style Id 8_1">
    <vt:lpwstr>http://www.zotero.org/styles/systematic-biology</vt:lpwstr>
  </property>
  <property fmtid="{D5CDD505-2E9C-101B-9397-08002B2CF9AE}" pid="19" name="Mendeley Recent Style Name 8_1">
    <vt:lpwstr>Systematic Biology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1c6d9280-d47d-3093-8da4-371b4b0d9763</vt:lpwstr>
  </property>
  <property fmtid="{D5CDD505-2E9C-101B-9397-08002B2CF9AE}" pid="24" name="Mendeley Citation Style_1">
    <vt:lpwstr>http://www.zotero.org/styles/proceedings-of-the-royal-society-b</vt:lpwstr>
  </property>
</Properties>
</file>