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096B" w14:textId="77777777" w:rsidR="00BF47B1" w:rsidRPr="007503C4" w:rsidRDefault="00BF47B1" w:rsidP="00BF47B1">
      <w:pPr>
        <w:pStyle w:val="Paragraphedeliste"/>
        <w:spacing w:after="240"/>
        <w:rPr>
          <w:lang w:val="en-US"/>
        </w:rPr>
      </w:pPr>
      <w:r w:rsidRPr="007734D5">
        <w:rPr>
          <w:u w:val="single"/>
          <w:lang w:val="en-US"/>
        </w:rPr>
        <w:t>Title</w:t>
      </w:r>
      <w:r>
        <w:rPr>
          <w:u w:val="single"/>
          <w:lang w:val="en-US"/>
        </w:rPr>
        <w:t xml:space="preserve">: </w:t>
      </w:r>
      <w:r>
        <w:rPr>
          <w:lang w:val="en-US"/>
        </w:rPr>
        <w:t>Human influence on</w:t>
      </w:r>
      <w:r>
        <w:rPr>
          <w:u w:val="single"/>
          <w:lang w:val="en-US"/>
        </w:rPr>
        <w:t xml:space="preserve"> Brown trout juvenile</w:t>
      </w:r>
      <w:r w:rsidRPr="00B1126C">
        <w:rPr>
          <w:u w:val="single"/>
          <w:lang w:val="en-US"/>
        </w:rPr>
        <w:t xml:space="preserve"> body size </w:t>
      </w:r>
      <w:r>
        <w:rPr>
          <w:u w:val="single"/>
          <w:lang w:val="en-US"/>
        </w:rPr>
        <w:t>during</w:t>
      </w:r>
      <w:r w:rsidRPr="00B1126C">
        <w:rPr>
          <w:u w:val="single"/>
          <w:lang w:val="en-US"/>
        </w:rPr>
        <w:t xml:space="preserve"> metapopulation expansion. </w:t>
      </w:r>
    </w:p>
    <w:p w14:paraId="6E3C1FB1" w14:textId="77777777" w:rsidR="00BF47B1" w:rsidRPr="006B1A19" w:rsidRDefault="00BF47B1" w:rsidP="00BF47B1">
      <w:pPr>
        <w:rPr>
          <w:u w:val="single"/>
          <w:lang w:val="en-US"/>
        </w:rPr>
      </w:pPr>
      <w:r w:rsidRPr="006B1A19">
        <w:rPr>
          <w:u w:val="single"/>
          <w:lang w:val="en-US"/>
        </w:rPr>
        <w:t>Authors:</w:t>
      </w:r>
    </w:p>
    <w:p w14:paraId="1398B0A1" w14:textId="77777777" w:rsidR="00BF47B1" w:rsidRPr="006B1A19" w:rsidRDefault="00BF47B1" w:rsidP="00BF47B1">
      <w:pPr>
        <w:spacing w:after="240"/>
        <w:rPr>
          <w:u w:val="single"/>
          <w:lang w:val="en-US"/>
        </w:rPr>
      </w:pPr>
      <w:r w:rsidRPr="006B1A19">
        <w:rPr>
          <w:lang w:val="en-US"/>
        </w:rPr>
        <w:t xml:space="preserve">L. </w:t>
      </w:r>
      <w:proofErr w:type="spellStart"/>
      <w:r w:rsidRPr="006B1A19">
        <w:rPr>
          <w:lang w:val="en-US"/>
        </w:rPr>
        <w:t>Aulus-Giacosa</w:t>
      </w:r>
      <w:proofErr w:type="spellEnd"/>
      <w:r w:rsidRPr="006B1A19">
        <w:rPr>
          <w:lang w:val="en-US"/>
        </w:rPr>
        <w:t xml:space="preserve">, F. </w:t>
      </w:r>
      <w:proofErr w:type="spellStart"/>
      <w:r w:rsidRPr="006B1A19">
        <w:rPr>
          <w:lang w:val="en-US"/>
        </w:rPr>
        <w:t>Guéraud</w:t>
      </w:r>
      <w:proofErr w:type="spellEnd"/>
      <w:r w:rsidRPr="006B1A19">
        <w:rPr>
          <w:lang w:val="en-US"/>
        </w:rPr>
        <w:t xml:space="preserve">, P. Gaudin, M. </w:t>
      </w:r>
      <w:proofErr w:type="spellStart"/>
      <w:r w:rsidRPr="006B1A19">
        <w:rPr>
          <w:lang w:val="en-US"/>
        </w:rPr>
        <w:t>Buoro</w:t>
      </w:r>
      <w:proofErr w:type="spellEnd"/>
      <w:r w:rsidRPr="006B1A19">
        <w:rPr>
          <w:lang w:val="en-US"/>
        </w:rPr>
        <w:t xml:space="preserve">, J.C. </w:t>
      </w:r>
      <w:proofErr w:type="spellStart"/>
      <w:r w:rsidRPr="006B1A19">
        <w:rPr>
          <w:lang w:val="en-US"/>
        </w:rPr>
        <w:t>Aymes</w:t>
      </w:r>
      <w:proofErr w:type="spellEnd"/>
      <w:r w:rsidRPr="006B1A19">
        <w:rPr>
          <w:lang w:val="en-US"/>
        </w:rPr>
        <w:t xml:space="preserve">, J. </w:t>
      </w:r>
      <w:proofErr w:type="spellStart"/>
      <w:r w:rsidRPr="006B1A19">
        <w:rPr>
          <w:lang w:val="en-US"/>
        </w:rPr>
        <w:t>Labonne</w:t>
      </w:r>
      <w:proofErr w:type="spellEnd"/>
      <w:r w:rsidRPr="006B1A19">
        <w:rPr>
          <w:lang w:val="en-US"/>
        </w:rPr>
        <w:t xml:space="preserve">, </w:t>
      </w:r>
      <w:proofErr w:type="spellStart"/>
      <w:proofErr w:type="gramStart"/>
      <w:r w:rsidRPr="006B1A19">
        <w:rPr>
          <w:lang w:val="en-US"/>
        </w:rPr>
        <w:t>M.Vignon</w:t>
      </w:r>
      <w:proofErr w:type="spellEnd"/>
      <w:proofErr w:type="gramEnd"/>
      <w:r w:rsidRPr="006B1A19">
        <w:rPr>
          <w:lang w:val="en-US"/>
        </w:rPr>
        <w:t xml:space="preserve">. </w:t>
      </w:r>
    </w:p>
    <w:p w14:paraId="63BCD68B" w14:textId="77777777" w:rsidR="00BF47B1" w:rsidRPr="00FE375D" w:rsidRDefault="00BF47B1" w:rsidP="00BF47B1">
      <w:pPr>
        <w:rPr>
          <w:u w:val="single"/>
        </w:rPr>
      </w:pPr>
      <w:r w:rsidRPr="00FE375D">
        <w:rPr>
          <w:u w:val="single"/>
        </w:rPr>
        <w:t>Affiliations</w:t>
      </w:r>
    </w:p>
    <w:p w14:paraId="5E7F8C54" w14:textId="77777777" w:rsidR="00BF47B1" w:rsidRPr="000B512D" w:rsidRDefault="00BF47B1" w:rsidP="00BF47B1">
      <w:pPr>
        <w:spacing w:after="240"/>
        <w:rPr>
          <w:u w:val="single"/>
        </w:rPr>
      </w:pPr>
      <w:proofErr w:type="spellStart"/>
      <w:r w:rsidRPr="002B5172">
        <w:rPr>
          <w:u w:val="single"/>
        </w:rPr>
        <w:t>Universite</w:t>
      </w:r>
      <w:proofErr w:type="spellEnd"/>
      <w:r w:rsidRPr="002B5172">
        <w:rPr>
          <w:u w:val="single"/>
        </w:rPr>
        <w:t xml:space="preserve"> de Pau et des Pays de l’Adour, E2S UPPA, INRAE, ECOBIOP, Saint-</w:t>
      </w:r>
      <w:proofErr w:type="spellStart"/>
      <w:r w:rsidRPr="002B5172">
        <w:rPr>
          <w:u w:val="single"/>
        </w:rPr>
        <w:t>Pée</w:t>
      </w:r>
      <w:proofErr w:type="spellEnd"/>
      <w:r w:rsidRPr="002B5172">
        <w:rPr>
          <w:u w:val="single"/>
        </w:rPr>
        <w:t>-sur-Nivelle ou Anglet,</w:t>
      </w:r>
      <w:r>
        <w:rPr>
          <w:u w:val="single"/>
        </w:rPr>
        <w:t xml:space="preserve"> France.</w:t>
      </w:r>
    </w:p>
    <w:p w14:paraId="66B23BFF" w14:textId="0E794FDD" w:rsidR="00BF47B1" w:rsidRDefault="00BF47B1" w:rsidP="00BF47B1">
      <w:pPr>
        <w:spacing w:after="240"/>
        <w:rPr>
          <w:u w:val="single"/>
          <w:lang w:val="en-US"/>
        </w:rPr>
      </w:pPr>
      <w:r w:rsidRPr="008C4E28">
        <w:rPr>
          <w:u w:val="single"/>
          <w:lang w:val="en-US"/>
        </w:rPr>
        <w:t>Corresponding author</w:t>
      </w:r>
      <w:r>
        <w:rPr>
          <w:u w:val="single"/>
          <w:lang w:val="en-US"/>
        </w:rPr>
        <w:t xml:space="preserve"> </w:t>
      </w:r>
      <w:r w:rsidRPr="006B1A19">
        <w:rPr>
          <w:lang w:val="en-US"/>
        </w:rPr>
        <w:t xml:space="preserve">L. </w:t>
      </w:r>
      <w:proofErr w:type="spellStart"/>
      <w:r w:rsidRPr="006B1A19">
        <w:rPr>
          <w:lang w:val="en-US"/>
        </w:rPr>
        <w:t>Aulus-Giacosa</w:t>
      </w:r>
      <w:proofErr w:type="spellEnd"/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47B1" w14:paraId="10F808A1" w14:textId="77777777" w:rsidTr="00BF4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0A94FE9A" w14:textId="166FC230" w:rsidR="00BF47B1" w:rsidRDefault="00BF47B1" w:rsidP="00BF47B1">
            <w:pPr>
              <w:spacing w:after="240"/>
              <w:jc w:val="left"/>
              <w:rPr>
                <w:u w:val="single"/>
                <w:lang w:val="en-US"/>
              </w:rPr>
            </w:pPr>
          </w:p>
        </w:tc>
      </w:tr>
    </w:tbl>
    <w:p w14:paraId="4ECD2E82" w14:textId="77777777" w:rsidR="00BF47B1" w:rsidRDefault="00BF47B1" w:rsidP="00BF47B1">
      <w:pPr>
        <w:rPr>
          <w:b/>
          <w:lang w:val="en-GB"/>
        </w:rPr>
      </w:pPr>
    </w:p>
    <w:p w14:paraId="5CE05E7B" w14:textId="2E649D25" w:rsidR="00605D97" w:rsidRPr="008C5C67" w:rsidRDefault="00417D49" w:rsidP="002156FE">
      <w:pPr>
        <w:jc w:val="center"/>
        <w:rPr>
          <w:b/>
          <w:lang w:val="en-GB"/>
        </w:rPr>
      </w:pPr>
      <w:r>
        <w:rPr>
          <w:b/>
          <w:lang w:val="en-GB"/>
        </w:rPr>
        <w:t xml:space="preserve">Electronic </w:t>
      </w:r>
      <w:r w:rsidR="00605D97" w:rsidRPr="008C5C67">
        <w:rPr>
          <w:b/>
          <w:lang w:val="en-GB"/>
        </w:rPr>
        <w:t xml:space="preserve">Supplementary </w:t>
      </w:r>
      <w:r w:rsidR="00101E49" w:rsidRPr="008C5C67">
        <w:rPr>
          <w:b/>
          <w:lang w:val="en-GB"/>
        </w:rPr>
        <w:t>Material</w:t>
      </w:r>
      <w:r w:rsidR="004C76D6">
        <w:rPr>
          <w:b/>
          <w:lang w:val="en-GB"/>
        </w:rPr>
        <w:t xml:space="preserve"> 1</w:t>
      </w:r>
      <w:r w:rsidR="00101E49" w:rsidRPr="008C5C67">
        <w:rPr>
          <w:b/>
          <w:lang w:val="en-GB"/>
        </w:rPr>
        <w:t>:</w:t>
      </w:r>
    </w:p>
    <w:p w14:paraId="26958634" w14:textId="77777777" w:rsidR="00605D97" w:rsidRPr="002156FE" w:rsidRDefault="00605D97" w:rsidP="002156FE">
      <w:pPr>
        <w:jc w:val="center"/>
        <w:rPr>
          <w:b/>
          <w:lang w:val="en-GB"/>
        </w:rPr>
      </w:pPr>
      <w:r w:rsidRPr="002156FE">
        <w:rPr>
          <w:b/>
          <w:lang w:val="en-GB"/>
        </w:rPr>
        <w:t xml:space="preserve">Selection of </w:t>
      </w:r>
      <w:r w:rsidR="00F125AC" w:rsidRPr="002156FE">
        <w:rPr>
          <w:b/>
          <w:lang w:val="en-GB"/>
        </w:rPr>
        <w:t>one-year-old</w:t>
      </w:r>
      <w:r w:rsidRPr="002156FE">
        <w:rPr>
          <w:b/>
          <w:lang w:val="en-GB"/>
        </w:rPr>
        <w:t xml:space="preserve"> fish through neural network machine learning.</w:t>
      </w:r>
    </w:p>
    <w:p w14:paraId="514A337C" w14:textId="77777777" w:rsidR="00F125AC" w:rsidRDefault="00F125AC">
      <w:pPr>
        <w:rPr>
          <w:lang w:val="en-GB"/>
        </w:rPr>
      </w:pPr>
    </w:p>
    <w:p w14:paraId="26A5F789" w14:textId="00550F10" w:rsidR="00F125AC" w:rsidRDefault="00F125AC" w:rsidP="00F0735F">
      <w:pPr>
        <w:jc w:val="both"/>
        <w:rPr>
          <w:rFonts w:ascii="Calibri" w:eastAsia="Times New Roman" w:hAnsi="Calibri" w:cs="Calibri"/>
          <w:lang w:val="en-US" w:eastAsia="fr-FR"/>
        </w:rPr>
      </w:pPr>
      <w:r>
        <w:rPr>
          <w:lang w:val="en-GB"/>
        </w:rPr>
        <w:t xml:space="preserve">The initial data contained </w:t>
      </w:r>
      <w:r>
        <w:rPr>
          <w:lang w:val="en-US"/>
        </w:rPr>
        <w:t xml:space="preserve">46241 </w:t>
      </w:r>
      <w:r>
        <w:rPr>
          <w:rFonts w:ascii="Calibri" w:eastAsia="Times New Roman" w:hAnsi="Calibri" w:cs="Calibri"/>
          <w:lang w:val="en-US" w:eastAsia="fr-FR"/>
        </w:rPr>
        <w:t xml:space="preserve">fish </w:t>
      </w:r>
      <w:r w:rsidR="00D210D8">
        <w:rPr>
          <w:rFonts w:ascii="Calibri" w:eastAsia="Times New Roman" w:hAnsi="Calibri" w:cs="Calibri"/>
          <w:lang w:val="en-US" w:eastAsia="fr-FR"/>
        </w:rPr>
        <w:t xml:space="preserve">measuring </w:t>
      </w:r>
      <w:r>
        <w:rPr>
          <w:rFonts w:ascii="Calibri" w:eastAsia="Times New Roman" w:hAnsi="Calibri" w:cs="Calibri"/>
          <w:lang w:val="en-US" w:eastAsia="fr-FR"/>
        </w:rPr>
        <w:t>between 50 and 249 mm</w:t>
      </w:r>
      <w:r w:rsidR="00D210D8">
        <w:rPr>
          <w:rFonts w:ascii="Calibri" w:eastAsia="Times New Roman" w:hAnsi="Calibri" w:cs="Calibri"/>
          <w:lang w:val="en-US" w:eastAsia="fr-FR"/>
        </w:rPr>
        <w:t xml:space="preserve"> long.</w:t>
      </w:r>
      <w:r w:rsidR="00AA124F" w:rsidRPr="00AA124F">
        <w:rPr>
          <w:lang w:val="en-GB"/>
        </w:rPr>
        <w:t xml:space="preserve"> </w:t>
      </w:r>
      <w:r w:rsidR="00AA124F">
        <w:rPr>
          <w:lang w:val="en-GB"/>
        </w:rPr>
        <w:t xml:space="preserve">Data collection is part of the Biological Resources </w:t>
      </w:r>
      <w:proofErr w:type="spellStart"/>
      <w:r w:rsidR="00AA124F">
        <w:rPr>
          <w:lang w:val="en-GB"/>
        </w:rPr>
        <w:t>Center</w:t>
      </w:r>
      <w:proofErr w:type="spellEnd"/>
      <w:r w:rsidR="00AA124F">
        <w:rPr>
          <w:lang w:val="en-GB"/>
        </w:rPr>
        <w:t xml:space="preserve"> COLISA (</w:t>
      </w:r>
      <w:r w:rsidR="00AA124F" w:rsidRPr="00AA124F">
        <w:rPr>
          <w:lang w:val="en-GB"/>
        </w:rPr>
        <w:t>https://doi.org/10.15454/D3ODJM</w:t>
      </w:r>
      <w:r w:rsidR="00AA124F">
        <w:rPr>
          <w:lang w:val="en-GB"/>
        </w:rPr>
        <w:t>).</w:t>
      </w:r>
      <w:r w:rsidR="00D210D8">
        <w:rPr>
          <w:rFonts w:ascii="Calibri" w:eastAsia="Times New Roman" w:hAnsi="Calibri" w:cs="Calibri"/>
          <w:lang w:val="en-US" w:eastAsia="fr-FR"/>
        </w:rPr>
        <w:t xml:space="preserve"> The exact age of 6191 of these fish was already known thanks to scale reading, a technique that allows to age brown trout and is very efficient for young ages. We used 4000 of these known age fish to train a neural network using simply capture date (</w:t>
      </w:r>
      <w:r w:rsidR="00101E49">
        <w:rPr>
          <w:rFonts w:ascii="Calibri" w:eastAsia="Times New Roman" w:hAnsi="Calibri" w:cs="Calibri"/>
          <w:lang w:val="en-US" w:eastAsia="fr-FR"/>
        </w:rPr>
        <w:t>Julian</w:t>
      </w:r>
      <w:r w:rsidR="00D210D8">
        <w:rPr>
          <w:rFonts w:ascii="Calibri" w:eastAsia="Times New Roman" w:hAnsi="Calibri" w:cs="Calibri"/>
          <w:lang w:val="en-US" w:eastAsia="fr-FR"/>
        </w:rPr>
        <w:t xml:space="preserve"> date) and body size</w:t>
      </w:r>
      <w:r w:rsidR="00752844">
        <w:rPr>
          <w:rFonts w:ascii="Calibri" w:eastAsia="Times New Roman" w:hAnsi="Calibri" w:cs="Calibri"/>
          <w:lang w:val="en-US" w:eastAsia="fr-FR"/>
        </w:rPr>
        <w:t>, using the</w:t>
      </w:r>
      <w:r w:rsidR="00D210D8">
        <w:rPr>
          <w:rFonts w:ascii="Calibri" w:eastAsia="Times New Roman" w:hAnsi="Calibri" w:cs="Calibri"/>
          <w:lang w:val="en-US" w:eastAsia="fr-FR"/>
        </w:rPr>
        <w:t xml:space="preserve"> </w:t>
      </w:r>
      <w:r w:rsidR="00752844">
        <w:rPr>
          <w:rFonts w:ascii="Calibri" w:eastAsia="Times New Roman" w:hAnsi="Calibri" w:cs="Calibri"/>
          <w:lang w:val="en-US" w:eastAsia="fr-FR"/>
        </w:rPr>
        <w:t>“</w:t>
      </w:r>
      <w:proofErr w:type="spellStart"/>
      <w:r w:rsidR="00752844">
        <w:rPr>
          <w:rFonts w:ascii="Calibri" w:eastAsia="Times New Roman" w:hAnsi="Calibri" w:cs="Calibri"/>
          <w:lang w:val="en-US" w:eastAsia="fr-FR"/>
        </w:rPr>
        <w:t>knn</w:t>
      </w:r>
      <w:proofErr w:type="spellEnd"/>
      <w:r w:rsidR="00752844">
        <w:rPr>
          <w:rFonts w:ascii="Calibri" w:eastAsia="Times New Roman" w:hAnsi="Calibri" w:cs="Calibri"/>
          <w:lang w:val="en-US" w:eastAsia="fr-FR"/>
        </w:rPr>
        <w:t>” function of class R package</w:t>
      </w:r>
      <w:r w:rsidR="00F0735F">
        <w:rPr>
          <w:rFonts w:ascii="Calibri" w:eastAsia="Times New Roman" w:hAnsi="Calibri" w:cs="Calibri"/>
          <w:lang w:val="en-US" w:eastAsia="fr-FR"/>
        </w:rPr>
        <w:t xml:space="preserve"> </w:t>
      </w:r>
      <w:r w:rsidR="00752844">
        <w:rPr>
          <w:rFonts w:ascii="Calibri" w:eastAsia="Times New Roman" w:hAnsi="Calibri" w:cs="Calibri"/>
          <w:lang w:val="en-US" w:eastAsia="fr-FR"/>
        </w:rPr>
        <w:t xml:space="preserve">(ver. 7.3-14). </w:t>
      </w:r>
      <w:r w:rsidR="00D210D8">
        <w:rPr>
          <w:rFonts w:ascii="Calibri" w:eastAsia="Times New Roman" w:hAnsi="Calibri" w:cs="Calibri"/>
          <w:lang w:val="en-US" w:eastAsia="fr-FR"/>
        </w:rPr>
        <w:t xml:space="preserve">We then predicted the age of the remaining 2191 fish, testing neural networks of varying complexity (See Figure 1 below). </w:t>
      </w:r>
    </w:p>
    <w:p w14:paraId="4816144B" w14:textId="77777777" w:rsidR="00F125AC" w:rsidRDefault="00F125AC">
      <w:pPr>
        <w:rPr>
          <w:lang w:val="en-GB"/>
        </w:rPr>
      </w:pPr>
    </w:p>
    <w:p w14:paraId="12154CB4" w14:textId="77777777" w:rsidR="00F125AC" w:rsidRDefault="00F125AC" w:rsidP="00F125AC">
      <w:pPr>
        <w:jc w:val="center"/>
        <w:rPr>
          <w:lang w:val="en-GB"/>
        </w:rPr>
      </w:pPr>
      <w:r>
        <w:rPr>
          <w:noProof/>
          <w:lang w:eastAsia="fr-FR"/>
        </w:rPr>
        <w:lastRenderedPageBreak/>
        <w:drawing>
          <wp:inline distT="0" distB="0" distL="0" distR="0" wp14:anchorId="50EDF0EF" wp14:editId="5340EB39">
            <wp:extent cx="4425950" cy="4425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442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C457E" w14:textId="77777777" w:rsidR="00F125AC" w:rsidRPr="00101E49" w:rsidRDefault="00D210D8">
      <w:pPr>
        <w:rPr>
          <w:u w:val="single"/>
          <w:lang w:val="en-GB"/>
        </w:rPr>
      </w:pPr>
      <w:r w:rsidRPr="00101E49">
        <w:rPr>
          <w:u w:val="single"/>
          <w:lang w:val="en-GB"/>
        </w:rPr>
        <w:t xml:space="preserve">Figure 1: Efficiency of the neural network measured in proportion of exact response as a function of the complexity (number of nodes) of the neural network. The maximum efficiency as well as the most stable prediction was obtained for k= 5 nodes.  We therefore used this network for further analyses. </w:t>
      </w:r>
    </w:p>
    <w:p w14:paraId="2CC8F1C6" w14:textId="60F1C946" w:rsidR="00C6180A" w:rsidRDefault="002156FE" w:rsidP="00F0735F">
      <w:pPr>
        <w:jc w:val="both"/>
        <w:rPr>
          <w:lang w:val="en-GB"/>
        </w:rPr>
      </w:pPr>
      <w:r>
        <w:rPr>
          <w:lang w:val="en-GB"/>
        </w:rPr>
        <w:t xml:space="preserve">For the best network (k=5), the algorithm predicted age with an efficiency of 97%. </w:t>
      </w:r>
      <w:r w:rsidR="00D210D8">
        <w:rPr>
          <w:lang w:val="en-GB"/>
        </w:rPr>
        <w:t xml:space="preserve">Having trained and selected the best neural network, we used it on the remaining data (N=40050) </w:t>
      </w:r>
      <w:proofErr w:type="gramStart"/>
      <w:r w:rsidR="00D210D8">
        <w:rPr>
          <w:lang w:val="en-GB"/>
        </w:rPr>
        <w:t>in order to</w:t>
      </w:r>
      <w:proofErr w:type="gramEnd"/>
      <w:r w:rsidR="00D210D8">
        <w:rPr>
          <w:lang w:val="en-GB"/>
        </w:rPr>
        <w:t xml:space="preserve"> detect fish with age between 1 and 2 years old.</w:t>
      </w:r>
      <w:r w:rsidR="00CE34EB">
        <w:rPr>
          <w:lang w:val="en-GB"/>
        </w:rPr>
        <w:t xml:space="preserve"> </w:t>
      </w:r>
      <w:r w:rsidR="00CE34EB" w:rsidRPr="00236978">
        <w:rPr>
          <w:rFonts w:ascii="Calibri" w:eastAsia="Times New Roman" w:hAnsi="Calibri" w:cs="Calibri"/>
          <w:lang w:val="en-GB" w:eastAsia="fr-FR"/>
        </w:rPr>
        <w:t xml:space="preserve">We </w:t>
      </w:r>
      <w:r w:rsidR="00CE34EB">
        <w:rPr>
          <w:rFonts w:ascii="Calibri" w:eastAsia="Times New Roman" w:hAnsi="Calibri" w:cs="Calibri"/>
          <w:lang w:val="en-GB" w:eastAsia="fr-FR"/>
        </w:rPr>
        <w:t xml:space="preserve">then </w:t>
      </w:r>
      <w:r w:rsidR="00CE34EB" w:rsidRPr="00236978">
        <w:rPr>
          <w:rFonts w:ascii="Calibri" w:eastAsia="Times New Roman" w:hAnsi="Calibri" w:cs="Calibri"/>
          <w:lang w:val="en-GB" w:eastAsia="fr-FR"/>
        </w:rPr>
        <w:t>also discarded a small portion of</w:t>
      </w:r>
      <w:r w:rsidR="00CE34EB">
        <w:rPr>
          <w:rFonts w:ascii="Calibri" w:eastAsia="Times New Roman" w:hAnsi="Calibri" w:cs="Calibri"/>
          <w:lang w:val="en-GB" w:eastAsia="fr-FR"/>
        </w:rPr>
        <w:t xml:space="preserve"> the</w:t>
      </w:r>
      <w:r w:rsidR="00CE34EB" w:rsidRPr="00236978">
        <w:rPr>
          <w:rFonts w:ascii="Calibri" w:eastAsia="Times New Roman" w:hAnsi="Calibri" w:cs="Calibri"/>
          <w:lang w:val="en-GB" w:eastAsia="fr-FR"/>
        </w:rPr>
        <w:t xml:space="preserve"> </w:t>
      </w:r>
      <w:r w:rsidR="00CE34EB">
        <w:rPr>
          <w:rFonts w:ascii="Calibri" w:eastAsia="Times New Roman" w:hAnsi="Calibri" w:cs="Calibri"/>
          <w:lang w:val="en-GB" w:eastAsia="fr-FR"/>
        </w:rPr>
        <w:t xml:space="preserve">remaining </w:t>
      </w:r>
      <w:r w:rsidR="00CE34EB" w:rsidRPr="00236978">
        <w:rPr>
          <w:rFonts w:ascii="Calibri" w:eastAsia="Times New Roman" w:hAnsi="Calibri" w:cs="Calibri"/>
          <w:lang w:val="en-GB" w:eastAsia="fr-FR"/>
        </w:rPr>
        <w:t>dataset (&lt;5%) for fish caught during the winter season, keeping only individuals in the growing season (between the 150</w:t>
      </w:r>
      <w:r w:rsidR="00CE34EB" w:rsidRPr="00236978">
        <w:rPr>
          <w:rFonts w:ascii="Calibri" w:eastAsia="Times New Roman" w:hAnsi="Calibri" w:cs="Calibri"/>
          <w:vertAlign w:val="superscript"/>
          <w:lang w:val="en-GB" w:eastAsia="fr-FR"/>
        </w:rPr>
        <w:t>th</w:t>
      </w:r>
      <w:r w:rsidR="00CE34EB" w:rsidRPr="00236978">
        <w:rPr>
          <w:rFonts w:ascii="Calibri" w:eastAsia="Times New Roman" w:hAnsi="Calibri" w:cs="Calibri"/>
          <w:lang w:val="en-GB" w:eastAsia="fr-FR"/>
        </w:rPr>
        <w:t xml:space="preserve"> and the 280</w:t>
      </w:r>
      <w:r w:rsidR="00CE34EB" w:rsidRPr="00236978">
        <w:rPr>
          <w:rFonts w:ascii="Calibri" w:eastAsia="Times New Roman" w:hAnsi="Calibri" w:cs="Calibri"/>
          <w:vertAlign w:val="superscript"/>
          <w:lang w:val="en-GB" w:eastAsia="fr-FR"/>
        </w:rPr>
        <w:t>th</w:t>
      </w:r>
      <w:r w:rsidR="00CE34EB" w:rsidRPr="00236978">
        <w:rPr>
          <w:rFonts w:ascii="Calibri" w:eastAsia="Times New Roman" w:hAnsi="Calibri" w:cs="Calibri"/>
          <w:lang w:val="en-GB" w:eastAsia="fr-FR"/>
        </w:rPr>
        <w:t xml:space="preserve"> day of their second year). This selection was performed to keep the part of the season where a linear relationship could be observed between the logarithm of the body size and the Julian date. </w:t>
      </w:r>
      <w:r w:rsidR="00C6180A">
        <w:rPr>
          <w:lang w:val="en-GB"/>
        </w:rPr>
        <w:t xml:space="preserve">It is indeed the timing of the year where significant growth is observed (See Beall and </w:t>
      </w:r>
      <w:proofErr w:type="spellStart"/>
      <w:r w:rsidR="00C6180A">
        <w:rPr>
          <w:lang w:val="en-GB"/>
        </w:rPr>
        <w:t>Davaine</w:t>
      </w:r>
      <w:proofErr w:type="spellEnd"/>
      <w:r w:rsidR="00C6180A">
        <w:rPr>
          <w:lang w:val="en-GB"/>
        </w:rPr>
        <w:t xml:space="preserve"> 1988, at the end of the present document). </w:t>
      </w:r>
    </w:p>
    <w:p w14:paraId="5E9A817F" w14:textId="77777777" w:rsidR="00C6180A" w:rsidRPr="00C6180A" w:rsidRDefault="00C6180A" w:rsidP="00F0735F">
      <w:pPr>
        <w:jc w:val="both"/>
        <w:rPr>
          <w:lang w:val="en-GB"/>
        </w:rPr>
      </w:pPr>
    </w:p>
    <w:p w14:paraId="7B72E423" w14:textId="49BC79D3" w:rsidR="00F125AC" w:rsidRDefault="00D210D8" w:rsidP="00F0735F">
      <w:pPr>
        <w:jc w:val="both"/>
        <w:rPr>
          <w:lang w:val="en-GB"/>
        </w:rPr>
      </w:pPr>
      <w:r>
        <w:rPr>
          <w:lang w:val="en-GB"/>
        </w:rPr>
        <w:t xml:space="preserve">Figure 2 shows the result of this analysis, which provided 21639 individuals for our study of body size evolution. </w:t>
      </w:r>
    </w:p>
    <w:p w14:paraId="01A70C1A" w14:textId="77777777" w:rsidR="00F125AC" w:rsidRDefault="00CE34EB">
      <w:pPr>
        <w:rPr>
          <w:lang w:val="en-GB"/>
        </w:rPr>
      </w:pPr>
      <w:r>
        <w:rPr>
          <w:noProof/>
          <w:lang w:eastAsia="fr-FR"/>
        </w:rPr>
        <w:lastRenderedPageBreak/>
        <w:drawing>
          <wp:inline distT="0" distB="0" distL="0" distR="0" wp14:anchorId="7C8CC0D8" wp14:editId="3ECF2830">
            <wp:extent cx="5851813" cy="4692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176" cy="4700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7FED1" w14:textId="77777777" w:rsidR="00D210D8" w:rsidRDefault="00D210D8">
      <w:pPr>
        <w:rPr>
          <w:lang w:val="en-GB"/>
        </w:rPr>
      </w:pPr>
    </w:p>
    <w:p w14:paraId="7C474255" w14:textId="77777777" w:rsidR="00D210D8" w:rsidRPr="00101E49" w:rsidRDefault="00D210D8">
      <w:pPr>
        <w:rPr>
          <w:u w:val="single"/>
          <w:lang w:val="en-GB"/>
        </w:rPr>
      </w:pPr>
      <w:r w:rsidRPr="00101E49">
        <w:rPr>
          <w:u w:val="single"/>
          <w:lang w:val="en-GB"/>
        </w:rPr>
        <w:t xml:space="preserve">Figure 2: Relationship between body size (in mm) and Julian date of capture in the year in our whole dataset (all shown points) and for </w:t>
      </w:r>
      <w:r w:rsidR="002247D9" w:rsidRPr="00101E49">
        <w:rPr>
          <w:u w:val="single"/>
          <w:lang w:val="en-GB"/>
        </w:rPr>
        <w:t>one-year-old</w:t>
      </w:r>
      <w:r w:rsidRPr="00101E49">
        <w:rPr>
          <w:u w:val="single"/>
          <w:lang w:val="en-GB"/>
        </w:rPr>
        <w:t xml:space="preserve"> fish (as detected by the neural network learning, in red). </w:t>
      </w:r>
      <w:r w:rsidR="005D0744">
        <w:rPr>
          <w:u w:val="single"/>
          <w:lang w:val="en-GB"/>
        </w:rPr>
        <w:t xml:space="preserve">The greyed areas indicate intervals of the year discarded in the analysis. </w:t>
      </w:r>
    </w:p>
    <w:p w14:paraId="54C8BB3D" w14:textId="77777777" w:rsidR="001A6F3C" w:rsidRDefault="001A6F3C" w:rsidP="00F0735F">
      <w:pPr>
        <w:jc w:val="both"/>
        <w:rPr>
          <w:lang w:val="en-GB"/>
        </w:rPr>
      </w:pPr>
    </w:p>
    <w:p w14:paraId="33C3E429" w14:textId="77777777" w:rsidR="001A6F3C" w:rsidRDefault="001A6F3C" w:rsidP="00F0735F">
      <w:pPr>
        <w:jc w:val="both"/>
        <w:rPr>
          <w:lang w:val="en-GB"/>
        </w:rPr>
      </w:pPr>
      <w:r>
        <w:rPr>
          <w:lang w:val="en-GB"/>
        </w:rPr>
        <w:t xml:space="preserve">The distribution of these 21639 fish along axes of interest (Metapopulation age, populations age) is plotted in Figure 3. Although it is not </w:t>
      </w:r>
      <w:r w:rsidR="00A34E3B">
        <w:rPr>
          <w:lang w:val="en-GB"/>
        </w:rPr>
        <w:t xml:space="preserve">totally </w:t>
      </w:r>
      <w:r>
        <w:rPr>
          <w:lang w:val="en-GB"/>
        </w:rPr>
        <w:t xml:space="preserve">homogenous, the sampling covers much of the covariation between these two axes. </w:t>
      </w:r>
    </w:p>
    <w:p w14:paraId="7D14B9EE" w14:textId="77777777" w:rsidR="001A6F3C" w:rsidRDefault="001A6F3C">
      <w:pPr>
        <w:rPr>
          <w:lang w:val="en-GB"/>
        </w:rPr>
      </w:pPr>
    </w:p>
    <w:p w14:paraId="1F2DD2C7" w14:textId="77777777" w:rsidR="001A6F3C" w:rsidRDefault="001A6F3C" w:rsidP="001A6F3C">
      <w:pPr>
        <w:jc w:val="center"/>
        <w:rPr>
          <w:lang w:val="en-GB"/>
        </w:rPr>
      </w:pPr>
      <w:r>
        <w:rPr>
          <w:noProof/>
          <w:lang w:eastAsia="fr-FR"/>
        </w:rPr>
        <w:lastRenderedPageBreak/>
        <w:drawing>
          <wp:inline distT="0" distB="0" distL="0" distR="0" wp14:anchorId="2C458DE2" wp14:editId="0360E5C8">
            <wp:extent cx="4636995" cy="442595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77" cy="442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BE4C0" w14:textId="77777777" w:rsidR="001A6F3C" w:rsidRDefault="001A6F3C" w:rsidP="001A6F3C">
      <w:pPr>
        <w:jc w:val="center"/>
        <w:rPr>
          <w:lang w:val="en-GB"/>
        </w:rPr>
      </w:pPr>
    </w:p>
    <w:p w14:paraId="49836607" w14:textId="64E00AE6" w:rsidR="001A6F3C" w:rsidRDefault="001A6F3C" w:rsidP="001A6F3C">
      <w:pPr>
        <w:jc w:val="center"/>
        <w:rPr>
          <w:u w:val="single"/>
          <w:lang w:val="en-GB"/>
        </w:rPr>
      </w:pPr>
      <w:r w:rsidRPr="00101E49">
        <w:rPr>
          <w:u w:val="single"/>
          <w:lang w:val="en-GB"/>
        </w:rPr>
        <w:t xml:space="preserve">Figure 3: Density of sampling as a function of metapopulation age and populations age. </w:t>
      </w:r>
    </w:p>
    <w:p w14:paraId="020F0096" w14:textId="1496249B" w:rsidR="00C6180A" w:rsidRDefault="00C6180A" w:rsidP="001A6F3C">
      <w:pPr>
        <w:jc w:val="center"/>
        <w:rPr>
          <w:u w:val="single"/>
          <w:lang w:val="en-GB"/>
        </w:rPr>
      </w:pPr>
    </w:p>
    <w:p w14:paraId="5F0704EF" w14:textId="2B551F44" w:rsidR="00C6180A" w:rsidRDefault="00C6180A" w:rsidP="001A6F3C">
      <w:pPr>
        <w:jc w:val="center"/>
        <w:rPr>
          <w:u w:val="single"/>
          <w:lang w:val="en-GB"/>
        </w:rPr>
      </w:pPr>
    </w:p>
    <w:p w14:paraId="58567179" w14:textId="52517849" w:rsidR="00C6180A" w:rsidRPr="00C6180A" w:rsidRDefault="00C6180A" w:rsidP="00C6180A">
      <w:pPr>
        <w:jc w:val="both"/>
      </w:pPr>
      <w:proofErr w:type="spellStart"/>
      <w:r w:rsidRPr="00C6180A">
        <w:t>Beall</w:t>
      </w:r>
      <w:proofErr w:type="spellEnd"/>
      <w:r w:rsidRPr="00C6180A">
        <w:t xml:space="preserve"> E, Davaine P (1988) Analyse </w:t>
      </w:r>
      <w:proofErr w:type="spellStart"/>
      <w:r w:rsidRPr="00C6180A">
        <w:t>scalimétrique</w:t>
      </w:r>
      <w:proofErr w:type="spellEnd"/>
      <w:r w:rsidRPr="00C6180A">
        <w:t xml:space="preserve"> de la truite de mer (</w:t>
      </w:r>
      <w:proofErr w:type="spellStart"/>
      <w:r w:rsidRPr="00B222DF">
        <w:rPr>
          <w:i/>
          <w:iCs/>
        </w:rPr>
        <w:t>Salmo</w:t>
      </w:r>
      <w:proofErr w:type="spellEnd"/>
      <w:r w:rsidRPr="00B222DF">
        <w:rPr>
          <w:i/>
          <w:iCs/>
        </w:rPr>
        <w:t xml:space="preserve"> </w:t>
      </w:r>
      <w:proofErr w:type="spellStart"/>
      <w:r w:rsidRPr="00B222DF">
        <w:rPr>
          <w:i/>
          <w:iCs/>
        </w:rPr>
        <w:t>trutta</w:t>
      </w:r>
      <w:proofErr w:type="spellEnd"/>
      <w:r w:rsidRPr="00B222DF">
        <w:rPr>
          <w:i/>
          <w:iCs/>
        </w:rPr>
        <w:t xml:space="preserve"> </w:t>
      </w:r>
      <w:r w:rsidRPr="00C6180A">
        <w:t>L.</w:t>
      </w:r>
      <w:proofErr w:type="gramStart"/>
      <w:r w:rsidRPr="00C6180A">
        <w:t>):</w:t>
      </w:r>
      <w:proofErr w:type="gramEnd"/>
      <w:r w:rsidRPr="00C6180A">
        <w:t xml:space="preserve"> formation des anneaux et critères d’identification chez les individus sédentaires et migrateurs d’une même population acclimatée aux îles Kerguelen (TAAF). </w:t>
      </w:r>
      <w:proofErr w:type="spellStart"/>
      <w:r w:rsidRPr="00C6180A">
        <w:t>Aquat</w:t>
      </w:r>
      <w:proofErr w:type="spellEnd"/>
      <w:r w:rsidRPr="00C6180A">
        <w:t xml:space="preserve"> Living </w:t>
      </w:r>
      <w:proofErr w:type="spellStart"/>
      <w:r w:rsidRPr="00C6180A">
        <w:t>Res</w:t>
      </w:r>
      <w:proofErr w:type="spellEnd"/>
      <w:r w:rsidRPr="00C6180A">
        <w:t xml:space="preserve"> </w:t>
      </w:r>
      <w:proofErr w:type="gramStart"/>
      <w:r w:rsidRPr="00C6180A">
        <w:t>1:</w:t>
      </w:r>
      <w:proofErr w:type="gramEnd"/>
      <w:r w:rsidRPr="00C6180A">
        <w:t xml:space="preserve">3–16. </w:t>
      </w:r>
    </w:p>
    <w:p w14:paraId="7B9D3064" w14:textId="77777777" w:rsidR="00C6180A" w:rsidRPr="00C6180A" w:rsidRDefault="00C6180A" w:rsidP="001A6F3C">
      <w:pPr>
        <w:jc w:val="center"/>
        <w:rPr>
          <w:u w:val="single"/>
        </w:rPr>
      </w:pPr>
    </w:p>
    <w:sectPr w:rsidR="00C6180A" w:rsidRPr="00C6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97"/>
    <w:rsid w:val="000F06C0"/>
    <w:rsid w:val="00101E49"/>
    <w:rsid w:val="001A6F3C"/>
    <w:rsid w:val="002156FE"/>
    <w:rsid w:val="002247D9"/>
    <w:rsid w:val="00350134"/>
    <w:rsid w:val="00417D49"/>
    <w:rsid w:val="004252E7"/>
    <w:rsid w:val="004C76D6"/>
    <w:rsid w:val="005D0744"/>
    <w:rsid w:val="00605D97"/>
    <w:rsid w:val="00624313"/>
    <w:rsid w:val="006D4CA5"/>
    <w:rsid w:val="00752844"/>
    <w:rsid w:val="008C5C67"/>
    <w:rsid w:val="00A34E3B"/>
    <w:rsid w:val="00AA124F"/>
    <w:rsid w:val="00B222DF"/>
    <w:rsid w:val="00B75369"/>
    <w:rsid w:val="00BF47B1"/>
    <w:rsid w:val="00C6180A"/>
    <w:rsid w:val="00CE34EB"/>
    <w:rsid w:val="00D210D8"/>
    <w:rsid w:val="00F0735F"/>
    <w:rsid w:val="00F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0563"/>
  <w15:chartTrackingRefBased/>
  <w15:docId w15:val="{8A33AF25-6B1C-498B-BAB7-8B9ED13F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7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BF47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BF47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Labonne</dc:creator>
  <cp:keywords/>
  <dc:description/>
  <cp:lastModifiedBy>Lucie Aulus</cp:lastModifiedBy>
  <cp:revision>5</cp:revision>
  <dcterms:created xsi:type="dcterms:W3CDTF">2021-08-02T14:43:00Z</dcterms:created>
  <dcterms:modified xsi:type="dcterms:W3CDTF">2021-08-04T17:13:00Z</dcterms:modified>
</cp:coreProperties>
</file>