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C86E7" w14:textId="4EFA4625" w:rsidR="00C865E1" w:rsidRPr="00FA1378" w:rsidRDefault="0028745C" w:rsidP="00E22675">
      <w:pPr>
        <w:spacing w:line="480" w:lineRule="auto"/>
        <w:rPr>
          <w:b/>
          <w:bCs/>
          <w:sz w:val="28"/>
          <w:szCs w:val="28"/>
        </w:rPr>
      </w:pPr>
      <w:r w:rsidRPr="00FA1378">
        <w:rPr>
          <w:b/>
          <w:bCs/>
          <w:sz w:val="28"/>
          <w:szCs w:val="28"/>
        </w:rPr>
        <w:t>Supplementary Figures and Legends</w:t>
      </w:r>
    </w:p>
    <w:p w14:paraId="3D691E5C" w14:textId="38BC4DDC" w:rsidR="0028745C" w:rsidRDefault="00E22675" w:rsidP="0028745C">
      <w:pPr>
        <w:rPr>
          <w:b/>
          <w:bCs/>
          <w:sz w:val="28"/>
          <w:szCs w:val="28"/>
        </w:rPr>
      </w:pPr>
      <w:r>
        <w:rPr>
          <w:b/>
          <w:bCs/>
          <w:noProof/>
          <w:sz w:val="28"/>
          <w:szCs w:val="28"/>
          <w:lang w:val="en-IN" w:eastAsia="en-IN"/>
        </w:rPr>
        <w:drawing>
          <wp:inline distT="0" distB="0" distL="0" distR="0" wp14:anchorId="69024EBA" wp14:editId="1E9AEE7F">
            <wp:extent cx="7278370" cy="2772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78370" cy="2772410"/>
                    </a:xfrm>
                    <a:prstGeom prst="rect">
                      <a:avLst/>
                    </a:prstGeom>
                    <a:noFill/>
                    <a:ln>
                      <a:noFill/>
                    </a:ln>
                  </pic:spPr>
                </pic:pic>
              </a:graphicData>
            </a:graphic>
          </wp:inline>
        </w:drawing>
      </w:r>
    </w:p>
    <w:p w14:paraId="193AC854" w14:textId="2F780A2A" w:rsidR="0028745C" w:rsidRPr="00E509BC" w:rsidRDefault="005D5D49" w:rsidP="00E509BC">
      <w:pPr>
        <w:spacing w:line="240" w:lineRule="auto"/>
        <w:rPr>
          <w:rFonts w:eastAsia="Times New Roman" w:cs="Arial"/>
        </w:rPr>
      </w:pPr>
      <w:r w:rsidRPr="00187D2B">
        <w:rPr>
          <w:rFonts w:cs="Arial"/>
          <w:b/>
          <w:bCs/>
        </w:rPr>
        <w:t>Supplementary Figure 1:</w:t>
      </w:r>
      <w:r w:rsidRPr="00187D2B">
        <w:rPr>
          <w:rFonts w:cs="Arial"/>
        </w:rPr>
        <w:t xml:space="preserve"> </w:t>
      </w:r>
      <w:r w:rsidR="00187D2B" w:rsidRPr="00187D2B">
        <w:rPr>
          <w:rFonts w:cs="Arial"/>
          <w:b/>
          <w:bCs/>
        </w:rPr>
        <w:t>Observed vs simulated b</w:t>
      </w:r>
      <w:r w:rsidRPr="00187D2B">
        <w:rPr>
          <w:rFonts w:cs="Arial"/>
          <w:b/>
          <w:bCs/>
        </w:rPr>
        <w:t>asal clone size probability distributions</w:t>
      </w:r>
      <w:r w:rsidR="00A26EFE">
        <w:rPr>
          <w:rFonts w:cs="Arial"/>
          <w:b/>
          <w:bCs/>
        </w:rPr>
        <w:t xml:space="preserve"> across all timepoints</w:t>
      </w:r>
      <w:r w:rsidR="00187D2B">
        <w:rPr>
          <w:rFonts w:cs="Arial"/>
          <w:b/>
          <w:bCs/>
        </w:rPr>
        <w:t>.</w:t>
      </w:r>
      <w:r w:rsidRPr="00187D2B">
        <w:rPr>
          <w:rFonts w:cs="Arial"/>
        </w:rPr>
        <w:t xml:space="preserve"> </w:t>
      </w:r>
      <w:r w:rsidR="00A26EFE">
        <w:rPr>
          <w:rFonts w:cs="Arial"/>
        </w:rPr>
        <w:t xml:space="preserve">Observed and simulated basal clone size distributions are more dissimilar during early time points. </w:t>
      </w:r>
      <w:r w:rsidR="00187D2B">
        <w:rPr>
          <w:rFonts w:cs="Arial"/>
        </w:rPr>
        <w:t xml:space="preserve">Observed clone size distributions </w:t>
      </w:r>
      <w:r w:rsidR="00187D2B">
        <w:rPr>
          <w:rFonts w:eastAsia="Times New Roman" w:cs="Arial"/>
        </w:rPr>
        <w:t>retrieved from</w:t>
      </w:r>
      <w:r w:rsidRPr="00187D2B">
        <w:rPr>
          <w:rFonts w:eastAsia="Times New Roman" w:cs="Arial"/>
        </w:rPr>
        <w:t xml:space="preserve"> clonal data </w:t>
      </w:r>
      <w:r w:rsidR="00187D2B">
        <w:rPr>
          <w:rFonts w:eastAsia="Times New Roman" w:cs="Arial"/>
        </w:rPr>
        <w:t>provided in</w:t>
      </w:r>
      <w:r w:rsidRPr="00187D2B">
        <w:rPr>
          <w:rFonts w:eastAsia="Times New Roman" w:cs="Arial"/>
        </w:rPr>
        <w:t xml:space="preserve"> </w:t>
      </w:r>
      <w:r w:rsidRPr="00187D2B">
        <w:rPr>
          <w:rFonts w:eastAsia="Times New Roman" w:cs="Arial"/>
        </w:rPr>
        <w:fldChar w:fldCharType="begin" w:fldLock="1"/>
      </w:r>
      <w:r w:rsidRPr="00187D2B">
        <w:rPr>
          <w:rFonts w:eastAsia="Times New Roman" w:cs="Arial"/>
        </w:rPr>
        <w:instrText>ADDIN CSL_CITATION {"citationItems":[{"id":"ITEM-1","itemData":{"DOI":"10.1126/science.1218835","ISSN":"1095-9203","PMID":"22821983","abstract":"Diseases of the esophageal epithelium (EE), such as reflux esophagitis and cancer, are rising in incidence. Despite this, the cellular behaviors underlying EE homeostasis and repair remain controversial. Here, we show that in mice, EE is maintained by a single population of cells that divide stochastically to generate proliferating and differentiating daughters with equal probability. In response to challenge with all-trans retinoic acid (atRA), the balance of daughter cell fate is unaltered, but the rate of cell division increases. However, after wounding, cells reversibly switch to producing an excess of proliferating daughters until the wound has closed. Such fate-switching enables a single progenitor population to both maintain and repair tissue without the need for a \"reserve\" slow-cycling stem cell pool.","author":[{"dropping-particle":"","family":"Doupé","given":"David P","non-dropping-particle":"","parse-names":false,"suffix":""},{"dropping-particle":"","family":"Alcolea","given":"Maria P","non-dropping-particle":"","parse-names":false,"suffix":""},{"dropping-particle":"","family":"Roshan","given":"Amit","non-dropping-particle":"","parse-names":false,"suffix":""},{"dropping-particle":"","family":"Zhang","given":"Gen","non-dropping-particle":"","parse-names":false,"suffix":""},{"dropping-particle":"","family":"Klein","given":"Allon M","non-dropping-particle":"","parse-names":false,"suffix":""},{"dropping-particle":"","family":"Simons","given":"Benjamin D","non-dropping-particle":"","parse-names":false,"suffix":""},{"dropping-particle":"","family":"Jones","given":"Philip H","non-dropping-particle":"","parse-names":false,"suffix":""}],"container-title":"Science (New York, N.Y.)","id":"ITEM-1","issue":"6098","issued":{"date-parts":[["2012"]]},"page":"1091-3","title":"A single progenitor population switches behavior to maintain and repair esophageal epithelium.","type":"article-journal","volume":"337"},"uris":["http://www.mendeley.com/documents/?uuid=6e25c93a-9b4c-4d65-a8e6-628548ab94b7"]}],"mendeley":{"formattedCitation":"(1)","plainTextFormattedCitation":"(1)","previouslyFormattedCitation":"(1)"},"properties":{"noteIndex":0},"schema":"https://github.com/citation-style-language/schema/raw/master/csl-citation.json"}</w:instrText>
      </w:r>
      <w:r w:rsidRPr="00187D2B">
        <w:rPr>
          <w:rFonts w:eastAsia="Times New Roman" w:cs="Arial"/>
        </w:rPr>
        <w:fldChar w:fldCharType="separate"/>
      </w:r>
      <w:r w:rsidRPr="00187D2B">
        <w:rPr>
          <w:rFonts w:eastAsia="Times New Roman" w:cs="Arial"/>
          <w:noProof/>
        </w:rPr>
        <w:t>(1)</w:t>
      </w:r>
      <w:r w:rsidRPr="00187D2B">
        <w:rPr>
          <w:rFonts w:eastAsia="Times New Roman" w:cs="Arial"/>
        </w:rPr>
        <w:fldChar w:fldCharType="end"/>
      </w:r>
      <w:r w:rsidR="00187D2B">
        <w:rPr>
          <w:rFonts w:eastAsia="Times New Roman" w:cs="Arial"/>
        </w:rPr>
        <w:t xml:space="preserve"> and are depicted in grey bars.</w:t>
      </w:r>
      <w:r w:rsidRPr="00187D2B">
        <w:rPr>
          <w:rFonts w:eastAsia="Times New Roman" w:cs="Arial"/>
        </w:rPr>
        <w:t xml:space="preserve"> </w:t>
      </w:r>
      <w:r w:rsidR="00187D2B">
        <w:rPr>
          <w:rFonts w:eastAsia="Times New Roman" w:cs="Arial"/>
        </w:rPr>
        <w:t>Orange line</w:t>
      </w:r>
      <w:r w:rsidR="00A26EFE">
        <w:rPr>
          <w:rFonts w:eastAsia="Times New Roman" w:cs="Arial"/>
        </w:rPr>
        <w:t>s</w:t>
      </w:r>
      <w:r w:rsidR="00187D2B">
        <w:rPr>
          <w:rFonts w:eastAsia="Times New Roman" w:cs="Arial"/>
        </w:rPr>
        <w:t xml:space="preserve"> show the modelled clone size distributions of the</w:t>
      </w:r>
      <w:r w:rsidR="00DA3209">
        <w:rPr>
          <w:rFonts w:eastAsia="Times New Roman" w:cs="Arial"/>
        </w:rPr>
        <w:t xml:space="preserve"> inferred</w:t>
      </w:r>
      <w:r w:rsidR="00187D2B">
        <w:rPr>
          <w:rFonts w:eastAsia="Times New Roman" w:cs="Arial"/>
        </w:rPr>
        <w:t xml:space="preserve"> most likely parameter combination as obtained by the three different analysis methods. </w:t>
      </w:r>
      <w:r w:rsidR="00A26EFE">
        <w:rPr>
          <w:rFonts w:eastAsia="Times New Roman" w:cs="Arial"/>
        </w:rPr>
        <w:t>All analyses were performed assuming an exponentially distributed cell cycle time.</w:t>
      </w:r>
    </w:p>
    <w:p w14:paraId="01EB71BB" w14:textId="112B888C" w:rsidR="007D0418" w:rsidRDefault="007D0418" w:rsidP="0028745C">
      <w:pPr>
        <w:rPr>
          <w:rFonts w:ascii="Arial" w:hAnsi="Arial" w:cs="Arial"/>
        </w:rPr>
      </w:pPr>
    </w:p>
    <w:p w14:paraId="4E222279" w14:textId="12127BB0" w:rsidR="007D0418" w:rsidRDefault="007D0418" w:rsidP="0028745C">
      <w:pPr>
        <w:rPr>
          <w:rFonts w:ascii="Arial" w:hAnsi="Arial" w:cs="Arial"/>
        </w:rPr>
      </w:pPr>
      <w:r>
        <w:rPr>
          <w:rFonts w:ascii="Arial" w:hAnsi="Arial" w:cs="Arial"/>
          <w:noProof/>
          <w:lang w:val="en-IN" w:eastAsia="en-IN"/>
        </w:rPr>
        <w:drawing>
          <wp:inline distT="0" distB="0" distL="0" distR="0" wp14:anchorId="58AD6ED6" wp14:editId="4589E990">
            <wp:extent cx="7286625" cy="2724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6625" cy="2724150"/>
                    </a:xfrm>
                    <a:prstGeom prst="rect">
                      <a:avLst/>
                    </a:prstGeom>
                    <a:noFill/>
                    <a:ln>
                      <a:noFill/>
                    </a:ln>
                  </pic:spPr>
                </pic:pic>
              </a:graphicData>
            </a:graphic>
          </wp:inline>
        </w:drawing>
      </w:r>
    </w:p>
    <w:p w14:paraId="47E59A68" w14:textId="46ACDBEC" w:rsidR="00E509BC" w:rsidRPr="00187D2B" w:rsidRDefault="00E509BC" w:rsidP="00E509BC">
      <w:pPr>
        <w:spacing w:line="240" w:lineRule="auto"/>
        <w:rPr>
          <w:rFonts w:eastAsia="Times New Roman" w:cs="Arial"/>
        </w:rPr>
      </w:pPr>
      <w:r w:rsidRPr="00187D2B">
        <w:rPr>
          <w:rFonts w:cs="Arial"/>
          <w:b/>
          <w:bCs/>
        </w:rPr>
        <w:t xml:space="preserve">Supplementary Figure </w:t>
      </w:r>
      <w:r w:rsidR="00576B44">
        <w:rPr>
          <w:rFonts w:cs="Arial"/>
          <w:b/>
          <w:bCs/>
        </w:rPr>
        <w:t>2</w:t>
      </w:r>
      <w:r w:rsidRPr="00187D2B">
        <w:rPr>
          <w:rFonts w:cs="Arial"/>
          <w:b/>
          <w:bCs/>
        </w:rPr>
        <w:t>:</w:t>
      </w:r>
      <w:r w:rsidRPr="00187D2B">
        <w:rPr>
          <w:rFonts w:cs="Arial"/>
        </w:rPr>
        <w:t xml:space="preserve"> </w:t>
      </w:r>
      <w:r w:rsidRPr="00187D2B">
        <w:rPr>
          <w:rFonts w:cs="Arial"/>
          <w:b/>
          <w:bCs/>
        </w:rPr>
        <w:t xml:space="preserve">Observed </w:t>
      </w:r>
      <w:r w:rsidR="00DA3209">
        <w:rPr>
          <w:rFonts w:cs="Arial"/>
          <w:b/>
          <w:bCs/>
        </w:rPr>
        <w:t xml:space="preserve">(synthetic data) </w:t>
      </w:r>
      <w:r w:rsidRPr="00187D2B">
        <w:rPr>
          <w:rFonts w:cs="Arial"/>
          <w:b/>
          <w:bCs/>
        </w:rPr>
        <w:t>vs simulated basal clone size probability distributions</w:t>
      </w:r>
      <w:r>
        <w:rPr>
          <w:rFonts w:cs="Arial"/>
          <w:b/>
          <w:bCs/>
        </w:rPr>
        <w:t xml:space="preserve"> across all timepoints.</w:t>
      </w:r>
      <w:r w:rsidRPr="00187D2B">
        <w:rPr>
          <w:rFonts w:cs="Arial"/>
        </w:rPr>
        <w:t xml:space="preserve"> </w:t>
      </w:r>
      <w:r w:rsidR="00DA3209">
        <w:rPr>
          <w:rFonts w:cs="Arial"/>
        </w:rPr>
        <w:t>An overall agreement between the o</w:t>
      </w:r>
      <w:r>
        <w:rPr>
          <w:rFonts w:cs="Arial"/>
        </w:rPr>
        <w:t xml:space="preserve">bserved and simulated basal clone size distributions </w:t>
      </w:r>
      <w:r w:rsidR="00DA3209">
        <w:rPr>
          <w:rFonts w:cs="Arial"/>
        </w:rPr>
        <w:t>was observed when synthetic data with no biological variation was analysed</w:t>
      </w:r>
      <w:r>
        <w:rPr>
          <w:rFonts w:cs="Arial"/>
        </w:rPr>
        <w:t xml:space="preserve">. Observed clone size distributions </w:t>
      </w:r>
      <w:r w:rsidR="00DA3209">
        <w:rPr>
          <w:rFonts w:eastAsia="Times New Roman" w:cs="Arial"/>
        </w:rPr>
        <w:t xml:space="preserve">correspond to </w:t>
      </w:r>
      <w:r w:rsidR="00576B44">
        <w:rPr>
          <w:rFonts w:eastAsia="Times New Roman" w:cs="Arial"/>
        </w:rPr>
        <w:t>a</w:t>
      </w:r>
      <w:r w:rsidR="00DA3209">
        <w:rPr>
          <w:rFonts w:eastAsia="Times New Roman" w:cs="Arial"/>
        </w:rPr>
        <w:t xml:space="preserve"> synthetic data</w:t>
      </w:r>
      <w:r w:rsidR="00576B44">
        <w:rPr>
          <w:rFonts w:eastAsia="Times New Roman" w:cs="Arial"/>
        </w:rPr>
        <w:t>set</w:t>
      </w:r>
      <w:r w:rsidR="00DA3209">
        <w:rPr>
          <w:rFonts w:eastAsia="Times New Roman" w:cs="Arial"/>
        </w:rPr>
        <w:t xml:space="preserve"> generated based on known </w:t>
      </w:r>
      <m:oMath>
        <m:r>
          <w:rPr>
            <w:rFonts w:ascii="Cambria Math" w:eastAsia="Times New Roman" w:hAnsi="Cambria Math" w:cs="Arial"/>
          </w:rPr>
          <m:t xml:space="preserve">r, </m:t>
        </m:r>
        <m:r>
          <w:rPr>
            <w:rFonts w:ascii="Cambria Math" w:eastAsia="Times New Roman" w:hAnsi="Cambria Math" w:cs="Arial"/>
            <w:lang w:val="el-GR"/>
          </w:rPr>
          <m:t>ρ</m:t>
        </m:r>
      </m:oMath>
      <w:r w:rsidR="00DA3209" w:rsidRPr="00DA3209">
        <w:rPr>
          <w:rFonts w:eastAsia="Times New Roman" w:cs="Arial"/>
        </w:rPr>
        <w:t xml:space="preserve"> </w:t>
      </w:r>
      <w:r w:rsidR="00DA3209">
        <w:rPr>
          <w:rFonts w:eastAsia="Times New Roman" w:cs="Arial"/>
        </w:rPr>
        <w:t xml:space="preserve">parameter values </w:t>
      </w:r>
      <m:oMath>
        <m:r>
          <w:rPr>
            <w:rFonts w:ascii="Cambria Math" w:eastAsia="Times New Roman" w:hAnsi="Cambria Math" w:cs="Arial"/>
          </w:rPr>
          <m:t xml:space="preserve">(r=0.06, </m:t>
        </m:r>
        <m:r>
          <w:rPr>
            <w:rFonts w:ascii="Cambria Math" w:eastAsia="Times New Roman" w:hAnsi="Cambria Math" w:cs="Arial"/>
            <w:lang w:val="el-GR"/>
          </w:rPr>
          <m:t>ρ</m:t>
        </m:r>
        <m:r>
          <w:rPr>
            <w:rFonts w:ascii="Cambria Math" w:eastAsia="Times New Roman" w:hAnsi="Cambria Math" w:cs="Arial"/>
          </w:rPr>
          <m:t>=0.5)</m:t>
        </m:r>
      </m:oMath>
      <w:r w:rsidR="00DA3209" w:rsidRPr="00DA3209">
        <w:rPr>
          <w:rFonts w:eastAsia="Times New Roman" w:cs="Arial"/>
        </w:rPr>
        <w:t xml:space="preserve"> </w:t>
      </w:r>
      <w:r w:rsidR="00DA3209">
        <w:rPr>
          <w:rFonts w:eastAsia="Times New Roman" w:cs="Arial"/>
        </w:rPr>
        <w:t xml:space="preserve">and </w:t>
      </w:r>
      <w:r>
        <w:rPr>
          <w:rFonts w:eastAsia="Times New Roman" w:cs="Arial"/>
        </w:rPr>
        <w:t>are depicted in grey bars.</w:t>
      </w:r>
      <w:r w:rsidRPr="00187D2B">
        <w:rPr>
          <w:rFonts w:eastAsia="Times New Roman" w:cs="Arial"/>
        </w:rPr>
        <w:t xml:space="preserve"> </w:t>
      </w:r>
      <w:r>
        <w:rPr>
          <w:rFonts w:eastAsia="Times New Roman" w:cs="Arial"/>
        </w:rPr>
        <w:t xml:space="preserve">Orange lines show the modelled clone size distributions of the </w:t>
      </w:r>
      <w:r w:rsidR="00DA3209">
        <w:rPr>
          <w:rFonts w:eastAsia="Times New Roman" w:cs="Arial"/>
        </w:rPr>
        <w:t xml:space="preserve">inferred </w:t>
      </w:r>
      <w:r>
        <w:rPr>
          <w:rFonts w:eastAsia="Times New Roman" w:cs="Arial"/>
        </w:rPr>
        <w:t>most likely parameter combination as obtained by the three different analysis methods. All analyses were performed assuming an exponentially distributed cell cycle time.</w:t>
      </w:r>
    </w:p>
    <w:p w14:paraId="126BCA9B" w14:textId="3C2AFBD8" w:rsidR="007D0418" w:rsidRDefault="007D0418" w:rsidP="0028745C">
      <w:pPr>
        <w:rPr>
          <w:rFonts w:ascii="Arial" w:hAnsi="Arial" w:cs="Arial"/>
        </w:rPr>
      </w:pPr>
    </w:p>
    <w:p w14:paraId="580C66DB" w14:textId="6464D078" w:rsidR="007D0418" w:rsidRDefault="004456ED" w:rsidP="0028745C">
      <w:pPr>
        <w:rPr>
          <w:rFonts w:ascii="Arial" w:hAnsi="Arial" w:cs="Arial"/>
        </w:rPr>
      </w:pPr>
      <w:r>
        <w:rPr>
          <w:rFonts w:ascii="Arial" w:hAnsi="Arial" w:cs="Arial"/>
          <w:noProof/>
          <w:lang w:val="en-IN" w:eastAsia="en-IN"/>
        </w:rPr>
        <w:lastRenderedPageBreak/>
        <w:pict w14:anchorId="6D339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25pt;height:218.3pt">
            <v:imagedata r:id="rId8" o:title="sf3"/>
          </v:shape>
        </w:pict>
      </w:r>
    </w:p>
    <w:p w14:paraId="1F1C984D" w14:textId="624955E9" w:rsidR="00576B44" w:rsidRPr="00187D2B" w:rsidRDefault="00576B44" w:rsidP="00576B44">
      <w:pPr>
        <w:spacing w:line="240" w:lineRule="auto"/>
        <w:rPr>
          <w:rFonts w:eastAsia="Times New Roman" w:cs="Arial"/>
        </w:rPr>
      </w:pPr>
      <w:r w:rsidRPr="00187D2B">
        <w:rPr>
          <w:rFonts w:cs="Arial"/>
          <w:b/>
          <w:bCs/>
        </w:rPr>
        <w:t xml:space="preserve">Supplementary Figure </w:t>
      </w:r>
      <w:r>
        <w:rPr>
          <w:rFonts w:cs="Arial"/>
          <w:b/>
          <w:bCs/>
        </w:rPr>
        <w:t>3</w:t>
      </w:r>
      <w:r w:rsidRPr="00187D2B">
        <w:rPr>
          <w:rFonts w:cs="Arial"/>
          <w:b/>
          <w:bCs/>
        </w:rPr>
        <w:t>:</w:t>
      </w:r>
      <w:r w:rsidRPr="00187D2B">
        <w:rPr>
          <w:rFonts w:cs="Arial"/>
        </w:rPr>
        <w:t xml:space="preserve"> </w:t>
      </w:r>
      <w:r w:rsidRPr="00187D2B">
        <w:rPr>
          <w:rFonts w:cs="Arial"/>
          <w:b/>
          <w:bCs/>
        </w:rPr>
        <w:t xml:space="preserve">Observed </w:t>
      </w:r>
      <w:r>
        <w:rPr>
          <w:rFonts w:cs="Arial"/>
          <w:b/>
          <w:bCs/>
        </w:rPr>
        <w:t xml:space="preserve">(synthetic data with biological variation) </w:t>
      </w:r>
      <w:r w:rsidRPr="00187D2B">
        <w:rPr>
          <w:rFonts w:cs="Arial"/>
          <w:b/>
          <w:bCs/>
        </w:rPr>
        <w:t>vs simulated basal clone size probability distributions</w:t>
      </w:r>
      <w:r>
        <w:rPr>
          <w:rFonts w:cs="Arial"/>
          <w:b/>
          <w:bCs/>
        </w:rPr>
        <w:t xml:space="preserve"> across all timepoints.</w:t>
      </w:r>
      <w:r w:rsidRPr="00187D2B">
        <w:rPr>
          <w:rFonts w:cs="Arial"/>
        </w:rPr>
        <w:t xml:space="preserve"> </w:t>
      </w:r>
      <w:r>
        <w:rPr>
          <w:rFonts w:cs="Arial"/>
        </w:rPr>
        <w:t xml:space="preserve">When more realistic </w:t>
      </w:r>
      <w:r w:rsidR="00744E93">
        <w:rPr>
          <w:rFonts w:cs="Arial"/>
        </w:rPr>
        <w:t xml:space="preserve">datasets are considered, the analytical approach produces more dissimilar clone size distributions at the early time points. </w:t>
      </w:r>
      <w:r>
        <w:rPr>
          <w:rFonts w:cs="Arial"/>
        </w:rPr>
        <w:t xml:space="preserve">Observed clone size distributions </w:t>
      </w:r>
      <w:r w:rsidR="00744E93">
        <w:rPr>
          <w:rFonts w:cs="Arial"/>
        </w:rPr>
        <w:t xml:space="preserve">(grey bars) </w:t>
      </w:r>
      <w:r>
        <w:rPr>
          <w:rFonts w:eastAsia="Times New Roman" w:cs="Arial"/>
        </w:rPr>
        <w:t xml:space="preserve">correspond to the synthetic data generated </w:t>
      </w:r>
      <w:r w:rsidR="00744E93" w:rsidRPr="00744E93">
        <w:rPr>
          <w:rFonts w:eastAsia="Times New Roman" w:cs="Arial"/>
        </w:rPr>
        <w:t xml:space="preserve">using a mean </w:t>
      </w:r>
      <m:oMath>
        <m:r>
          <w:rPr>
            <w:rFonts w:ascii="Cambria Math" w:eastAsia="Times New Roman" w:hAnsi="Cambria Math" w:cs="Arial"/>
          </w:rPr>
          <m:t>r: 0.09 ± 0.01 SD, ρ: 0.7 ± 0.05 SD, λ: 2.9 ± 0.1 SD</m:t>
        </m:r>
      </m:oMath>
      <w:r w:rsidR="00744E93" w:rsidRPr="00744E93">
        <w:rPr>
          <w:rFonts w:eastAsia="Times New Roman" w:cs="Arial"/>
        </w:rPr>
        <w:t xml:space="preserve"> and assuming Gamma distributed cell cycle times.</w:t>
      </w:r>
      <w:r w:rsidRPr="00187D2B">
        <w:rPr>
          <w:rFonts w:eastAsia="Times New Roman" w:cs="Arial"/>
        </w:rPr>
        <w:t xml:space="preserve"> </w:t>
      </w:r>
      <w:r>
        <w:rPr>
          <w:rFonts w:eastAsia="Times New Roman" w:cs="Arial"/>
        </w:rPr>
        <w:t xml:space="preserve">Orange lines show the modelled clone size distributions of the inferred most likely parameter combination as obtained by the three different analysis methods. </w:t>
      </w:r>
      <w:r w:rsidR="00744E93">
        <w:rPr>
          <w:rFonts w:eastAsia="Times New Roman" w:cs="Arial"/>
        </w:rPr>
        <w:t>Simulation based MLE and the SMC-ABC</w:t>
      </w:r>
      <w:r>
        <w:rPr>
          <w:rFonts w:eastAsia="Times New Roman" w:cs="Arial"/>
        </w:rPr>
        <w:t xml:space="preserve"> </w:t>
      </w:r>
      <w:r w:rsidR="00744E93">
        <w:rPr>
          <w:rFonts w:eastAsia="Times New Roman" w:cs="Arial"/>
        </w:rPr>
        <w:t xml:space="preserve">analyses </w:t>
      </w:r>
      <w:r>
        <w:rPr>
          <w:rFonts w:eastAsia="Times New Roman" w:cs="Arial"/>
        </w:rPr>
        <w:t xml:space="preserve">were performed assuming a </w:t>
      </w:r>
      <w:r w:rsidR="00744E93">
        <w:rPr>
          <w:rFonts w:eastAsia="Times New Roman" w:cs="Arial"/>
        </w:rPr>
        <w:t>Gamma</w:t>
      </w:r>
      <w:r>
        <w:rPr>
          <w:rFonts w:eastAsia="Times New Roman" w:cs="Arial"/>
        </w:rPr>
        <w:t xml:space="preserve"> distributed cell cycle time.</w:t>
      </w:r>
    </w:p>
    <w:p w14:paraId="08FD366A" w14:textId="751D3AA6" w:rsidR="005D5D49" w:rsidRDefault="005D5D49" w:rsidP="0028745C">
      <w:pPr>
        <w:rPr>
          <w:rFonts w:ascii="Arial" w:hAnsi="Arial" w:cs="Arial"/>
        </w:rPr>
      </w:pPr>
      <w:bookmarkStart w:id="0" w:name="_GoBack"/>
      <w:bookmarkEnd w:id="0"/>
    </w:p>
    <w:p w14:paraId="7D5FF0B5" w14:textId="64A23A13" w:rsidR="005D5D49" w:rsidRDefault="005D5D49" w:rsidP="0028745C">
      <w:pPr>
        <w:rPr>
          <w:rFonts w:ascii="Arial" w:hAnsi="Arial" w:cs="Arial"/>
        </w:rPr>
      </w:pPr>
    </w:p>
    <w:p w14:paraId="3E9AE184" w14:textId="23B236CD" w:rsidR="005D5D49" w:rsidRPr="005D5D49" w:rsidRDefault="005D5D49" w:rsidP="0028745C">
      <w:pPr>
        <w:rPr>
          <w:rFonts w:cs="Arial"/>
          <w:b/>
          <w:bCs/>
          <w:sz w:val="28"/>
          <w:szCs w:val="28"/>
        </w:rPr>
      </w:pPr>
      <w:r w:rsidRPr="005D5D49">
        <w:rPr>
          <w:rFonts w:cs="Arial"/>
          <w:b/>
          <w:bCs/>
          <w:sz w:val="28"/>
          <w:szCs w:val="28"/>
        </w:rPr>
        <w:t>References</w:t>
      </w:r>
    </w:p>
    <w:p w14:paraId="4B04BF6E" w14:textId="19A4BDC0" w:rsidR="005D5D49" w:rsidRPr="005D5D49" w:rsidRDefault="005D5D49" w:rsidP="005D5D49">
      <w:pPr>
        <w:widowControl w:val="0"/>
        <w:autoSpaceDE w:val="0"/>
        <w:autoSpaceDN w:val="0"/>
        <w:adjustRightInd w:val="0"/>
        <w:spacing w:line="240" w:lineRule="auto"/>
        <w:ind w:left="640" w:hanging="640"/>
        <w:rPr>
          <w:rFonts w:cs="Arial"/>
          <w:noProof/>
          <w:sz w:val="24"/>
          <w:szCs w:val="24"/>
        </w:rPr>
      </w:pPr>
      <w:r w:rsidRPr="005D5D49">
        <w:rPr>
          <w:rFonts w:cs="Arial"/>
          <w:sz w:val="24"/>
          <w:szCs w:val="24"/>
        </w:rPr>
        <w:fldChar w:fldCharType="begin" w:fldLock="1"/>
      </w:r>
      <w:r w:rsidRPr="005D5D49">
        <w:rPr>
          <w:rFonts w:cs="Arial"/>
          <w:sz w:val="24"/>
          <w:szCs w:val="24"/>
        </w:rPr>
        <w:instrText xml:space="preserve">ADDIN Mendeley Bibliography CSL_BIBLIOGRAPHY </w:instrText>
      </w:r>
      <w:r w:rsidRPr="005D5D49">
        <w:rPr>
          <w:rFonts w:cs="Arial"/>
          <w:sz w:val="24"/>
          <w:szCs w:val="24"/>
        </w:rPr>
        <w:fldChar w:fldCharType="separate"/>
      </w:r>
      <w:r w:rsidRPr="005D5D49">
        <w:rPr>
          <w:rFonts w:cs="Arial"/>
          <w:noProof/>
          <w:sz w:val="24"/>
          <w:szCs w:val="24"/>
        </w:rPr>
        <w:t xml:space="preserve">1. </w:t>
      </w:r>
      <w:r w:rsidRPr="005D5D49">
        <w:rPr>
          <w:rFonts w:cs="Arial"/>
          <w:noProof/>
          <w:sz w:val="24"/>
          <w:szCs w:val="24"/>
        </w:rPr>
        <w:tab/>
        <w:t>Doupé DP, Alcolea MP, Roshan A, Zhang G, Klein AM, Simons BD, et al. A single progenitor population switches behavior to maintain and repair esophageal epithelium. Science. 2012;337(6098):1091–3. Available from: http://www.ncbi.nlm.nih.gov/pubmed/22821983</w:t>
      </w:r>
    </w:p>
    <w:p w14:paraId="06ED0C6D" w14:textId="6452E08D" w:rsidR="005D5D49" w:rsidRPr="0028745C" w:rsidRDefault="005D5D49" w:rsidP="0028745C">
      <w:pPr>
        <w:rPr>
          <w:rFonts w:ascii="Arial" w:hAnsi="Arial" w:cs="Arial"/>
        </w:rPr>
      </w:pPr>
      <w:r w:rsidRPr="005D5D49">
        <w:rPr>
          <w:rFonts w:cs="Arial"/>
          <w:sz w:val="24"/>
          <w:szCs w:val="24"/>
        </w:rPr>
        <w:fldChar w:fldCharType="end"/>
      </w:r>
    </w:p>
    <w:sectPr w:rsidR="005D5D49" w:rsidRPr="0028745C" w:rsidSect="006B0493">
      <w:pgSz w:w="11906" w:h="16838"/>
      <w:pgMar w:top="1440" w:right="140" w:bottom="144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NimbusRomNo9L-Regu">
    <w:altName w:val="Cambria"/>
    <w:charset w:val="01"/>
    <w:family w:val="roman"/>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963EBD"/>
    <w:multiLevelType w:val="hybridMultilevel"/>
    <w:tmpl w:val="6A6E85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A3E"/>
    <w:rsid w:val="00017C2F"/>
    <w:rsid w:val="000320C9"/>
    <w:rsid w:val="00040558"/>
    <w:rsid w:val="00044CA6"/>
    <w:rsid w:val="00060A36"/>
    <w:rsid w:val="00064F4E"/>
    <w:rsid w:val="0007083B"/>
    <w:rsid w:val="000743FF"/>
    <w:rsid w:val="00075A7C"/>
    <w:rsid w:val="000802BA"/>
    <w:rsid w:val="00082D9E"/>
    <w:rsid w:val="00091885"/>
    <w:rsid w:val="00091FA0"/>
    <w:rsid w:val="000A00B9"/>
    <w:rsid w:val="000A0F59"/>
    <w:rsid w:val="000C119D"/>
    <w:rsid w:val="000C2E5B"/>
    <w:rsid w:val="000D5C0B"/>
    <w:rsid w:val="000F4E44"/>
    <w:rsid w:val="001005AB"/>
    <w:rsid w:val="0011729A"/>
    <w:rsid w:val="00133EB7"/>
    <w:rsid w:val="00144DD4"/>
    <w:rsid w:val="001556BC"/>
    <w:rsid w:val="00165C6A"/>
    <w:rsid w:val="00166CF0"/>
    <w:rsid w:val="00166DB8"/>
    <w:rsid w:val="001676A8"/>
    <w:rsid w:val="00173677"/>
    <w:rsid w:val="0017630C"/>
    <w:rsid w:val="00183ADE"/>
    <w:rsid w:val="00185FE7"/>
    <w:rsid w:val="00187D2B"/>
    <w:rsid w:val="00192EB7"/>
    <w:rsid w:val="00192F61"/>
    <w:rsid w:val="001B1243"/>
    <w:rsid w:val="001B2D63"/>
    <w:rsid w:val="001B62B6"/>
    <w:rsid w:val="001C5727"/>
    <w:rsid w:val="001D303E"/>
    <w:rsid w:val="001E5A32"/>
    <w:rsid w:val="001F07BB"/>
    <w:rsid w:val="00224BF3"/>
    <w:rsid w:val="0023374A"/>
    <w:rsid w:val="002777E5"/>
    <w:rsid w:val="00280253"/>
    <w:rsid w:val="00282D87"/>
    <w:rsid w:val="0028745C"/>
    <w:rsid w:val="00296559"/>
    <w:rsid w:val="002A06DF"/>
    <w:rsid w:val="002A2A58"/>
    <w:rsid w:val="002A55DA"/>
    <w:rsid w:val="002A6603"/>
    <w:rsid w:val="002A6E09"/>
    <w:rsid w:val="002C396B"/>
    <w:rsid w:val="002C6924"/>
    <w:rsid w:val="002D08B7"/>
    <w:rsid w:val="002D2BCC"/>
    <w:rsid w:val="002D4AB6"/>
    <w:rsid w:val="002F17F7"/>
    <w:rsid w:val="002F3481"/>
    <w:rsid w:val="00301179"/>
    <w:rsid w:val="003060AE"/>
    <w:rsid w:val="00321EA9"/>
    <w:rsid w:val="003359FD"/>
    <w:rsid w:val="00342DC4"/>
    <w:rsid w:val="00344B3E"/>
    <w:rsid w:val="00346668"/>
    <w:rsid w:val="00347975"/>
    <w:rsid w:val="00347E30"/>
    <w:rsid w:val="003627D2"/>
    <w:rsid w:val="003662FA"/>
    <w:rsid w:val="0037043B"/>
    <w:rsid w:val="0038348F"/>
    <w:rsid w:val="00385AFD"/>
    <w:rsid w:val="0038677A"/>
    <w:rsid w:val="0039024E"/>
    <w:rsid w:val="003946BF"/>
    <w:rsid w:val="00395E33"/>
    <w:rsid w:val="003A3F84"/>
    <w:rsid w:val="003A4F92"/>
    <w:rsid w:val="003C1F5C"/>
    <w:rsid w:val="00401C60"/>
    <w:rsid w:val="0040569E"/>
    <w:rsid w:val="0040773D"/>
    <w:rsid w:val="00422874"/>
    <w:rsid w:val="0042780B"/>
    <w:rsid w:val="00431142"/>
    <w:rsid w:val="00431C11"/>
    <w:rsid w:val="00434A2A"/>
    <w:rsid w:val="00435200"/>
    <w:rsid w:val="004424F0"/>
    <w:rsid w:val="004456ED"/>
    <w:rsid w:val="00447BA4"/>
    <w:rsid w:val="0045519E"/>
    <w:rsid w:val="004643E8"/>
    <w:rsid w:val="0047461B"/>
    <w:rsid w:val="00480857"/>
    <w:rsid w:val="0048111E"/>
    <w:rsid w:val="004904D9"/>
    <w:rsid w:val="00495B03"/>
    <w:rsid w:val="004B1C11"/>
    <w:rsid w:val="004B5467"/>
    <w:rsid w:val="004C2482"/>
    <w:rsid w:val="004C3D52"/>
    <w:rsid w:val="004D15D2"/>
    <w:rsid w:val="004F62DF"/>
    <w:rsid w:val="00501E65"/>
    <w:rsid w:val="0050471F"/>
    <w:rsid w:val="005621D0"/>
    <w:rsid w:val="00562CD8"/>
    <w:rsid w:val="00564001"/>
    <w:rsid w:val="0056680D"/>
    <w:rsid w:val="00576B44"/>
    <w:rsid w:val="0058200E"/>
    <w:rsid w:val="00583918"/>
    <w:rsid w:val="0058594C"/>
    <w:rsid w:val="00592B80"/>
    <w:rsid w:val="005976F0"/>
    <w:rsid w:val="005C41AD"/>
    <w:rsid w:val="005D0A3E"/>
    <w:rsid w:val="005D5D49"/>
    <w:rsid w:val="005D5E73"/>
    <w:rsid w:val="005E4FFA"/>
    <w:rsid w:val="005E52B1"/>
    <w:rsid w:val="005F3485"/>
    <w:rsid w:val="00611726"/>
    <w:rsid w:val="006149DD"/>
    <w:rsid w:val="00615964"/>
    <w:rsid w:val="006424EC"/>
    <w:rsid w:val="006438C2"/>
    <w:rsid w:val="0066146A"/>
    <w:rsid w:val="00665CBB"/>
    <w:rsid w:val="0069087F"/>
    <w:rsid w:val="00694A91"/>
    <w:rsid w:val="006A57D0"/>
    <w:rsid w:val="006B0493"/>
    <w:rsid w:val="006C18A7"/>
    <w:rsid w:val="006D06E6"/>
    <w:rsid w:val="006D087A"/>
    <w:rsid w:val="006E0C19"/>
    <w:rsid w:val="006F032F"/>
    <w:rsid w:val="006F4777"/>
    <w:rsid w:val="00704073"/>
    <w:rsid w:val="00704432"/>
    <w:rsid w:val="007077F3"/>
    <w:rsid w:val="0071007E"/>
    <w:rsid w:val="00722ED6"/>
    <w:rsid w:val="00740D24"/>
    <w:rsid w:val="00744E93"/>
    <w:rsid w:val="0076547D"/>
    <w:rsid w:val="007674BC"/>
    <w:rsid w:val="00772481"/>
    <w:rsid w:val="00782854"/>
    <w:rsid w:val="00782D75"/>
    <w:rsid w:val="00786E12"/>
    <w:rsid w:val="007A5A7D"/>
    <w:rsid w:val="007A7BF3"/>
    <w:rsid w:val="007C176A"/>
    <w:rsid w:val="007C44B4"/>
    <w:rsid w:val="007D0418"/>
    <w:rsid w:val="007F1D72"/>
    <w:rsid w:val="007F571A"/>
    <w:rsid w:val="00804F63"/>
    <w:rsid w:val="008059F6"/>
    <w:rsid w:val="00832FD1"/>
    <w:rsid w:val="0083412C"/>
    <w:rsid w:val="008525D0"/>
    <w:rsid w:val="0085682E"/>
    <w:rsid w:val="00860B6B"/>
    <w:rsid w:val="00875F2F"/>
    <w:rsid w:val="00876A60"/>
    <w:rsid w:val="00896E2C"/>
    <w:rsid w:val="008A1EFB"/>
    <w:rsid w:val="008A5FCF"/>
    <w:rsid w:val="008B1865"/>
    <w:rsid w:val="008C7E74"/>
    <w:rsid w:val="008E25BB"/>
    <w:rsid w:val="009070B8"/>
    <w:rsid w:val="009113D4"/>
    <w:rsid w:val="00922874"/>
    <w:rsid w:val="0092414A"/>
    <w:rsid w:val="00950E4E"/>
    <w:rsid w:val="00970759"/>
    <w:rsid w:val="00971ACA"/>
    <w:rsid w:val="00975F65"/>
    <w:rsid w:val="00990D1B"/>
    <w:rsid w:val="00993737"/>
    <w:rsid w:val="00997DBE"/>
    <w:rsid w:val="009A098D"/>
    <w:rsid w:val="009A292C"/>
    <w:rsid w:val="009B0F42"/>
    <w:rsid w:val="009B3D56"/>
    <w:rsid w:val="009B441D"/>
    <w:rsid w:val="009C257F"/>
    <w:rsid w:val="009C57B7"/>
    <w:rsid w:val="009D4A82"/>
    <w:rsid w:val="009F233B"/>
    <w:rsid w:val="00A139E9"/>
    <w:rsid w:val="00A26EFE"/>
    <w:rsid w:val="00A44E91"/>
    <w:rsid w:val="00A4513B"/>
    <w:rsid w:val="00A6718F"/>
    <w:rsid w:val="00A74951"/>
    <w:rsid w:val="00A8088A"/>
    <w:rsid w:val="00A86E2F"/>
    <w:rsid w:val="00A876AF"/>
    <w:rsid w:val="00AA0286"/>
    <w:rsid w:val="00AB2C4E"/>
    <w:rsid w:val="00AC6F88"/>
    <w:rsid w:val="00AC78D7"/>
    <w:rsid w:val="00AE6C6C"/>
    <w:rsid w:val="00AF06DD"/>
    <w:rsid w:val="00AF373A"/>
    <w:rsid w:val="00AF7D25"/>
    <w:rsid w:val="00B05752"/>
    <w:rsid w:val="00B16D7A"/>
    <w:rsid w:val="00B2734F"/>
    <w:rsid w:val="00B30288"/>
    <w:rsid w:val="00B30EEE"/>
    <w:rsid w:val="00B4659C"/>
    <w:rsid w:val="00B5448B"/>
    <w:rsid w:val="00B54F23"/>
    <w:rsid w:val="00B773E1"/>
    <w:rsid w:val="00B77720"/>
    <w:rsid w:val="00B83237"/>
    <w:rsid w:val="00B8663D"/>
    <w:rsid w:val="00B90DF5"/>
    <w:rsid w:val="00BA4FF4"/>
    <w:rsid w:val="00BB2A35"/>
    <w:rsid w:val="00BB413F"/>
    <w:rsid w:val="00BB559A"/>
    <w:rsid w:val="00BC0CFE"/>
    <w:rsid w:val="00BF1BE5"/>
    <w:rsid w:val="00C04299"/>
    <w:rsid w:val="00C20907"/>
    <w:rsid w:val="00C4578A"/>
    <w:rsid w:val="00C4757F"/>
    <w:rsid w:val="00C51B89"/>
    <w:rsid w:val="00C55DAE"/>
    <w:rsid w:val="00C56F52"/>
    <w:rsid w:val="00C57799"/>
    <w:rsid w:val="00C66D0B"/>
    <w:rsid w:val="00C73818"/>
    <w:rsid w:val="00C82B62"/>
    <w:rsid w:val="00C865E1"/>
    <w:rsid w:val="00C96C60"/>
    <w:rsid w:val="00CB12C8"/>
    <w:rsid w:val="00CB5570"/>
    <w:rsid w:val="00CC448E"/>
    <w:rsid w:val="00CC5D60"/>
    <w:rsid w:val="00CD186C"/>
    <w:rsid w:val="00CE229B"/>
    <w:rsid w:val="00CE755B"/>
    <w:rsid w:val="00CE7E47"/>
    <w:rsid w:val="00CF0E58"/>
    <w:rsid w:val="00CF1CCF"/>
    <w:rsid w:val="00CF7D41"/>
    <w:rsid w:val="00D13052"/>
    <w:rsid w:val="00D24CEC"/>
    <w:rsid w:val="00D31FA0"/>
    <w:rsid w:val="00D47F1F"/>
    <w:rsid w:val="00D573AD"/>
    <w:rsid w:val="00D60202"/>
    <w:rsid w:val="00D70CE2"/>
    <w:rsid w:val="00D83EE1"/>
    <w:rsid w:val="00D91A11"/>
    <w:rsid w:val="00D9275F"/>
    <w:rsid w:val="00DA1465"/>
    <w:rsid w:val="00DA3209"/>
    <w:rsid w:val="00DA3247"/>
    <w:rsid w:val="00DA387D"/>
    <w:rsid w:val="00DA586A"/>
    <w:rsid w:val="00DA7DCF"/>
    <w:rsid w:val="00DB1CF9"/>
    <w:rsid w:val="00DC0213"/>
    <w:rsid w:val="00DF6310"/>
    <w:rsid w:val="00DF7675"/>
    <w:rsid w:val="00E03DB8"/>
    <w:rsid w:val="00E06888"/>
    <w:rsid w:val="00E22675"/>
    <w:rsid w:val="00E32F7B"/>
    <w:rsid w:val="00E3375C"/>
    <w:rsid w:val="00E509BC"/>
    <w:rsid w:val="00E61144"/>
    <w:rsid w:val="00E67DA7"/>
    <w:rsid w:val="00E7513F"/>
    <w:rsid w:val="00E751A9"/>
    <w:rsid w:val="00E83910"/>
    <w:rsid w:val="00E85D86"/>
    <w:rsid w:val="00E867A1"/>
    <w:rsid w:val="00EA3268"/>
    <w:rsid w:val="00EB10B0"/>
    <w:rsid w:val="00EB69E0"/>
    <w:rsid w:val="00EC2B6C"/>
    <w:rsid w:val="00EC4D70"/>
    <w:rsid w:val="00ED2D7D"/>
    <w:rsid w:val="00EE2DEC"/>
    <w:rsid w:val="00EE4DA4"/>
    <w:rsid w:val="00EF558F"/>
    <w:rsid w:val="00F01842"/>
    <w:rsid w:val="00F067B5"/>
    <w:rsid w:val="00F16D81"/>
    <w:rsid w:val="00F2080B"/>
    <w:rsid w:val="00F227D8"/>
    <w:rsid w:val="00F3370C"/>
    <w:rsid w:val="00F3567C"/>
    <w:rsid w:val="00F43AFB"/>
    <w:rsid w:val="00F44D0E"/>
    <w:rsid w:val="00F476CA"/>
    <w:rsid w:val="00F617E2"/>
    <w:rsid w:val="00F65B1A"/>
    <w:rsid w:val="00F76155"/>
    <w:rsid w:val="00F778F5"/>
    <w:rsid w:val="00F77B9F"/>
    <w:rsid w:val="00F81958"/>
    <w:rsid w:val="00F87611"/>
    <w:rsid w:val="00F910B6"/>
    <w:rsid w:val="00FA0592"/>
    <w:rsid w:val="00FA1378"/>
    <w:rsid w:val="00FD46BC"/>
    <w:rsid w:val="00FD4BCE"/>
    <w:rsid w:val="00FD4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764EC"/>
  <w15:chartTrackingRefBased/>
  <w15:docId w15:val="{1735B6EF-9785-47BC-BBFE-8BCD8CCB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B1CF9"/>
    <w:pPr>
      <w:spacing w:before="92" w:after="0" w:line="420" w:lineRule="exact"/>
      <w:jc w:val="both"/>
    </w:pPr>
    <w:rPr>
      <w:rFonts w:ascii="Helvetica" w:eastAsia="Times New Roman" w:hAnsi="Helvetica" w:cs="Times New Roman"/>
      <w:b/>
      <w:sz w:val="36"/>
      <w:szCs w:val="36"/>
      <w:lang w:val="en-US"/>
    </w:rPr>
  </w:style>
  <w:style w:type="character" w:customStyle="1" w:styleId="TitleChar">
    <w:name w:val="Title Char"/>
    <w:basedOn w:val="DefaultParagraphFont"/>
    <w:link w:val="Title"/>
    <w:rsid w:val="00DB1CF9"/>
    <w:rPr>
      <w:rFonts w:ascii="Helvetica" w:eastAsia="Times New Roman" w:hAnsi="Helvetica" w:cs="Times New Roman"/>
      <w:b/>
      <w:sz w:val="36"/>
      <w:szCs w:val="36"/>
      <w:lang w:val="en-US"/>
    </w:rPr>
  </w:style>
  <w:style w:type="character" w:customStyle="1" w:styleId="fontstyle01">
    <w:name w:val="fontstyle01"/>
    <w:basedOn w:val="DefaultParagraphFont"/>
    <w:rsid w:val="001B2D63"/>
    <w:rPr>
      <w:rFonts w:ascii="NimbusRomNo9L-Regu" w:hAnsi="NimbusRomNo9L-Regu" w:hint="default"/>
      <w:b w:val="0"/>
      <w:bCs w:val="0"/>
      <w:i w:val="0"/>
      <w:iCs w:val="0"/>
      <w:color w:val="000000"/>
      <w:sz w:val="24"/>
      <w:szCs w:val="24"/>
    </w:rPr>
  </w:style>
  <w:style w:type="character" w:styleId="Hyperlink">
    <w:name w:val="Hyperlink"/>
    <w:basedOn w:val="DefaultParagraphFont"/>
    <w:uiPriority w:val="99"/>
    <w:unhideWhenUsed/>
    <w:rsid w:val="00C865E1"/>
    <w:rPr>
      <w:color w:val="0563C1" w:themeColor="hyperlink"/>
      <w:u w:val="single"/>
    </w:rPr>
  </w:style>
  <w:style w:type="character" w:customStyle="1" w:styleId="UnresolvedMention">
    <w:name w:val="Unresolved Mention"/>
    <w:basedOn w:val="DefaultParagraphFont"/>
    <w:uiPriority w:val="99"/>
    <w:semiHidden/>
    <w:unhideWhenUsed/>
    <w:rsid w:val="00C865E1"/>
    <w:rPr>
      <w:color w:val="808080"/>
      <w:shd w:val="clear" w:color="auto" w:fill="E6E6E6"/>
    </w:rPr>
  </w:style>
  <w:style w:type="table" w:styleId="TableGrid">
    <w:name w:val="Table Grid"/>
    <w:basedOn w:val="TableNormal"/>
    <w:uiPriority w:val="39"/>
    <w:rsid w:val="00385AFD"/>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73E1"/>
    <w:rPr>
      <w:color w:val="808080"/>
    </w:rPr>
  </w:style>
  <w:style w:type="paragraph" w:styleId="Caption">
    <w:name w:val="caption"/>
    <w:basedOn w:val="Normal"/>
    <w:next w:val="Normal"/>
    <w:uiPriority w:val="35"/>
    <w:unhideWhenUsed/>
    <w:qFormat/>
    <w:rsid w:val="00782854"/>
    <w:pPr>
      <w:spacing w:after="200" w:line="240" w:lineRule="auto"/>
    </w:pPr>
    <w:rPr>
      <w:i/>
      <w:iCs/>
      <w:color w:val="44546A" w:themeColor="text2"/>
      <w:sz w:val="18"/>
      <w:szCs w:val="18"/>
    </w:rPr>
  </w:style>
  <w:style w:type="paragraph" w:styleId="ListParagraph">
    <w:name w:val="List Paragraph"/>
    <w:basedOn w:val="Normal"/>
    <w:uiPriority w:val="34"/>
    <w:qFormat/>
    <w:rsid w:val="001D303E"/>
    <w:pPr>
      <w:ind w:left="720"/>
      <w:contextualSpacing/>
    </w:pPr>
  </w:style>
  <w:style w:type="paragraph" w:styleId="BalloonText">
    <w:name w:val="Balloon Text"/>
    <w:basedOn w:val="Normal"/>
    <w:link w:val="BalloonTextChar"/>
    <w:uiPriority w:val="99"/>
    <w:semiHidden/>
    <w:unhideWhenUsed/>
    <w:rsid w:val="00287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4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CE3AAF-93D1-4A5C-820A-E8214967755B}">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15EA106-DFEC-4A14-8D11-CDC748AF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4861</TotalTime>
  <Pages>2</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Vasiliki Kostiou</dc:creator>
  <cp:keywords/>
  <dc:description/>
  <cp:lastModifiedBy>Sasikumar N.</cp:lastModifiedBy>
  <cp:revision>52</cp:revision>
  <dcterms:created xsi:type="dcterms:W3CDTF">2020-10-30T12:54:00Z</dcterms:created>
  <dcterms:modified xsi:type="dcterms:W3CDTF">2021-05-04T06:23:00Z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http://csl.mendeley.com/styles/461892691/vancouver-2</vt:lpwstr>
  </property>
  <property fmtid="{D5CDD505-2E9C-101B-9397-08002B2CF9AE}" pid="4" name="Mendeley Unique User Id_1">
    <vt:lpwstr>833c6ede-db5d-3e10-b1f9-9e0da6e63356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http://csl.mendeley.com/styles/461892691/nature-3</vt:lpwstr>
  </property>
  <property fmtid="{D5CDD505-2E9C-101B-9397-08002B2CF9AE}" pid="12" name="Mendeley Recent Style Name 3_1">
    <vt:lpwstr>American Psychological Association 7th edition - Vicky Kostiou</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http://csl.mendeley.com/styles/461892691/nature-4</vt:lpwstr>
  </property>
  <property fmtid="{D5CDD505-2E9C-101B-9397-08002B2CF9AE}" pid="20" name="Mendeley Recent Style Name 7_1">
    <vt:lpwstr>Nature - Vicky Kostiou</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http://csl.mendeley.com/styles/461892691/vancouver-2</vt:lpwstr>
  </property>
  <property fmtid="{D5CDD505-2E9C-101B-9397-08002B2CF9AE}" pid="24" name="Mendeley Recent Style Name 9_1">
    <vt:lpwstr>Vancouver - Vicky Kostiou</vt:lpwstr>
  </property>
</Properties>
</file>