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6245C" w14:textId="77777777" w:rsidR="00F52863" w:rsidRDefault="00F52863">
      <w:r>
        <w:rPr>
          <w:noProof/>
        </w:rPr>
        <w:drawing>
          <wp:inline distT="0" distB="0" distL="0" distR="0" wp14:anchorId="0D292633" wp14:editId="7EAB2480">
            <wp:extent cx="6116320" cy="659638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_8_2_SupFig1-DRT_all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9B16" w14:textId="77777777" w:rsidR="00F52863" w:rsidRPr="00822016" w:rsidRDefault="00F52863" w:rsidP="00F52863">
      <w:pPr>
        <w:widowControl w:val="0"/>
        <w:autoSpaceDE w:val="0"/>
        <w:autoSpaceDN w:val="0"/>
        <w:adjustRightInd w:val="0"/>
        <w:jc w:val="both"/>
        <w:rPr>
          <w:lang w:val="en-GB"/>
        </w:rPr>
      </w:pPr>
      <w:r w:rsidRPr="00822016">
        <w:rPr>
          <w:b/>
          <w:lang w:val="en-GB"/>
        </w:rPr>
        <w:t>Fig. S1.</w:t>
      </w:r>
      <w:r w:rsidRPr="00822016">
        <w:rPr>
          <w:lang w:val="en-GB"/>
        </w:rPr>
        <w:t xml:space="preserve"> Comparison of the substitution rates estimated for the different mitogenome partitions using BEAST from both the original and 20 date-randomized datasets from the date- randomization test (DRT).</w:t>
      </w:r>
    </w:p>
    <w:p w14:paraId="274387A4" w14:textId="77777777" w:rsidR="00F52863" w:rsidRPr="00822016" w:rsidRDefault="00F52863" w:rsidP="00F52863">
      <w:pPr>
        <w:spacing w:line="360" w:lineRule="auto"/>
        <w:ind w:left="360"/>
        <w:jc w:val="both"/>
        <w:rPr>
          <w:lang w:val="en-GB"/>
        </w:rPr>
      </w:pPr>
    </w:p>
    <w:p w14:paraId="64B76097" w14:textId="77777777" w:rsidR="00F52863" w:rsidRPr="00822016" w:rsidRDefault="00F52863" w:rsidP="00F52863">
      <w:pPr>
        <w:spacing w:line="360" w:lineRule="auto"/>
        <w:jc w:val="both"/>
        <w:rPr>
          <w:lang w:val="en-GB"/>
        </w:rPr>
      </w:pPr>
    </w:p>
    <w:p w14:paraId="6A015BAB" w14:textId="77777777" w:rsidR="00F52863" w:rsidRDefault="00F52863">
      <w:pPr>
        <w:rPr>
          <w:lang w:val="en-US"/>
        </w:rPr>
      </w:pPr>
    </w:p>
    <w:p w14:paraId="51268EA7" w14:textId="77777777" w:rsidR="00F52863" w:rsidRDefault="00F52863">
      <w:pPr>
        <w:rPr>
          <w:lang w:val="en-US"/>
        </w:rPr>
      </w:pPr>
    </w:p>
    <w:p w14:paraId="4F3B8D36" w14:textId="77777777" w:rsidR="00F52863" w:rsidRDefault="00F52863">
      <w:pPr>
        <w:rPr>
          <w:lang w:val="en-US"/>
        </w:rPr>
      </w:pPr>
    </w:p>
    <w:p w14:paraId="3AA523B7" w14:textId="77777777" w:rsidR="00F52863" w:rsidRDefault="00F52863">
      <w:pPr>
        <w:rPr>
          <w:lang w:val="en-US"/>
        </w:rPr>
      </w:pPr>
    </w:p>
    <w:p w14:paraId="6C57E7D0" w14:textId="77777777" w:rsidR="00F52863" w:rsidRDefault="00F5286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6A448A0" wp14:editId="6782DAFE">
            <wp:extent cx="6116320" cy="549211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_8_2_SupFig2-damag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0995" w14:textId="77777777" w:rsidR="00F52863" w:rsidRDefault="00F52863">
      <w:pPr>
        <w:rPr>
          <w:lang w:val="en-US"/>
        </w:rPr>
      </w:pPr>
    </w:p>
    <w:p w14:paraId="562D45B6" w14:textId="77777777" w:rsidR="00F52863" w:rsidRPr="00822016" w:rsidRDefault="00F52863" w:rsidP="00F52863">
      <w:pPr>
        <w:widowControl w:val="0"/>
        <w:autoSpaceDE w:val="0"/>
        <w:autoSpaceDN w:val="0"/>
        <w:adjustRightInd w:val="0"/>
        <w:jc w:val="both"/>
        <w:rPr>
          <w:lang w:val="en-GB"/>
        </w:rPr>
      </w:pPr>
      <w:r w:rsidRPr="00822016">
        <w:rPr>
          <w:b/>
          <w:lang w:val="en-GB"/>
        </w:rPr>
        <w:t>Fig. S2.</w:t>
      </w:r>
      <w:r w:rsidRPr="00822016">
        <w:rPr>
          <w:lang w:val="en-GB"/>
        </w:rPr>
        <w:t xml:space="preserve"> Deamination patterns obtained using </w:t>
      </w:r>
      <w:proofErr w:type="spellStart"/>
      <w:r w:rsidRPr="00822016">
        <w:rPr>
          <w:lang w:val="en-GB"/>
        </w:rPr>
        <w:t>mapDamage</w:t>
      </w:r>
      <w:proofErr w:type="spellEnd"/>
      <w:r w:rsidRPr="00822016">
        <w:rPr>
          <w:lang w:val="en-GB"/>
        </w:rPr>
        <w:t xml:space="preserve"> at the ends of the sequencing read. Shown on the left is the C to T deamination rate at the 5’ end, and on the right the G to A rate at the 3’ end. From top to bottom: (a) USER treated libraries, (b) non-USER treated libraries, and (c) sequencing libraries from the same extract that were USER and non-USER treated. </w:t>
      </w:r>
    </w:p>
    <w:p w14:paraId="21D833E1" w14:textId="77777777" w:rsidR="00F52863" w:rsidRPr="00F52863" w:rsidRDefault="00F52863">
      <w:pPr>
        <w:rPr>
          <w:lang w:val="en-US"/>
        </w:rPr>
      </w:pPr>
    </w:p>
    <w:p w14:paraId="7E4B13A1" w14:textId="77777777" w:rsidR="00F52863" w:rsidRPr="00F52863" w:rsidRDefault="00F52863">
      <w:pPr>
        <w:rPr>
          <w:lang w:val="en-US"/>
        </w:rPr>
      </w:pPr>
    </w:p>
    <w:p w14:paraId="213CFFFA" w14:textId="77777777" w:rsidR="001E7CD5" w:rsidRDefault="00F52863">
      <w:r>
        <w:rPr>
          <w:noProof/>
        </w:rPr>
        <w:lastRenderedPageBreak/>
        <w:drawing>
          <wp:inline distT="0" distB="0" distL="0" distR="0" wp14:anchorId="22183D4F" wp14:editId="16F4BCEB">
            <wp:extent cx="6116320" cy="490474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_8_2_SupFig3-mrbayes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D04B" w14:textId="77777777" w:rsidR="00F52863" w:rsidRDefault="00F52863"/>
    <w:p w14:paraId="5127A91C" w14:textId="77777777" w:rsidR="00F52863" w:rsidRPr="00822016" w:rsidRDefault="00F52863" w:rsidP="00F52863">
      <w:pPr>
        <w:widowControl w:val="0"/>
        <w:autoSpaceDE w:val="0"/>
        <w:autoSpaceDN w:val="0"/>
        <w:adjustRightInd w:val="0"/>
        <w:jc w:val="both"/>
        <w:rPr>
          <w:lang w:val="en-GB"/>
        </w:rPr>
      </w:pPr>
      <w:r w:rsidRPr="00822016">
        <w:rPr>
          <w:b/>
          <w:lang w:val="en-GB"/>
        </w:rPr>
        <w:t>Fig. S3.</w:t>
      </w:r>
      <w:r w:rsidRPr="00822016">
        <w:rPr>
          <w:lang w:val="en-GB"/>
        </w:rPr>
        <w:t xml:space="preserve"> </w:t>
      </w:r>
      <w:proofErr w:type="spellStart"/>
      <w:r w:rsidRPr="00822016">
        <w:rPr>
          <w:lang w:val="en-GB"/>
        </w:rPr>
        <w:t>MrBayes</w:t>
      </w:r>
      <w:proofErr w:type="spellEnd"/>
      <w:r w:rsidRPr="00822016">
        <w:rPr>
          <w:lang w:val="en-GB"/>
        </w:rPr>
        <w:t xml:space="preserve"> phylogeny of the 37</w:t>
      </w:r>
      <w:r>
        <w:rPr>
          <w:lang w:val="en-GB"/>
        </w:rPr>
        <w:t xml:space="preserve"> </w:t>
      </w:r>
      <w:r w:rsidRPr="00822016">
        <w:rPr>
          <w:lang w:val="en-GB"/>
        </w:rPr>
        <w:t>giant deer mitogenomes analysed in this study. Label colours</w:t>
      </w:r>
      <w:r>
        <w:rPr>
          <w:lang w:val="en-GB"/>
        </w:rPr>
        <w:t xml:space="preserve"> </w:t>
      </w:r>
      <w:r w:rsidRPr="00822016">
        <w:rPr>
          <w:lang w:val="en-GB"/>
        </w:rPr>
        <w:t>represent clade affiliation. Only posterior probabilities &gt; 0.5 are shown. Dates indicate age of the specimens.</w:t>
      </w:r>
    </w:p>
    <w:p w14:paraId="798F652B" w14:textId="076526E6" w:rsidR="00F52863" w:rsidRDefault="00F52863">
      <w:pPr>
        <w:rPr>
          <w:lang w:val="en-US"/>
        </w:rPr>
      </w:pPr>
    </w:p>
    <w:p w14:paraId="4E91F343" w14:textId="16643B8F" w:rsidR="007B4963" w:rsidRPr="006F623F" w:rsidRDefault="007B4963">
      <w:pPr>
        <w:rPr>
          <w:b/>
          <w:lang w:val="en-US"/>
        </w:rPr>
      </w:pPr>
      <w:bookmarkStart w:id="0" w:name="_GoBack"/>
      <w:r w:rsidRPr="006F623F">
        <w:rPr>
          <w:b/>
          <w:lang w:val="en-US"/>
        </w:rPr>
        <w:t>ESM submitted as Excel file:</w:t>
      </w:r>
    </w:p>
    <w:bookmarkEnd w:id="0"/>
    <w:p w14:paraId="1E4DA149" w14:textId="77777777" w:rsidR="007B4963" w:rsidRDefault="007B4963">
      <w:pPr>
        <w:rPr>
          <w:lang w:val="en-US"/>
        </w:rPr>
      </w:pPr>
    </w:p>
    <w:p w14:paraId="2E3A8B97" w14:textId="1A2226FF" w:rsidR="007B4963" w:rsidRDefault="007B4963" w:rsidP="007B4963">
      <w:pPr>
        <w:rPr>
          <w:lang w:val="en-US"/>
        </w:rPr>
      </w:pPr>
      <w:r w:rsidRPr="007B4963">
        <w:rPr>
          <w:b/>
          <w:lang w:val="en-US"/>
        </w:rPr>
        <w:t>Table S1.</w:t>
      </w:r>
      <w:r w:rsidRPr="007B4963">
        <w:rPr>
          <w:lang w:val="en-US"/>
        </w:rPr>
        <w:t xml:space="preserve"> Sequencing and mapping statistic on the 90 shotgun sequenced </w:t>
      </w:r>
      <w:proofErr w:type="spellStart"/>
      <w:r w:rsidRPr="007B4963">
        <w:rPr>
          <w:lang w:val="en-US"/>
        </w:rPr>
        <w:t>Megaloceros</w:t>
      </w:r>
      <w:proofErr w:type="spellEnd"/>
      <w:r w:rsidRPr="007B4963">
        <w:rPr>
          <w:lang w:val="en-US"/>
        </w:rPr>
        <w:t xml:space="preserve"> </w:t>
      </w:r>
      <w:proofErr w:type="spellStart"/>
      <w:r w:rsidRPr="007B4963">
        <w:rPr>
          <w:lang w:val="en-US"/>
        </w:rPr>
        <w:t>giganteus</w:t>
      </w:r>
      <w:proofErr w:type="spellEnd"/>
    </w:p>
    <w:p w14:paraId="2B3EBF62" w14:textId="2140D5AA" w:rsidR="007B4963" w:rsidRDefault="007B4963" w:rsidP="007B4963">
      <w:pPr>
        <w:rPr>
          <w:lang w:val="en-US"/>
        </w:rPr>
      </w:pPr>
    </w:p>
    <w:p w14:paraId="4F51A409" w14:textId="40786223" w:rsidR="007B4963" w:rsidRDefault="007B4963" w:rsidP="007B4963">
      <w:pPr>
        <w:rPr>
          <w:lang w:val="en-US"/>
        </w:rPr>
      </w:pPr>
      <w:r w:rsidRPr="007B4963">
        <w:rPr>
          <w:b/>
          <w:lang w:val="en-US"/>
        </w:rPr>
        <w:t>Table S2</w:t>
      </w:r>
      <w:r w:rsidRPr="007B4963">
        <w:rPr>
          <w:lang w:val="en-US"/>
        </w:rPr>
        <w:t xml:space="preserve">. Information on the </w:t>
      </w:r>
      <w:proofErr w:type="spellStart"/>
      <w:r w:rsidRPr="007B4963">
        <w:rPr>
          <w:lang w:val="en-US"/>
        </w:rPr>
        <w:t>Megaloceros</w:t>
      </w:r>
      <w:proofErr w:type="spellEnd"/>
      <w:r w:rsidRPr="007B4963">
        <w:rPr>
          <w:lang w:val="en-US"/>
        </w:rPr>
        <w:t xml:space="preserve"> </w:t>
      </w:r>
      <w:proofErr w:type="spellStart"/>
      <w:r w:rsidRPr="007B4963">
        <w:rPr>
          <w:lang w:val="en-US"/>
        </w:rPr>
        <w:t>giganteus</w:t>
      </w:r>
      <w:proofErr w:type="spellEnd"/>
      <w:r w:rsidRPr="007B4963">
        <w:rPr>
          <w:lang w:val="en-US"/>
        </w:rPr>
        <w:t xml:space="preserve"> samples that were used in the capture experiments and/or included in the phylogenetic analyses.</w:t>
      </w:r>
    </w:p>
    <w:p w14:paraId="6559A032" w14:textId="3A6382F1" w:rsidR="007B4963" w:rsidRDefault="007B4963" w:rsidP="007B4963">
      <w:pPr>
        <w:rPr>
          <w:lang w:val="en-US"/>
        </w:rPr>
      </w:pPr>
    </w:p>
    <w:p w14:paraId="16A33D28" w14:textId="1392F246" w:rsidR="007B4963" w:rsidRPr="00F52863" w:rsidRDefault="007B4963" w:rsidP="007B4963">
      <w:pPr>
        <w:rPr>
          <w:lang w:val="en-US"/>
        </w:rPr>
      </w:pPr>
      <w:r w:rsidRPr="007B4963">
        <w:rPr>
          <w:b/>
          <w:lang w:val="en-US"/>
        </w:rPr>
        <w:t>Table S3.</w:t>
      </w:r>
      <w:r w:rsidRPr="007B4963">
        <w:rPr>
          <w:lang w:val="en-US"/>
        </w:rPr>
        <w:t xml:space="preserve"> Baits used in this study for the mitochondrial DNA capture experiment. Baits were designed by </w:t>
      </w:r>
      <w:proofErr w:type="spellStart"/>
      <w:r w:rsidRPr="007B4963">
        <w:rPr>
          <w:lang w:val="en-US"/>
        </w:rPr>
        <w:t>MYBaits</w:t>
      </w:r>
      <w:proofErr w:type="spellEnd"/>
      <w:r w:rsidRPr="007B4963">
        <w:rPr>
          <w:lang w:val="en-US"/>
        </w:rPr>
        <w:t xml:space="preserve"> based on the consensus sequences from </w:t>
      </w:r>
      <w:proofErr w:type="spellStart"/>
      <w:r w:rsidRPr="007B4963">
        <w:rPr>
          <w:lang w:val="en-US"/>
        </w:rPr>
        <w:t>Immel</w:t>
      </w:r>
      <w:proofErr w:type="spellEnd"/>
      <w:r w:rsidRPr="007B4963">
        <w:rPr>
          <w:lang w:val="en-US"/>
        </w:rPr>
        <w:t xml:space="preserve"> et al. 2015. The array contains 733 baits, with a length of 80mer probes with either and 4x (</w:t>
      </w:r>
      <w:proofErr w:type="spellStart"/>
      <w:r w:rsidRPr="007B4963">
        <w:rPr>
          <w:lang w:val="en-US"/>
        </w:rPr>
        <w:t>mito</w:t>
      </w:r>
      <w:proofErr w:type="spellEnd"/>
      <w:r w:rsidRPr="007B4963">
        <w:rPr>
          <w:lang w:val="en-US"/>
        </w:rPr>
        <w:t>) flexible tiling density.</w:t>
      </w:r>
    </w:p>
    <w:sectPr w:rsidR="007B4963" w:rsidRPr="00F52863" w:rsidSect="00825DA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863"/>
    <w:rsid w:val="001E7CD5"/>
    <w:rsid w:val="006F623F"/>
    <w:rsid w:val="007B4963"/>
    <w:rsid w:val="00825DA3"/>
    <w:rsid w:val="00F5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39239FF"/>
  <w15:chartTrackingRefBased/>
  <w15:docId w15:val="{0DED7961-FD48-EB4D-BEDB-265ED636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2020-08-02T16:51:00Z</dcterms:created>
  <dcterms:modified xsi:type="dcterms:W3CDTF">2021-03-27T14:50:00Z</dcterms:modified>
</cp:coreProperties>
</file>