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148C" w14:textId="62111F3B" w:rsidR="00353404" w:rsidRDefault="007E461F" w:rsidP="0035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49498165"/>
      <w:r w:rsidRPr="00724A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bookmarkEnd w:id="0"/>
      <w:r w:rsidR="00353404" w:rsidRPr="003534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Atlantic walrus </w:t>
      </w:r>
      <w:bookmarkStart w:id="1" w:name="_GoBack"/>
      <w:bookmarkEnd w:id="1"/>
      <w:r w:rsidR="00353404" w:rsidRPr="00353404">
        <w:rPr>
          <w:rFonts w:ascii="Times New Roman" w:hAnsi="Times New Roman" w:cs="Times New Roman"/>
          <w:bCs/>
          <w:sz w:val="24"/>
          <w:szCs w:val="24"/>
          <w:lang w:val="en-US"/>
        </w:rPr>
        <w:t>signal latitudinal differences in the long-term decline of sea ice-derived carbon to benthic fauna in the Canadian Arctic</w:t>
      </w:r>
    </w:p>
    <w:p w14:paraId="72C7E059" w14:textId="1F5BFF73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EC3A6" w14:textId="7B7788E4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4A4E">
        <w:rPr>
          <w:rFonts w:ascii="Times New Roman" w:hAnsi="Times New Roman" w:cs="Times New Roman"/>
          <w:b/>
          <w:sz w:val="24"/>
          <w:szCs w:val="24"/>
        </w:rPr>
        <w:t xml:space="preserve">Journal: </w:t>
      </w:r>
      <w:r w:rsidRPr="00724A4E">
        <w:rPr>
          <w:rFonts w:ascii="Times New Roman" w:hAnsi="Times New Roman" w:cs="Times New Roman"/>
          <w:bCs/>
          <w:sz w:val="24"/>
          <w:szCs w:val="24"/>
        </w:rPr>
        <w:t>Proceedings of the Royal Society B</w:t>
      </w:r>
    </w:p>
    <w:p w14:paraId="33CB82D9" w14:textId="21678797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DD46BE" w14:textId="332D0A32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A4E">
        <w:rPr>
          <w:rFonts w:ascii="Times New Roman" w:hAnsi="Times New Roman" w:cs="Times New Roman"/>
          <w:b/>
          <w:sz w:val="24"/>
          <w:szCs w:val="24"/>
        </w:rPr>
        <w:t>Author names:</w:t>
      </w:r>
      <w:r w:rsidRPr="00724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A4E">
        <w:rPr>
          <w:rFonts w:ascii="Times New Roman" w:hAnsi="Times New Roman" w:cs="Times New Roman"/>
          <w:sz w:val="24"/>
          <w:szCs w:val="24"/>
        </w:rPr>
        <w:t>David J. Yurkowski</w:t>
      </w: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r w:rsidRPr="00724A4E">
        <w:rPr>
          <w:rFonts w:ascii="Times New Roman" w:hAnsi="Times New Roman" w:cs="Times New Roman"/>
          <w:sz w:val="24"/>
          <w:szCs w:val="24"/>
        </w:rPr>
        <w:t>, Thomas A. Brown</w:t>
      </w: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4A4E">
        <w:rPr>
          <w:rFonts w:ascii="Times New Roman" w:hAnsi="Times New Roman" w:cs="Times New Roman"/>
          <w:sz w:val="24"/>
          <w:szCs w:val="24"/>
        </w:rPr>
        <w:t>, Paul J. Blanchfield</w:t>
      </w: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4A4E">
        <w:rPr>
          <w:rFonts w:ascii="Times New Roman" w:hAnsi="Times New Roman" w:cs="Times New Roman"/>
          <w:sz w:val="24"/>
          <w:szCs w:val="24"/>
        </w:rPr>
        <w:t>, Steven H. Ferguson</w:t>
      </w: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1ECDC08" w14:textId="77777777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FBC97" w14:textId="56C1FDC4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4E">
        <w:rPr>
          <w:rFonts w:ascii="Times New Roman" w:hAnsi="Times New Roman" w:cs="Times New Roman"/>
          <w:b/>
          <w:bCs/>
          <w:sz w:val="24"/>
          <w:szCs w:val="24"/>
        </w:rPr>
        <w:t>Author affiliations:</w:t>
      </w:r>
      <w:r w:rsidRPr="00724A4E">
        <w:rPr>
          <w:rFonts w:ascii="Times New Roman" w:hAnsi="Times New Roman" w:cs="Times New Roman"/>
          <w:sz w:val="24"/>
          <w:szCs w:val="24"/>
        </w:rPr>
        <w:t xml:space="preserve"> </w:t>
      </w: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4A4E">
        <w:rPr>
          <w:rFonts w:ascii="Times New Roman" w:hAnsi="Times New Roman" w:cs="Times New Roman"/>
          <w:sz w:val="24"/>
          <w:szCs w:val="24"/>
        </w:rPr>
        <w:t xml:space="preserve">Fisheries and Oceans Canada, Winnipeg, Manitoba R3T 2N6, Canada </w:t>
      </w:r>
    </w:p>
    <w:p w14:paraId="2022D755" w14:textId="0A5D58D1" w:rsidR="007E461F" w:rsidRPr="00724A4E" w:rsidRDefault="007E461F" w:rsidP="007E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4A4E">
        <w:rPr>
          <w:rFonts w:ascii="Times New Roman" w:hAnsi="Times New Roman" w:cs="Times New Roman"/>
          <w:sz w:val="24"/>
          <w:szCs w:val="24"/>
          <w:lang w:val="en-GB"/>
        </w:rPr>
        <w:t>Scottish Association for Marine Science, Oban, UK, PA37 1QA</w:t>
      </w:r>
      <w:r w:rsidRPr="00724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4F9BB" w14:textId="77777777" w:rsidR="00AA5366" w:rsidRPr="00724A4E" w:rsidRDefault="00AA5366" w:rsidP="007E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54A31" w14:textId="4BC5B3BC" w:rsidR="00AA5366" w:rsidRPr="00724A4E" w:rsidRDefault="00AA5366" w:rsidP="007E461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A4E">
        <w:rPr>
          <w:rFonts w:ascii="Times New Roman" w:hAnsi="Times New Roman" w:cs="Times New Roman"/>
          <w:b/>
          <w:bCs/>
          <w:sz w:val="24"/>
          <w:szCs w:val="24"/>
        </w:rPr>
        <w:t xml:space="preserve">Article ID: </w:t>
      </w:r>
      <w:r w:rsidRPr="00724A4E">
        <w:rPr>
          <w:rFonts w:ascii="Times New Roman" w:hAnsi="Times New Roman" w:cs="Times New Roman"/>
          <w:sz w:val="24"/>
          <w:szCs w:val="24"/>
        </w:rPr>
        <w:t>10.1098/rspb.2020.</w:t>
      </w:r>
      <w:r w:rsidR="003C378D" w:rsidRPr="00724A4E">
        <w:rPr>
          <w:rFonts w:ascii="Times New Roman" w:hAnsi="Times New Roman" w:cs="Times New Roman"/>
          <w:sz w:val="24"/>
          <w:szCs w:val="24"/>
        </w:rPr>
        <w:t>2126</w:t>
      </w:r>
    </w:p>
    <w:p w14:paraId="01E1130D" w14:textId="5CE19DD0" w:rsidR="007E461F" w:rsidRPr="00724A4E" w:rsidRDefault="00AA5366" w:rsidP="00325C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A4E">
        <w:rPr>
          <w:rFonts w:ascii="Times New Roman" w:hAnsi="Times New Roman" w:cs="Times New Roman"/>
          <w:b/>
          <w:bCs/>
          <w:sz w:val="24"/>
          <w:szCs w:val="24"/>
        </w:rPr>
        <w:t xml:space="preserve">Dataset: </w:t>
      </w:r>
      <w:hyperlink r:id="rId6" w:history="1">
        <w:r w:rsidRPr="00724A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https://doi.org/10.5061/dryad.12jm63xwj</w:t>
        </w:r>
      </w:hyperlink>
    </w:p>
    <w:p w14:paraId="6E98A5E3" w14:textId="4DCDBA32" w:rsidR="007E461F" w:rsidRPr="00724A4E" w:rsidRDefault="00AA5366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4E"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author: </w:t>
      </w:r>
      <w:r w:rsidRPr="00724A4E">
        <w:rPr>
          <w:rFonts w:ascii="Times New Roman" w:hAnsi="Times New Roman" w:cs="Times New Roman"/>
          <w:sz w:val="24"/>
          <w:szCs w:val="24"/>
        </w:rPr>
        <w:t>David Yurkowski (</w:t>
      </w:r>
      <w:hyperlink r:id="rId7" w:history="1">
        <w:r w:rsidRPr="00724A4E">
          <w:rPr>
            <w:rStyle w:val="Hyperlink"/>
            <w:rFonts w:ascii="Times New Roman" w:hAnsi="Times New Roman" w:cs="Times New Roman"/>
            <w:sz w:val="24"/>
            <w:szCs w:val="24"/>
          </w:rPr>
          <w:t>David.Yurkowski@dfo-mpo.gc.ca</w:t>
        </w:r>
      </w:hyperlink>
      <w:r w:rsidRPr="00724A4E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CD66EA" w:rsidRPr="00724A4E">
          <w:rPr>
            <w:rStyle w:val="Hyperlink"/>
            <w:rFonts w:ascii="Times New Roman" w:hAnsi="Times New Roman" w:cs="Times New Roman"/>
            <w:sz w:val="24"/>
            <w:szCs w:val="24"/>
          </w:rPr>
          <w:t>dyurkowski1@gmail.com</w:t>
        </w:r>
      </w:hyperlink>
      <w:r w:rsidRPr="00724A4E">
        <w:rPr>
          <w:rFonts w:ascii="Times New Roman" w:hAnsi="Times New Roman" w:cs="Times New Roman"/>
          <w:sz w:val="24"/>
          <w:szCs w:val="24"/>
        </w:rPr>
        <w:t>)</w:t>
      </w:r>
    </w:p>
    <w:p w14:paraId="47EA4F4E" w14:textId="686CE402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740462" w14:textId="61D8ED67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188566" w14:textId="79C272FE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C26B6B" w14:textId="449FA623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B56462" w14:textId="38D8CB02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F0E989" w14:textId="083C167F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37C501" w14:textId="6A8D7A0C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901186" w14:textId="41FD227D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20E2F6" w14:textId="33AFD122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F6D00D" w14:textId="69988698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70696F" w14:textId="42899699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634C2A" w14:textId="036DC645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5C04D5" w14:textId="563228F5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5A2714" w14:textId="669A0F91" w:rsidR="00CD66EA" w:rsidRDefault="00CD66EA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A65232" w14:textId="7AED8146" w:rsidR="00325C90" w:rsidRPr="00325C90" w:rsidRDefault="00325C90" w:rsidP="00325C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C90">
        <w:rPr>
          <w:rFonts w:ascii="Times New Roman" w:hAnsi="Times New Roman" w:cs="Times New Roman"/>
          <w:b/>
          <w:bCs/>
          <w:sz w:val="24"/>
          <w:szCs w:val="24"/>
        </w:rPr>
        <w:lastRenderedPageBreak/>
        <w:t>Trophic position equations</w:t>
      </w:r>
    </w:p>
    <w:p w14:paraId="24CE29D6" w14:textId="1B2D2AE1" w:rsidR="00325C90" w:rsidRDefault="00325C90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estimated trophic position for each individual using three commonly-used published equations that utilize</w:t>
      </w:r>
      <w:r w:rsidRPr="0075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trophic-source amino acids pairs of glutamic acid (Glu) and phenylalanine (Phe) and a combination of single- and multi-trophic discrimination factors (TDF). Both amino acids are used in the most commonly applied trophic position equation of </w:t>
      </w:r>
      <w:r w:rsidRPr="002C7933">
        <w:rPr>
          <w:rFonts w:ascii="Times New Roman" w:hAnsi="Times New Roman" w:cs="Times New Roman"/>
          <w:sz w:val="24"/>
          <w:szCs w:val="24"/>
        </w:rPr>
        <w:t>Chikaraishi et al. (2009):</w:t>
      </w:r>
    </w:p>
    <w:p w14:paraId="1427D00F" w14:textId="388EFCB1" w:rsidR="00325C90" w:rsidRPr="0036104B" w:rsidRDefault="00325C90" w:rsidP="00325C90">
      <w:pPr>
        <w:spacing w:after="0" w:line="48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TP=1+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 β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TDF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Glu-Phe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               (1)</w:t>
      </w:r>
    </w:p>
    <w:p w14:paraId="566596B4" w14:textId="77777777" w:rsidR="00325C90" w:rsidRDefault="00325C90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δ</w:t>
      </w:r>
      <w:r w:rsidRPr="0036104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104B">
        <w:rPr>
          <w:rFonts w:ascii="Times New Roman" w:hAnsi="Times New Roman" w:cs="Times New Roman"/>
          <w:sz w:val="24"/>
          <w:szCs w:val="24"/>
          <w:vertAlign w:val="subscript"/>
        </w:rPr>
        <w:t>Glu</w:t>
      </w:r>
      <w:r>
        <w:rPr>
          <w:rFonts w:ascii="Times New Roman" w:hAnsi="Times New Roman" w:cs="Times New Roman"/>
          <w:sz w:val="24"/>
          <w:szCs w:val="24"/>
        </w:rPr>
        <w:t xml:space="preserve"> and δ</w:t>
      </w:r>
      <w:r w:rsidRPr="0036104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104B">
        <w:rPr>
          <w:rFonts w:ascii="Times New Roman" w:hAnsi="Times New Roman" w:cs="Times New Roman"/>
          <w:sz w:val="24"/>
          <w:szCs w:val="24"/>
          <w:vertAlign w:val="subscript"/>
        </w:rPr>
        <w:t>Phe</w:t>
      </w:r>
      <w:r>
        <w:rPr>
          <w:rFonts w:ascii="Times New Roman" w:hAnsi="Times New Roman" w:cs="Times New Roman"/>
          <w:sz w:val="24"/>
          <w:szCs w:val="24"/>
        </w:rPr>
        <w:t xml:space="preserve"> represent the stable isotope nitrogen values of glutamic acid and phenylalanine of the consumer, β represents the difference in δ</w:t>
      </w:r>
      <w:r w:rsidRPr="0036104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104B">
        <w:rPr>
          <w:rFonts w:ascii="Times New Roman" w:hAnsi="Times New Roman" w:cs="Times New Roman"/>
          <w:sz w:val="24"/>
          <w:szCs w:val="24"/>
          <w:vertAlign w:val="subscript"/>
        </w:rPr>
        <w:t>Glu</w:t>
      </w:r>
      <w:r>
        <w:rPr>
          <w:rFonts w:ascii="Times New Roman" w:hAnsi="Times New Roman" w:cs="Times New Roman"/>
          <w:sz w:val="24"/>
          <w:szCs w:val="24"/>
        </w:rPr>
        <w:t xml:space="preserve"> and δ</w:t>
      </w:r>
      <w:r w:rsidRPr="0036104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104B">
        <w:rPr>
          <w:rFonts w:ascii="Times New Roman" w:hAnsi="Times New Roman" w:cs="Times New Roman"/>
          <w:sz w:val="24"/>
          <w:szCs w:val="24"/>
          <w:vertAlign w:val="subscript"/>
        </w:rPr>
        <w:t>Phe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primary producers (3.4‰; </w:t>
      </w:r>
      <w:r w:rsidRPr="002C7933">
        <w:rPr>
          <w:rFonts w:ascii="Times New Roman" w:hAnsi="Times New Roman" w:cs="Times New Roman"/>
          <w:sz w:val="24"/>
          <w:szCs w:val="24"/>
        </w:rPr>
        <w:t>McLelland &amp; Montoya, 2002</w:t>
      </w:r>
      <w:r>
        <w:rPr>
          <w:rFonts w:ascii="Times New Roman" w:hAnsi="Times New Roman" w:cs="Times New Roman"/>
          <w:sz w:val="24"/>
          <w:szCs w:val="24"/>
        </w:rPr>
        <w:t>) and TDF</w:t>
      </w:r>
      <w:r w:rsidRPr="00DF73EA">
        <w:rPr>
          <w:rFonts w:ascii="Times New Roman" w:hAnsi="Times New Roman" w:cs="Times New Roman"/>
          <w:sz w:val="24"/>
          <w:szCs w:val="24"/>
          <w:vertAlign w:val="subscript"/>
        </w:rPr>
        <w:t>Glu-Phe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represents the constant trophic discrimination factor between diet and consumer at each trophic step (7.6‰; </w:t>
      </w:r>
      <w:r w:rsidRPr="002C7933">
        <w:rPr>
          <w:rFonts w:ascii="Times New Roman" w:hAnsi="Times New Roman" w:cs="Times New Roman"/>
          <w:sz w:val="24"/>
          <w:szCs w:val="24"/>
        </w:rPr>
        <w:t>Chikaraishi et al., 2009). Germain et al. (2013)</w:t>
      </w:r>
      <w:r>
        <w:rPr>
          <w:rFonts w:ascii="Times New Roman" w:hAnsi="Times New Roman" w:cs="Times New Roman"/>
          <w:sz w:val="24"/>
          <w:szCs w:val="24"/>
        </w:rPr>
        <w:t xml:space="preserve"> developed a multi-TDF approach that incorporates a seal-specific TDF estimated from controlled feeding experiments on harbour seals (</w:t>
      </w:r>
      <w:r w:rsidRPr="00EE6A51">
        <w:rPr>
          <w:rFonts w:ascii="Times New Roman" w:hAnsi="Times New Roman" w:cs="Times New Roman"/>
          <w:i/>
          <w:iCs/>
          <w:sz w:val="24"/>
          <w:szCs w:val="24"/>
        </w:rPr>
        <w:t>Phoca vitulina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2536DA1" w14:textId="4A493ED6" w:rsidR="00325C90" w:rsidRDefault="00325C90" w:rsidP="00325C90">
      <w:pPr>
        <w:spacing w:after="0" w:line="480" w:lineRule="auto"/>
        <w:ind w:left="8540" w:hanging="773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                   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TP=2+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TDF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Glu-Phe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β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(2)</w:t>
      </w:r>
    </w:p>
    <w:p w14:paraId="25A18518" w14:textId="1B2C921F" w:rsidR="00325C90" w:rsidRPr="006E2475" w:rsidRDefault="00325C90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2475">
        <w:rPr>
          <w:rFonts w:ascii="Times New Roman" w:hAnsi="Times New Roman" w:cs="Times New Roman"/>
          <w:sz w:val="24"/>
          <w:szCs w:val="24"/>
        </w:rPr>
        <w:t xml:space="preserve">where most variables </w:t>
      </w:r>
      <w:r>
        <w:rPr>
          <w:rFonts w:ascii="Times New Roman" w:hAnsi="Times New Roman" w:cs="Times New Roman"/>
          <w:sz w:val="24"/>
          <w:szCs w:val="24"/>
        </w:rPr>
        <w:t>and values are</w:t>
      </w:r>
      <w:r w:rsidRPr="006E2475">
        <w:rPr>
          <w:rFonts w:ascii="Times New Roman" w:hAnsi="Times New Roman" w:cs="Times New Roman"/>
          <w:sz w:val="24"/>
          <w:szCs w:val="24"/>
        </w:rPr>
        <w:t xml:space="preserve"> the same as described in equation (</w:t>
      </w:r>
      <w:r w:rsidR="007D2C13">
        <w:rPr>
          <w:rFonts w:ascii="Times New Roman" w:hAnsi="Times New Roman" w:cs="Times New Roman"/>
          <w:sz w:val="24"/>
          <w:szCs w:val="24"/>
        </w:rPr>
        <w:t>1</w:t>
      </w:r>
      <w:r w:rsidRPr="006E2475">
        <w:rPr>
          <w:rFonts w:ascii="Times New Roman" w:hAnsi="Times New Roman" w:cs="Times New Roman"/>
          <w:sz w:val="24"/>
          <w:szCs w:val="24"/>
        </w:rPr>
        <w:t>) except for TDF</w:t>
      </w:r>
      <w:r w:rsidRPr="006E2475">
        <w:rPr>
          <w:rFonts w:ascii="Times New Roman" w:hAnsi="Times New Roman" w:cs="Times New Roman"/>
          <w:sz w:val="24"/>
          <w:szCs w:val="24"/>
          <w:vertAlign w:val="subscript"/>
        </w:rPr>
        <w:t>Glu-Phe</w:t>
      </w:r>
      <w:r w:rsidRPr="006E2475">
        <w:rPr>
          <w:rFonts w:ascii="Times New Roman" w:hAnsi="Times New Roman" w:cs="Times New Roman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75">
        <w:rPr>
          <w:rFonts w:ascii="Times New Roman" w:hAnsi="Times New Roman" w:cs="Times New Roman"/>
          <w:sz w:val="24"/>
          <w:szCs w:val="24"/>
        </w:rPr>
        <w:t>a seal-specific TDF value of 4.3‰ (</w:t>
      </w:r>
      <w:r w:rsidRPr="002C7933">
        <w:rPr>
          <w:rFonts w:ascii="Times New Roman" w:hAnsi="Times New Roman" w:cs="Times New Roman"/>
          <w:sz w:val="24"/>
          <w:szCs w:val="24"/>
        </w:rPr>
        <w:t>Germain et al., 2013). McMahon et al. (2015, 2019)</w:t>
      </w:r>
      <w:r w:rsidRPr="006E2475">
        <w:rPr>
          <w:rFonts w:ascii="Times New Roman" w:hAnsi="Times New Roman" w:cs="Times New Roman"/>
          <w:sz w:val="24"/>
          <w:szCs w:val="24"/>
        </w:rPr>
        <w:t xml:space="preserve"> also developed a multi-TDF approach estimated from captive gentoo penguins (</w:t>
      </w:r>
      <w:r w:rsidRPr="006E2475">
        <w:rPr>
          <w:rFonts w:ascii="Times New Roman" w:hAnsi="Times New Roman" w:cs="Times New Roman"/>
          <w:i/>
          <w:iCs/>
          <w:sz w:val="24"/>
          <w:szCs w:val="24"/>
          <w:lang w:val="en-US"/>
        </w:rPr>
        <w:t>Pygoscelis papua</w:t>
      </w:r>
      <w:r w:rsidRPr="006E2475">
        <w:rPr>
          <w:rFonts w:ascii="Times New Roman" w:hAnsi="Times New Roman" w:cs="Times New Roman"/>
          <w:sz w:val="24"/>
          <w:szCs w:val="24"/>
        </w:rPr>
        <w:t xml:space="preserve">) during a controlled feeding trial: </w:t>
      </w:r>
    </w:p>
    <w:p w14:paraId="407BA7C2" w14:textId="081C8C91" w:rsidR="00325C90" w:rsidRDefault="00325C90" w:rsidP="00325C90">
      <w:pPr>
        <w:spacing w:after="0" w:line="480" w:lineRule="auto"/>
        <w:ind w:left="8540" w:hanging="755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               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TP=2+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TDF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Glu-Phe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β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TDF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Glu-Phe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average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14:paraId="62DFA699" w14:textId="280E75D9" w:rsidR="00325C90" w:rsidRDefault="00325C90" w:rsidP="00325C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most variables and values are similar to equations (</w:t>
      </w:r>
      <w:r w:rsidR="007D2C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and (</w:t>
      </w:r>
      <w:r w:rsidR="007D2C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except for </w:t>
      </w:r>
      <w:r w:rsidRPr="006E2475">
        <w:rPr>
          <w:rFonts w:ascii="Times New Roman" w:hAnsi="Times New Roman" w:cs="Times New Roman"/>
          <w:sz w:val="24"/>
          <w:szCs w:val="24"/>
        </w:rPr>
        <w:t>TDF</w:t>
      </w:r>
      <w:r w:rsidRPr="006E2475">
        <w:rPr>
          <w:rFonts w:ascii="Times New Roman" w:hAnsi="Times New Roman" w:cs="Times New Roman"/>
          <w:sz w:val="24"/>
          <w:szCs w:val="24"/>
          <w:vertAlign w:val="subscript"/>
        </w:rPr>
        <w:t>Glu-Phe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 specific to penguins (3.5‰) and an additional variable, TDF</w:t>
      </w:r>
      <w:r w:rsidRPr="006C62DA">
        <w:rPr>
          <w:rFonts w:ascii="Times New Roman" w:hAnsi="Times New Roman" w:cs="Times New Roman"/>
          <w:sz w:val="24"/>
          <w:szCs w:val="24"/>
          <w:vertAlign w:val="subscript"/>
        </w:rPr>
        <w:t>(Glu-Phe)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C62DA">
        <w:rPr>
          <w:rFonts w:ascii="Times New Roman" w:hAnsi="Times New Roman" w:cs="Times New Roman"/>
          <w:sz w:val="24"/>
          <w:szCs w:val="24"/>
          <w:vertAlign w:val="subscript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 xml:space="preserve">which represents an </w:t>
      </w:r>
      <w:r>
        <w:rPr>
          <w:rFonts w:ascii="Times New Roman" w:hAnsi="Times New Roman" w:cs="Times New Roman"/>
          <w:sz w:val="24"/>
          <w:szCs w:val="24"/>
        </w:rPr>
        <w:lastRenderedPageBreak/>
        <w:t>average TDF of 6.3‰ characteristic of planktonic marine food webs (</w:t>
      </w:r>
      <w:r w:rsidRPr="002C7933">
        <w:rPr>
          <w:rFonts w:ascii="Times New Roman" w:hAnsi="Times New Roman" w:cs="Times New Roman"/>
          <w:sz w:val="24"/>
          <w:szCs w:val="24"/>
        </w:rPr>
        <w:t>McMahon &amp; McCarthy, 2016; McMahon et al., 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867687" w14:textId="76AA7083" w:rsidR="005A338A" w:rsidRPr="000340CD" w:rsidRDefault="00325C90" w:rsidP="005A33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both Jones Sound and Foxe Basin Atlantic walruses, equation (1) produced lower trophic position estimates (range = 1.9 – 2.3) by approximately 1 trophic level compared to equation (2) (range = 2.8 – 3.2) and approximately 0.5 to 1 trophic level compared to equation (3) (range = 2.5 – 3.0). </w:t>
      </w:r>
      <w:r w:rsidR="005A338A">
        <w:rPr>
          <w:rFonts w:ascii="Times New Roman" w:hAnsi="Times New Roman" w:cs="Times New Roman"/>
          <w:sz w:val="24"/>
          <w:szCs w:val="24"/>
        </w:rPr>
        <w:t>Trophic position estimates ranging from 1.9 – 2.3 is unrealistically low for a species known to forage upon bivalves that are primary consumers who therefore occupy a trophic position of 2. Equations that use a universal trophic discrimination of 7.6‰ (</w:t>
      </w:r>
      <w:r w:rsidR="005A338A" w:rsidRPr="005614DD">
        <w:rPr>
          <w:rFonts w:ascii="Times New Roman" w:hAnsi="Times New Roman" w:cs="Times New Roman"/>
          <w:sz w:val="24"/>
          <w:szCs w:val="24"/>
        </w:rPr>
        <w:t>Chikaraishi et al. 2009)</w:t>
      </w:r>
      <w:r w:rsidR="005A338A">
        <w:rPr>
          <w:rFonts w:ascii="Times New Roman" w:hAnsi="Times New Roman" w:cs="Times New Roman"/>
          <w:sz w:val="24"/>
          <w:szCs w:val="24"/>
        </w:rPr>
        <w:t xml:space="preserve"> have typically underestimated trophic position estimates for upper trophic level predators such as large bony fish (</w:t>
      </w:r>
      <w:r w:rsidR="005A338A" w:rsidRPr="0026438C">
        <w:rPr>
          <w:rFonts w:ascii="Times New Roman" w:hAnsi="Times New Roman" w:cs="Times New Roman"/>
          <w:sz w:val="24"/>
          <w:szCs w:val="24"/>
        </w:rPr>
        <w:t>Lorrain et al., 2015</w:t>
      </w:r>
      <w:r w:rsidR="005A338A">
        <w:rPr>
          <w:rFonts w:ascii="Times New Roman" w:hAnsi="Times New Roman" w:cs="Times New Roman"/>
          <w:sz w:val="24"/>
          <w:szCs w:val="24"/>
        </w:rPr>
        <w:t>), sharks (</w:t>
      </w:r>
      <w:r w:rsidR="005A338A" w:rsidRPr="0026438C">
        <w:rPr>
          <w:rFonts w:ascii="Times New Roman" w:hAnsi="Times New Roman" w:cs="Times New Roman"/>
          <w:sz w:val="24"/>
          <w:szCs w:val="24"/>
        </w:rPr>
        <w:t>Hussey et al., 2015</w:t>
      </w:r>
      <w:r w:rsidR="005A338A">
        <w:rPr>
          <w:rFonts w:ascii="Times New Roman" w:hAnsi="Times New Roman" w:cs="Times New Roman"/>
          <w:sz w:val="24"/>
          <w:szCs w:val="24"/>
        </w:rPr>
        <w:t>), seabirds (</w:t>
      </w:r>
      <w:r w:rsidR="005A338A" w:rsidRPr="005614DD">
        <w:rPr>
          <w:rFonts w:ascii="Times New Roman" w:hAnsi="Times New Roman" w:cs="Times New Roman"/>
          <w:sz w:val="24"/>
          <w:szCs w:val="24"/>
        </w:rPr>
        <w:t>McMahon et al., 2019</w:t>
      </w:r>
      <w:r w:rsidR="005A338A">
        <w:rPr>
          <w:rFonts w:ascii="Times New Roman" w:hAnsi="Times New Roman" w:cs="Times New Roman"/>
          <w:sz w:val="24"/>
          <w:szCs w:val="24"/>
        </w:rPr>
        <w:t>) and marine mammals (</w:t>
      </w:r>
      <w:r w:rsidR="005A338A" w:rsidRPr="0026438C">
        <w:rPr>
          <w:rFonts w:ascii="Times New Roman" w:hAnsi="Times New Roman" w:cs="Times New Roman"/>
          <w:sz w:val="24"/>
          <w:szCs w:val="24"/>
        </w:rPr>
        <w:t xml:space="preserve">Matthews &amp; Ferguson, 2014; </w:t>
      </w:r>
      <w:r w:rsidR="005A338A" w:rsidRPr="005614DD">
        <w:rPr>
          <w:rFonts w:ascii="Times New Roman" w:hAnsi="Times New Roman" w:cs="Times New Roman"/>
          <w:sz w:val="24"/>
          <w:szCs w:val="24"/>
        </w:rPr>
        <w:t>Matthews et al. 2020</w:t>
      </w:r>
      <w:r w:rsidR="005A338A">
        <w:rPr>
          <w:rFonts w:ascii="Times New Roman" w:hAnsi="Times New Roman" w:cs="Times New Roman"/>
          <w:sz w:val="24"/>
          <w:szCs w:val="24"/>
        </w:rPr>
        <w:t>). Atlantic walrus are generally secondary consumers, and as such, equation (2) and (3), which use a multi-trophic discrimination factor, estimated more-realistic trophic positions ranging from 2.8 – 3.2 and 2.5 – 3.0, respectively.</w:t>
      </w:r>
      <w:r w:rsidR="005A338A" w:rsidRPr="005A338A">
        <w:rPr>
          <w:rFonts w:ascii="Times New Roman" w:hAnsi="Times New Roman" w:cs="Times New Roman"/>
          <w:sz w:val="24"/>
          <w:szCs w:val="24"/>
        </w:rPr>
        <w:t xml:space="preserve"> </w:t>
      </w:r>
      <w:r w:rsidR="005A338A">
        <w:rPr>
          <w:rFonts w:ascii="Times New Roman" w:hAnsi="Times New Roman" w:cs="Times New Roman"/>
          <w:sz w:val="24"/>
          <w:szCs w:val="24"/>
        </w:rPr>
        <w:t xml:space="preserve">Within each equation, the estimated trophic positions </w:t>
      </w:r>
      <w:r w:rsidR="00305E45">
        <w:rPr>
          <w:rFonts w:ascii="Times New Roman" w:hAnsi="Times New Roman" w:cs="Times New Roman"/>
          <w:sz w:val="24"/>
          <w:szCs w:val="24"/>
        </w:rPr>
        <w:t xml:space="preserve">of Atlantic walrus </w:t>
      </w:r>
      <w:r w:rsidR="005A338A">
        <w:rPr>
          <w:rFonts w:ascii="Times New Roman" w:hAnsi="Times New Roman" w:cs="Times New Roman"/>
          <w:sz w:val="24"/>
          <w:szCs w:val="24"/>
        </w:rPr>
        <w:t>were similar between Jones Sound and Foxe Basin with no changes occurring over time.</w:t>
      </w:r>
    </w:p>
    <w:p w14:paraId="1F7886C0" w14:textId="77777777" w:rsidR="0047582A" w:rsidRDefault="0047582A" w:rsidP="00325C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0FCF7" w14:textId="024B57EB" w:rsidR="00325C90" w:rsidRPr="005A338A" w:rsidRDefault="005A338A" w:rsidP="00325C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38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C636223" w14:textId="77777777" w:rsidR="002C5D81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>Chikaraishi, Y., Ogawa, N. O., Kashiyama, Y., Takano, Y., Suga, H., Tomitani, A., ... &amp; Ohkouchi, N. (2009). Determination of aquatic food</w:t>
      </w:r>
      <w:r w:rsidRPr="00B03F3E">
        <w:rPr>
          <w:rFonts w:ascii="Cambria Math" w:eastAsia="Times New Roman" w:hAnsi="Cambria Math" w:cs="Cambria Math"/>
          <w:sz w:val="24"/>
          <w:szCs w:val="24"/>
          <w:lang w:val="en-US"/>
        </w:rPr>
        <w:t>‐</w:t>
      </w: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>web structure based on compound</w:t>
      </w:r>
      <w:r w:rsidRPr="00B03F3E">
        <w:rPr>
          <w:rFonts w:ascii="Cambria Math" w:eastAsia="Times New Roman" w:hAnsi="Cambria Math" w:cs="Cambria Math"/>
          <w:sz w:val="24"/>
          <w:szCs w:val="24"/>
          <w:lang w:val="en-US"/>
        </w:rPr>
        <w:t>‐</w:t>
      </w: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specific nitrogen isotopic composition of amino acids. </w:t>
      </w:r>
      <w:r w:rsidRPr="00B03F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Limnology and Oceanography: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</w:t>
      </w:r>
      <w:r w:rsidRPr="00B03F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ethods</w:t>
      </w: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>, 740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B03F3E">
        <w:rPr>
          <w:rFonts w:ascii="Times New Roman" w:eastAsia="Times New Roman" w:hAnsi="Times New Roman" w:cs="Times New Roman"/>
          <w:sz w:val="24"/>
          <w:szCs w:val="24"/>
          <w:lang w:val="en-US"/>
        </w:rPr>
        <w:t>750.</w:t>
      </w:r>
    </w:p>
    <w:p w14:paraId="0ED7DA16" w14:textId="77777777" w:rsidR="002C5D81" w:rsidRPr="002C7933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Germain, L. R., Koch, P. L., Harvey, J., &amp; McCarthy, M. D. (2013). Nitrogen isotope fractionation in amino acids from harbor seals: implications for compound-specific trophic position calculations. </w:t>
      </w:r>
      <w:r w:rsidRPr="002C79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Marine Ecology Progress Series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482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, 265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277.</w:t>
      </w:r>
    </w:p>
    <w:p w14:paraId="3EDFB3D4" w14:textId="77777777" w:rsidR="002C5D81" w:rsidRPr="0026438C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Hussey, N. E., MacNeil, M. A., Siple, M. C., Popp, B. N., Dudley, S. F., &amp; Fisk, A. T. (2015). Expanded trophic complexity among large sharks. </w:t>
      </w:r>
      <w:r w:rsidRPr="002643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Webs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, 1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</w:p>
    <w:p w14:paraId="6415EE53" w14:textId="77777777" w:rsidR="002C5D81" w:rsidRPr="0026438C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Lorrain, A., Graham, B. S., Popp, B. N., Allain, V., Olson, R. J., Hunt, B. P., ... &amp; Kaehler, S. (2015). Nitrogen isotopic baselines and implications for estimating foraging habitat and trophic position of yellowfin tuna in the Indian and Pacific Oceans. </w:t>
      </w:r>
      <w:r w:rsidRPr="002643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Deep Sea Research Part II: Topical Studies in Oceanography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113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, 188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198.</w:t>
      </w:r>
    </w:p>
    <w:p w14:paraId="3864C756" w14:textId="33F7603A" w:rsidR="002C5D81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Matthews, C. J., &amp; Ferguson, S. H. (2014). Spatial segregation and similar trophic-level diet among eastern Canadian Arctic/north-west Atlantic killer whales inferred from bulk and compound specific isotopic analysis. </w:t>
      </w:r>
      <w:r w:rsidRPr="002643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Marine Biological Association of the United Kingdom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94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, 1343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1355</w:t>
      </w:r>
      <w:r w:rsidRPr="002643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4336D88" w14:textId="33FDD9CB" w:rsidR="00510A67" w:rsidRDefault="00510A67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Matthews, C. J., Ruiz</w:t>
      </w:r>
      <w:r w:rsidRPr="002C7933">
        <w:rPr>
          <w:rFonts w:ascii="Cambria Math" w:eastAsia="Times New Roman" w:hAnsi="Cambria Math" w:cs="Cambria Math"/>
          <w:sz w:val="24"/>
          <w:szCs w:val="24"/>
          <w:lang w:val="en-US"/>
        </w:rPr>
        <w:t>‐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Cooley, R. I., Pomerleau, C., &amp; Ferguson, S. H. (2020). Amino acid δ</w:t>
      </w:r>
      <w:r w:rsidRPr="002C79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underestimation of cetacean trophic positions highlights limited understanding of isotopic fractionation in higher marine consumers. </w:t>
      </w:r>
      <w:r w:rsidRPr="002C79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Ecology and Evolution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13E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, 3450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3462.</w:t>
      </w:r>
    </w:p>
    <w:p w14:paraId="09CF4C96" w14:textId="129214DC" w:rsidR="002C5D81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McClelland, J. W., &amp; Montoya, J. P. (2002). Trophic relationships and the nitrogen isotopic composition of amino acids in plankton. </w:t>
      </w:r>
      <w:r w:rsidRPr="007F3A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Ecology</w:t>
      </w: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83</w:t>
      </w: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>, 2173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>2180.</w:t>
      </w:r>
    </w:p>
    <w:p w14:paraId="1C00C86D" w14:textId="77777777" w:rsidR="002C5D81" w:rsidRPr="007F3A19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McMahon, K. W., &amp; McCarthy, M. D. (2016). Embracing variability in amino acid δ15N fractionation: mechanisms, implications, and applications for trophic ecology. </w:t>
      </w:r>
      <w:r w:rsidRPr="007F3A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Ecosphere</w:t>
      </w: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7F3A19">
        <w:rPr>
          <w:rFonts w:ascii="Times New Roman" w:eastAsia="Times New Roman" w:hAnsi="Times New Roman" w:cs="Times New Roman"/>
          <w:sz w:val="24"/>
          <w:szCs w:val="24"/>
          <w:lang w:val="en-US"/>
        </w:rPr>
        <w:t>, e01511.</w:t>
      </w:r>
    </w:p>
    <w:p w14:paraId="02A08887" w14:textId="77777777" w:rsidR="002C5D81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McMahon, K. W., Michelson, C. I., Hart, T., McCarthy, M. D., Patterson, W. P., &amp; Polito, M. J. (2019). Divergent trophic responses of sympatric penguin species to historic anthropogenic exploitation and recent climate change. </w:t>
      </w:r>
      <w:r w:rsidRPr="002C79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Proceedings of the National Academy of Sciences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116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, 25721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25727.</w:t>
      </w:r>
    </w:p>
    <w:p w14:paraId="63A25ADD" w14:textId="77777777" w:rsidR="002C5D81" w:rsidRPr="002C7933" w:rsidRDefault="002C5D81" w:rsidP="00CD66E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McMahon, K. W., Polito, M. J., Abel, S., McCarthy, M. D., &amp; Thorrold, S. R. (2015). Carbon and nitrogen isotope fractionation of amino acids in an avian marine predator, the gentoo penguin (Pygoscelis papua). </w:t>
      </w:r>
      <w:r w:rsidRPr="002C79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Ecology and Evolution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07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, 1278</w:t>
      </w:r>
      <w:r w:rsidRPr="00D059E3">
        <w:rPr>
          <w:rFonts w:ascii="Times New Roman" w:eastAsia="Times New Roman" w:hAnsi="Times New Roman" w:cs="Times New Roman"/>
          <w:sz w:val="24"/>
          <w:szCs w:val="24"/>
          <w:lang w:val="en-US"/>
        </w:rPr>
        <w:t>‒</w:t>
      </w:r>
      <w:r w:rsidRPr="002C7933">
        <w:rPr>
          <w:rFonts w:ascii="Times New Roman" w:eastAsia="Times New Roman" w:hAnsi="Times New Roman" w:cs="Times New Roman"/>
          <w:sz w:val="24"/>
          <w:szCs w:val="24"/>
          <w:lang w:val="en-US"/>
        </w:rPr>
        <w:t>1290.</w:t>
      </w:r>
    </w:p>
    <w:p w14:paraId="50FBF065" w14:textId="77777777" w:rsidR="00B133EF" w:rsidRDefault="00B133EF"/>
    <w:sectPr w:rsidR="00B133EF" w:rsidSect="009E01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365D" w14:textId="77777777" w:rsidR="00EB43CE" w:rsidRDefault="00EB43CE" w:rsidP="007E461F">
      <w:pPr>
        <w:spacing w:after="0" w:line="240" w:lineRule="auto"/>
      </w:pPr>
      <w:r>
        <w:separator/>
      </w:r>
    </w:p>
  </w:endnote>
  <w:endnote w:type="continuationSeparator" w:id="0">
    <w:p w14:paraId="4C7487AA" w14:textId="77777777" w:rsidR="00EB43CE" w:rsidRDefault="00EB43CE" w:rsidP="007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257E" w14:textId="77777777" w:rsidR="00EB43CE" w:rsidRDefault="00EB43CE" w:rsidP="007E461F">
      <w:pPr>
        <w:spacing w:after="0" w:line="240" w:lineRule="auto"/>
      </w:pPr>
      <w:r>
        <w:separator/>
      </w:r>
    </w:p>
  </w:footnote>
  <w:footnote w:type="continuationSeparator" w:id="0">
    <w:p w14:paraId="4EE0A5B5" w14:textId="77777777" w:rsidR="00EB43CE" w:rsidRDefault="00EB43CE" w:rsidP="007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2EA0" w14:textId="2B937EB2" w:rsidR="007E461F" w:rsidRPr="007E461F" w:rsidRDefault="007E461F">
    <w:pPr>
      <w:pStyle w:val="Header"/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7E461F">
      <w:rPr>
        <w:rFonts w:ascii="Times New Roman" w:hAnsi="Times New Roman" w:cs="Times New Roman"/>
        <w:b/>
        <w:bCs/>
        <w:sz w:val="24"/>
        <w:szCs w:val="24"/>
        <w:lang w:val="en-US"/>
      </w:rPr>
      <w:t>Supporting Information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0"/>
    <w:rsid w:val="000758F0"/>
    <w:rsid w:val="00083A98"/>
    <w:rsid w:val="002C5D81"/>
    <w:rsid w:val="00305E45"/>
    <w:rsid w:val="00325C90"/>
    <w:rsid w:val="00353404"/>
    <w:rsid w:val="003C378D"/>
    <w:rsid w:val="004307A2"/>
    <w:rsid w:val="00463936"/>
    <w:rsid w:val="0047582A"/>
    <w:rsid w:val="00510A67"/>
    <w:rsid w:val="005A338A"/>
    <w:rsid w:val="00724A4E"/>
    <w:rsid w:val="007D2C13"/>
    <w:rsid w:val="007E461F"/>
    <w:rsid w:val="008E32B2"/>
    <w:rsid w:val="008F44CF"/>
    <w:rsid w:val="0093351F"/>
    <w:rsid w:val="009E013B"/>
    <w:rsid w:val="00AA5366"/>
    <w:rsid w:val="00B133EF"/>
    <w:rsid w:val="00B435D9"/>
    <w:rsid w:val="00CD66EA"/>
    <w:rsid w:val="00E37840"/>
    <w:rsid w:val="00E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F61E"/>
  <w15:chartTrackingRefBased/>
  <w15:docId w15:val="{79B8721B-4D09-41C1-A530-4BC9115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90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7E461F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7E461F"/>
  </w:style>
  <w:style w:type="paragraph" w:styleId="Header">
    <w:name w:val="header"/>
    <w:basedOn w:val="Normal"/>
    <w:link w:val="HeaderChar"/>
    <w:uiPriority w:val="99"/>
    <w:unhideWhenUsed/>
    <w:rsid w:val="007E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1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1F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A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urkowski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Yurkowski@dfo-mpo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061/dryad.12jm63xw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Yurkowski</dc:creator>
  <cp:keywords/>
  <dc:description/>
  <cp:lastModifiedBy>David Yurkowski</cp:lastModifiedBy>
  <cp:revision>16</cp:revision>
  <dcterms:created xsi:type="dcterms:W3CDTF">2020-08-22T04:09:00Z</dcterms:created>
  <dcterms:modified xsi:type="dcterms:W3CDTF">2020-11-09T15:03:00Z</dcterms:modified>
</cp:coreProperties>
</file>