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4046B" w:rsidR="00D04BCF" w:rsidP="16937DF1" w:rsidRDefault="00BB2D2A" w14:paraId="46E2C996" w14:textId="77777777">
      <w:pPr>
        <w:rPr>
          <w:rFonts w:ascii="Arial" w:hAnsi="Arial" w:cs="Arial"/>
          <w:b/>
          <w:bCs/>
          <w:sz w:val="20"/>
          <w:lang w:val="en-GB"/>
        </w:rPr>
      </w:pPr>
      <w:r w:rsidRPr="16937DF1">
        <w:rPr>
          <w:rFonts w:ascii="Arial" w:hAnsi="Arial" w:cs="Arial"/>
          <w:b/>
          <w:bCs/>
          <w:sz w:val="20"/>
          <w:lang w:val="en-GB"/>
        </w:rPr>
        <w:t xml:space="preserve">Supplementary </w:t>
      </w:r>
      <w:r w:rsidRPr="16937DF1" w:rsidR="007B5946">
        <w:rPr>
          <w:rFonts w:ascii="Arial" w:hAnsi="Arial" w:cs="Arial"/>
          <w:b/>
          <w:bCs/>
          <w:sz w:val="20"/>
          <w:lang w:val="en-GB"/>
        </w:rPr>
        <w:t>Information</w:t>
      </w:r>
      <w:r w:rsidRPr="16937DF1" w:rsidR="009743A9">
        <w:rPr>
          <w:rFonts w:ascii="Arial" w:hAnsi="Arial" w:cs="Arial"/>
          <w:b/>
          <w:bCs/>
          <w:sz w:val="20"/>
          <w:lang w:val="en-GB"/>
        </w:rPr>
        <w:t xml:space="preserve"> for</w:t>
      </w:r>
    </w:p>
    <w:p w:rsidRPr="00840BB2" w:rsidR="005001AC" w:rsidP="16937DF1" w:rsidRDefault="005001AC" w14:paraId="055C4FAB" w14:textId="77777777">
      <w:pPr>
        <w:rPr>
          <w:rFonts w:ascii="Arial" w:hAnsi="Arial" w:cs="Arial"/>
          <w:sz w:val="20"/>
          <w:lang w:val="en-GB"/>
        </w:rPr>
      </w:pPr>
    </w:p>
    <w:p w:rsidRPr="00C42047" w:rsidR="00C42047" w:rsidP="16937DF1" w:rsidRDefault="00C42047" w14:paraId="2C41EAEB" w14:textId="0BB98948">
      <w:pPr>
        <w:pStyle w:val="Head"/>
        <w:spacing w:before="0" w:after="0"/>
        <w:jc w:val="left"/>
        <w:rPr>
          <w:rFonts w:ascii="Arial" w:hAnsi="Arial" w:cs="Arial"/>
          <w:b w:val="0"/>
          <w:bCs w:val="0"/>
          <w:sz w:val="20"/>
          <w:szCs w:val="20"/>
          <w:lang w:val="en-GB"/>
        </w:rPr>
      </w:pPr>
      <w:r w:rsidRPr="60ED4CB4" w:rsidR="00C42047">
        <w:rPr>
          <w:rFonts w:ascii="Arial" w:hAnsi="Arial" w:cs="Arial"/>
          <w:b w:val="0"/>
          <w:bCs w:val="0"/>
          <w:sz w:val="20"/>
          <w:szCs w:val="20"/>
          <w:lang w:val="en-GB"/>
        </w:rPr>
        <w:t xml:space="preserve">A phenotypic switch in the dispersal strategy of breast cancer cells selected for metastatic </w:t>
      </w:r>
      <w:r w:rsidRPr="60ED4CB4" w:rsidR="0B858084">
        <w:rPr>
          <w:rFonts w:ascii="Arial" w:hAnsi="Arial" w:cs="Arial"/>
          <w:b w:val="0"/>
          <w:bCs w:val="0"/>
          <w:sz w:val="20"/>
          <w:szCs w:val="20"/>
          <w:lang w:val="en-GB"/>
        </w:rPr>
        <w:t>coloni</w:t>
      </w:r>
      <w:r w:rsidRPr="60ED4CB4" w:rsidR="719A4315">
        <w:rPr>
          <w:rFonts w:ascii="Arial" w:hAnsi="Arial" w:cs="Arial"/>
          <w:b w:val="0"/>
          <w:bCs w:val="0"/>
          <w:sz w:val="20"/>
          <w:szCs w:val="20"/>
          <w:lang w:val="en-GB"/>
        </w:rPr>
        <w:t>z</w:t>
      </w:r>
      <w:r w:rsidRPr="60ED4CB4" w:rsidR="0B858084">
        <w:rPr>
          <w:rFonts w:ascii="Arial" w:hAnsi="Arial" w:cs="Arial"/>
          <w:b w:val="0"/>
          <w:bCs w:val="0"/>
          <w:sz w:val="20"/>
          <w:szCs w:val="20"/>
          <w:lang w:val="en-GB"/>
        </w:rPr>
        <w:t>ation</w:t>
      </w:r>
    </w:p>
    <w:p w:rsidRPr="00840BB2" w:rsidR="00015F74" w:rsidP="16937DF1" w:rsidRDefault="00015F74" w14:paraId="773A15B7" w14:textId="77777777">
      <w:pPr>
        <w:rPr>
          <w:rFonts w:ascii="Arial" w:hAnsi="Arial" w:cs="Arial"/>
          <w:sz w:val="20"/>
          <w:lang w:val="en-GB"/>
        </w:rPr>
      </w:pPr>
    </w:p>
    <w:p w:rsidRPr="00C42047" w:rsidR="00C42047" w:rsidP="16937DF1" w:rsidRDefault="00C42047" w14:paraId="251D9334" w14:textId="77777777">
      <w:pPr>
        <w:pStyle w:val="Teaser"/>
        <w:spacing w:before="0"/>
        <w:rPr>
          <w:rFonts w:ascii="Arial" w:hAnsi="Arial" w:cs="Arial"/>
          <w:sz w:val="20"/>
          <w:szCs w:val="20"/>
          <w:lang w:val="en-GB"/>
        </w:rPr>
      </w:pPr>
      <w:r w:rsidRPr="16937DF1">
        <w:rPr>
          <w:rFonts w:ascii="Arial" w:hAnsi="Arial" w:cs="Arial"/>
          <w:b/>
          <w:bCs/>
          <w:sz w:val="20"/>
          <w:szCs w:val="20"/>
          <w:lang w:val="en-GB"/>
        </w:rPr>
        <w:t>Authors</w:t>
      </w:r>
    </w:p>
    <w:p w:rsidRPr="00C42047" w:rsidR="00C42047" w:rsidP="16937DF1" w:rsidRDefault="00C42047" w14:paraId="7AA4F83F" w14:textId="77777777">
      <w:pPr>
        <w:pStyle w:val="Teaser"/>
        <w:spacing w:before="0"/>
        <w:rPr>
          <w:rFonts w:ascii="Arial" w:hAnsi="Arial" w:cs="Arial"/>
          <w:sz w:val="20"/>
          <w:szCs w:val="20"/>
          <w:lang w:val="en-GB"/>
        </w:rPr>
      </w:pPr>
      <w:r w:rsidRPr="16937DF1">
        <w:rPr>
          <w:rFonts w:ascii="Arial" w:hAnsi="Arial" w:cs="Arial"/>
          <w:sz w:val="20"/>
          <w:szCs w:val="20"/>
          <w:lang w:val="en-GB"/>
        </w:rPr>
        <w:t>George Butler,</w:t>
      </w:r>
      <w:r w:rsidRPr="16937DF1">
        <w:rPr>
          <w:rFonts w:ascii="Arial" w:hAnsi="Arial" w:cs="Arial"/>
          <w:sz w:val="20"/>
          <w:szCs w:val="20"/>
          <w:vertAlign w:val="superscript"/>
          <w:lang w:val="en-GB"/>
        </w:rPr>
        <w:t>1</w:t>
      </w:r>
      <w:r w:rsidRPr="16937DF1">
        <w:rPr>
          <w:rFonts w:ascii="Arial" w:hAnsi="Arial" w:cs="Arial"/>
          <w:sz w:val="20"/>
          <w:szCs w:val="20"/>
          <w:lang w:val="en-GB"/>
        </w:rPr>
        <w:t xml:space="preserve"> Shirley Keeton,</w:t>
      </w:r>
      <w:r w:rsidRPr="16937DF1">
        <w:rPr>
          <w:rFonts w:ascii="Arial" w:hAnsi="Arial" w:cs="Arial"/>
          <w:sz w:val="20"/>
          <w:szCs w:val="20"/>
          <w:vertAlign w:val="superscript"/>
          <w:lang w:val="en-GB"/>
        </w:rPr>
        <w:t>1</w:t>
      </w:r>
      <w:r w:rsidRPr="16937DF1">
        <w:rPr>
          <w:rFonts w:ascii="Arial" w:hAnsi="Arial" w:cs="Arial"/>
          <w:sz w:val="20"/>
          <w:szCs w:val="20"/>
          <w:lang w:val="en-GB"/>
        </w:rPr>
        <w:t xml:space="preserve"> Louise Johnson</w:t>
      </w:r>
      <w:r w:rsidRPr="16937DF1">
        <w:rPr>
          <w:rFonts w:ascii="Arial" w:hAnsi="Arial" w:cs="Arial"/>
          <w:sz w:val="20"/>
          <w:szCs w:val="20"/>
          <w:vertAlign w:val="superscript"/>
          <w:lang w:val="en-GB"/>
        </w:rPr>
        <w:t>1</w:t>
      </w:r>
      <w:r w:rsidRPr="16937DF1">
        <w:rPr>
          <w:rFonts w:ascii="Arial" w:hAnsi="Arial" w:cs="Arial"/>
          <w:sz w:val="20"/>
          <w:szCs w:val="20"/>
          <w:lang w:val="en-GB"/>
        </w:rPr>
        <w:t>, Philip Dash</w:t>
      </w:r>
      <w:r w:rsidRPr="16937DF1">
        <w:rPr>
          <w:rFonts w:ascii="Arial" w:hAnsi="Arial" w:cs="Arial"/>
          <w:sz w:val="20"/>
          <w:szCs w:val="20"/>
          <w:vertAlign w:val="superscript"/>
          <w:lang w:val="en-GB"/>
        </w:rPr>
        <w:t>1</w:t>
      </w:r>
      <w:r w:rsidRPr="16937DF1">
        <w:rPr>
          <w:rFonts w:ascii="Arial" w:hAnsi="Arial" w:cs="Arial"/>
          <w:sz w:val="20"/>
          <w:szCs w:val="20"/>
          <w:lang w:val="en-GB"/>
        </w:rPr>
        <w:t>*</w:t>
      </w:r>
    </w:p>
    <w:p w:rsidRPr="00C42047" w:rsidR="00C42047" w:rsidP="16937DF1" w:rsidRDefault="00C42047" w14:paraId="25D4783B" w14:textId="77777777">
      <w:pPr>
        <w:pStyle w:val="Paragraph"/>
        <w:spacing w:before="0"/>
        <w:ind w:firstLine="0"/>
        <w:rPr>
          <w:rFonts w:ascii="Arial" w:hAnsi="Arial" w:cs="Arial"/>
          <w:b/>
          <w:bCs/>
          <w:sz w:val="20"/>
          <w:szCs w:val="20"/>
          <w:lang w:val="en-GB"/>
        </w:rPr>
      </w:pPr>
    </w:p>
    <w:p w:rsidRPr="00C42047" w:rsidR="00C42047" w:rsidP="16937DF1" w:rsidRDefault="00C42047" w14:paraId="63154646" w14:textId="77777777">
      <w:pPr>
        <w:pStyle w:val="Paragraph"/>
        <w:spacing w:before="0"/>
        <w:ind w:firstLine="0"/>
        <w:rPr>
          <w:rFonts w:ascii="Arial" w:hAnsi="Arial" w:cs="Arial"/>
          <w:sz w:val="20"/>
          <w:szCs w:val="20"/>
          <w:lang w:val="en-GB"/>
        </w:rPr>
      </w:pPr>
      <w:r w:rsidRPr="16937DF1">
        <w:rPr>
          <w:rFonts w:ascii="Arial" w:hAnsi="Arial" w:cs="Arial"/>
          <w:b/>
          <w:bCs/>
          <w:sz w:val="20"/>
          <w:szCs w:val="20"/>
          <w:lang w:val="en-GB"/>
        </w:rPr>
        <w:t>Affiliations</w:t>
      </w:r>
      <w:r w:rsidRPr="16937DF1">
        <w:rPr>
          <w:rFonts w:ascii="Arial" w:hAnsi="Arial" w:cs="Arial"/>
          <w:sz w:val="20"/>
          <w:szCs w:val="20"/>
          <w:lang w:val="en-GB"/>
        </w:rPr>
        <w:t xml:space="preserve"> </w:t>
      </w:r>
    </w:p>
    <w:p w:rsidRPr="00C42047" w:rsidR="00C42047" w:rsidP="16937DF1" w:rsidRDefault="00C42047" w14:paraId="4235D946" w14:textId="77777777">
      <w:pPr>
        <w:pStyle w:val="Paragraph"/>
        <w:spacing w:before="0"/>
        <w:ind w:firstLine="0"/>
        <w:rPr>
          <w:rFonts w:ascii="Arial" w:hAnsi="Arial" w:cs="Arial"/>
          <w:sz w:val="20"/>
          <w:szCs w:val="20"/>
          <w:lang w:val="en-GB"/>
        </w:rPr>
      </w:pPr>
      <w:r w:rsidRPr="16937DF1">
        <w:rPr>
          <w:rFonts w:ascii="Arial" w:hAnsi="Arial" w:cs="Arial"/>
          <w:sz w:val="20"/>
          <w:szCs w:val="20"/>
          <w:vertAlign w:val="superscript"/>
          <w:lang w:val="en-GB"/>
        </w:rPr>
        <w:t xml:space="preserve">1 </w:t>
      </w:r>
      <w:r w:rsidRPr="16937DF1">
        <w:rPr>
          <w:rFonts w:ascii="Arial" w:hAnsi="Arial" w:cs="Arial"/>
          <w:sz w:val="20"/>
          <w:szCs w:val="20"/>
          <w:lang w:val="en-GB"/>
        </w:rPr>
        <w:t>School of Biological Sciences, University of Reading, UK</w:t>
      </w:r>
    </w:p>
    <w:p w:rsidRPr="00C42047" w:rsidR="00C42047" w:rsidP="16937DF1" w:rsidRDefault="00C42047" w14:paraId="26DD3736" w14:textId="77777777">
      <w:pPr>
        <w:pStyle w:val="AbstractSummary"/>
        <w:shd w:val="clear" w:color="auto" w:fill="FFFFFF" w:themeFill="background1"/>
        <w:spacing w:before="0"/>
        <w:rPr>
          <w:rFonts w:ascii="Arial" w:hAnsi="Arial" w:cs="Arial"/>
          <w:b/>
          <w:bCs/>
          <w:sz w:val="20"/>
          <w:szCs w:val="20"/>
          <w:lang w:val="en-GB"/>
        </w:rPr>
      </w:pPr>
    </w:p>
    <w:p w:rsidRPr="00C42047" w:rsidR="00943C3C" w:rsidP="16937DF1" w:rsidRDefault="00C42047" w14:paraId="76B63DA2" w14:textId="376CDF31">
      <w:pPr>
        <w:rPr>
          <w:rFonts w:ascii="Arial" w:hAnsi="Arial" w:cs="Arial"/>
          <w:sz w:val="20"/>
          <w:lang w:val="en-GB"/>
        </w:rPr>
      </w:pPr>
      <w:r w:rsidRPr="16937DF1">
        <w:rPr>
          <w:rFonts w:ascii="Arial" w:hAnsi="Arial" w:cs="Arial"/>
          <w:sz w:val="20"/>
          <w:lang w:val="en-GB"/>
        </w:rPr>
        <w:t xml:space="preserve">*Corresponding author </w:t>
      </w:r>
      <w:bookmarkStart w:name="_GoBack" w:id="0"/>
      <w:bookmarkEnd w:id="0"/>
    </w:p>
    <w:p w:rsidRPr="00C42047" w:rsidR="004779CB" w:rsidP="16937DF1" w:rsidRDefault="00943C3C" w14:paraId="48676783" w14:textId="1024681A">
      <w:pPr>
        <w:rPr>
          <w:rFonts w:ascii="Arial" w:hAnsi="Arial" w:cs="Arial"/>
          <w:sz w:val="20"/>
          <w:lang w:val="en-GB"/>
        </w:rPr>
      </w:pPr>
      <w:r w:rsidRPr="17002052" w:rsidR="00943C3C">
        <w:rPr>
          <w:rFonts w:ascii="Arial" w:hAnsi="Arial" w:cs="Arial"/>
          <w:sz w:val="20"/>
          <w:szCs w:val="20"/>
          <w:lang w:val="en-GB"/>
        </w:rPr>
        <w:t xml:space="preserve">Email: </w:t>
      </w:r>
      <w:r w:rsidRPr="17002052" w:rsidR="004779CB">
        <w:rPr>
          <w:rFonts w:ascii="Arial" w:hAnsi="Arial" w:cs="Arial"/>
          <w:sz w:val="20"/>
          <w:szCs w:val="20"/>
          <w:lang w:val="en-GB"/>
        </w:rPr>
        <w:t xml:space="preserve"> </w:t>
      </w:r>
      <w:hyperlink r:id="R82dc5bdb6dbd4641">
        <w:r w:rsidRPr="17002052" w:rsidR="00C42047">
          <w:rPr>
            <w:rStyle w:val="Hyperlink"/>
            <w:rFonts w:ascii="Arial" w:hAnsi="Arial" w:cs="Arial"/>
            <w:sz w:val="20"/>
            <w:szCs w:val="20"/>
            <w:lang w:val="en-GB"/>
          </w:rPr>
          <w:t>p.r.dash@reading.ac.uk</w:t>
        </w:r>
      </w:hyperlink>
    </w:p>
    <w:p w:rsidR="17002052" w:rsidP="17002052" w:rsidRDefault="17002052" w14:paraId="3B5C9B1C" w14:textId="45D08B67">
      <w:pPr>
        <w:pStyle w:val="Normal"/>
        <w:rPr>
          <w:rFonts w:ascii="Arial" w:hAnsi="Arial" w:cs="Arial"/>
          <w:sz w:val="20"/>
          <w:szCs w:val="20"/>
          <w:lang w:val="en-GB"/>
        </w:rPr>
      </w:pPr>
    </w:p>
    <w:p w:rsidR="4E6A8284" w:rsidP="17002052" w:rsidRDefault="4E6A8284" w14:paraId="58B7A0BF" w14:textId="7B34BB9A">
      <w:pPr>
        <w:pStyle w:val="Normal"/>
        <w:rPr>
          <w:rFonts w:ascii="Arial" w:hAnsi="Arial" w:cs="Arial"/>
          <w:sz w:val="20"/>
          <w:szCs w:val="20"/>
          <w:lang w:val="en-GB"/>
        </w:rPr>
      </w:pPr>
      <w:r w:rsidRPr="17002052" w:rsidR="4E6A8284">
        <w:rPr>
          <w:rFonts w:ascii="Arial" w:hAnsi="Arial" w:cs="Arial"/>
          <w:b w:val="1"/>
          <w:bCs w:val="1"/>
          <w:sz w:val="20"/>
          <w:szCs w:val="20"/>
          <w:lang w:val="en-GB"/>
        </w:rPr>
        <w:t>Journal</w:t>
      </w:r>
    </w:p>
    <w:p w:rsidR="5025D405" w:rsidP="17002052" w:rsidRDefault="5025D405" w14:paraId="2BD0A0D3" w14:textId="787233E7">
      <w:pPr>
        <w:pStyle w:val="Normal"/>
        <w:rPr>
          <w:rFonts w:ascii="Arial" w:hAnsi="Arial" w:cs="Arial"/>
          <w:b w:val="0"/>
          <w:bCs w:val="0"/>
          <w:sz w:val="20"/>
          <w:szCs w:val="20"/>
          <w:lang w:val="en-GB"/>
        </w:rPr>
      </w:pPr>
      <w:r w:rsidRPr="17002052" w:rsidR="5025D405">
        <w:rPr>
          <w:rFonts w:ascii="Arial" w:hAnsi="Arial" w:cs="Arial"/>
          <w:b w:val="0"/>
          <w:bCs w:val="0"/>
          <w:sz w:val="20"/>
          <w:szCs w:val="20"/>
          <w:lang w:val="en-GB"/>
        </w:rPr>
        <w:t>Proceedings of the Royal Society B</w:t>
      </w:r>
    </w:p>
    <w:p w:rsidR="17002052" w:rsidP="17002052" w:rsidRDefault="17002052" w14:paraId="4A005B29" w14:textId="66707021">
      <w:pPr>
        <w:pStyle w:val="Normal"/>
        <w:rPr>
          <w:rFonts w:ascii="Arial" w:hAnsi="Arial" w:cs="Arial"/>
          <w:b w:val="0"/>
          <w:bCs w:val="0"/>
          <w:sz w:val="20"/>
          <w:szCs w:val="20"/>
          <w:lang w:val="en-GB"/>
        </w:rPr>
      </w:pPr>
    </w:p>
    <w:p w:rsidR="11031F9B" w:rsidP="17002052" w:rsidRDefault="11031F9B" w14:paraId="7638CE5C" w14:textId="028BFE54">
      <w:pPr>
        <w:pStyle w:val="Normal"/>
        <w:rPr>
          <w:rFonts w:ascii="Arial" w:hAnsi="Arial" w:cs="Arial"/>
          <w:b w:val="0"/>
          <w:bCs w:val="0"/>
          <w:sz w:val="20"/>
          <w:szCs w:val="20"/>
          <w:lang w:val="en-GB"/>
        </w:rPr>
      </w:pPr>
      <w:r w:rsidRPr="17002052" w:rsidR="11031F9B">
        <w:rPr>
          <w:rFonts w:ascii="Arial" w:hAnsi="Arial" w:cs="Arial"/>
          <w:b w:val="1"/>
          <w:bCs w:val="1"/>
          <w:sz w:val="20"/>
          <w:szCs w:val="20"/>
          <w:lang w:val="en-GB"/>
        </w:rPr>
        <w:t>DOI</w:t>
      </w:r>
    </w:p>
    <w:p w:rsidR="11031F9B" w:rsidP="17002052" w:rsidRDefault="11031F9B" w14:paraId="797EBB7A" w14:textId="37888269">
      <w:pPr>
        <w:pStyle w:val="Normal"/>
        <w:rPr>
          <w:rFonts w:ascii="Arial" w:hAnsi="Arial" w:cs="Arial"/>
          <w:b w:val="1"/>
          <w:bCs w:val="1"/>
          <w:sz w:val="20"/>
          <w:szCs w:val="20"/>
          <w:lang w:val="en-GB"/>
        </w:rPr>
      </w:pPr>
      <w:r w:rsidRPr="17002052" w:rsidR="11031F9B">
        <w:rPr>
          <w:rFonts w:ascii="Arial" w:hAnsi="Arial" w:cs="Arial"/>
          <w:b w:val="0"/>
          <w:bCs w:val="0"/>
          <w:sz w:val="20"/>
          <w:szCs w:val="20"/>
          <w:lang w:val="en-GB"/>
        </w:rPr>
        <w:t>10.1098/rspb.2020.2523</w:t>
      </w:r>
    </w:p>
    <w:p w:rsidRPr="00840BB2" w:rsidR="002C030F" w:rsidP="16937DF1" w:rsidRDefault="002C030F" w14:paraId="41FAE993" w14:textId="77777777">
      <w:pPr>
        <w:rPr>
          <w:rFonts w:ascii="Arial" w:hAnsi="Arial" w:cs="Arial"/>
          <w:sz w:val="20"/>
          <w:lang w:val="en-GB"/>
        </w:rPr>
      </w:pPr>
    </w:p>
    <w:p w:rsidRPr="00840BB2" w:rsidR="00015F74" w:rsidP="16937DF1" w:rsidRDefault="00015F74" w14:paraId="51DF9633" w14:textId="77777777">
      <w:pPr>
        <w:rPr>
          <w:rFonts w:ascii="Arial" w:hAnsi="Arial" w:cs="Arial"/>
          <w:b/>
          <w:bCs/>
          <w:sz w:val="20"/>
          <w:lang w:val="en-GB"/>
        </w:rPr>
      </w:pPr>
    </w:p>
    <w:p w:rsidR="0053631D" w:rsidRDefault="0053631D" w14:paraId="7702D235" w14:textId="2659A5AB">
      <w:pPr>
        <w:rPr>
          <w:rFonts w:ascii="Arial" w:hAnsi="Arial" w:cs="Arial"/>
          <w:b/>
          <w:bCs/>
          <w:sz w:val="20"/>
          <w:lang w:val="en-GB"/>
        </w:rPr>
      </w:pPr>
      <w:r>
        <w:rPr>
          <w:rFonts w:ascii="Arial" w:hAnsi="Arial" w:cs="Arial"/>
          <w:b/>
          <w:bCs/>
          <w:sz w:val="20"/>
          <w:lang w:val="en-GB"/>
        </w:rPr>
        <w:br w:type="page"/>
      </w:r>
    </w:p>
    <w:p w:rsidR="7F6F6250" w:rsidP="16937DF1" w:rsidRDefault="0CE67973" w14:paraId="33AEC87B" w14:textId="53685FD0">
      <w:pPr>
        <w:pStyle w:val="SMcaption"/>
      </w:pPr>
      <w:bookmarkStart w:name="Tables" w:id="1"/>
      <w:bookmarkStart w:name="MaterialsMethods" w:id="2"/>
      <w:bookmarkEnd w:id="1"/>
      <w:bookmarkEnd w:id="2"/>
      <w:r w:rsidR="0CE67973">
        <w:drawing>
          <wp:inline wp14:editId="32FFF9FC" wp14:anchorId="511D6F6D">
            <wp:extent cx="5353048" cy="3011090"/>
            <wp:effectExtent l="0" t="0" r="0" b="0"/>
            <wp:docPr id="335266051" name="Picture 335266051" title=""/>
            <wp:cNvGraphicFramePr>
              <a:graphicFrameLocks noChangeAspect="1"/>
            </wp:cNvGraphicFramePr>
            <a:graphic>
              <a:graphicData uri="http://schemas.openxmlformats.org/drawingml/2006/picture">
                <pic:pic>
                  <pic:nvPicPr>
                    <pic:cNvPr id="0" name="Picture 335266051"/>
                    <pic:cNvPicPr/>
                  </pic:nvPicPr>
                  <pic:blipFill>
                    <a:blip r:embed="R31a744a3955346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53048" cy="3011090"/>
                    </a:xfrm>
                    <a:prstGeom prst="rect">
                      <a:avLst/>
                    </a:prstGeom>
                  </pic:spPr>
                </pic:pic>
              </a:graphicData>
            </a:graphic>
          </wp:inline>
        </w:drawing>
      </w:r>
    </w:p>
    <w:p w:rsidRPr="00AD619A" w:rsidR="00015F74" w:rsidP="60ED4CB4" w:rsidRDefault="007411A1" w14:paraId="4E4ED6CB" w14:textId="5461F1D8">
      <w:pPr>
        <w:pStyle w:val="SMcaption"/>
        <w:rPr>
          <w:rFonts w:ascii="Arial" w:hAnsi="Arial" w:cs="Arial"/>
          <w:sz w:val="20"/>
          <w:szCs w:val="20"/>
          <w:lang w:val="en-GB"/>
        </w:rPr>
      </w:pPr>
      <w:r w:rsidRPr="60ED4CB4" w:rsidR="007411A1">
        <w:rPr>
          <w:rFonts w:ascii="Arial" w:hAnsi="Arial" w:cs="Arial"/>
          <w:b w:val="1"/>
          <w:bCs w:val="1"/>
          <w:sz w:val="20"/>
          <w:szCs w:val="20"/>
          <w:lang w:val="en-GB"/>
        </w:rPr>
        <w:t>Fig. S1.</w:t>
      </w:r>
      <w:r w:rsidRPr="60ED4CB4" w:rsidR="00B42F9C">
        <w:rPr>
          <w:rFonts w:ascii="Arial" w:hAnsi="Arial" w:cs="Arial"/>
          <w:b w:val="1"/>
          <w:bCs w:val="1"/>
          <w:sz w:val="20"/>
          <w:szCs w:val="20"/>
          <w:lang w:val="en-GB"/>
        </w:rPr>
        <w:t xml:space="preserve"> </w:t>
      </w:r>
      <w:r w:rsidRPr="60ED4CB4" w:rsidR="00C42047">
        <w:rPr>
          <w:rFonts w:ascii="Arial" w:hAnsi="Arial" w:cs="Arial"/>
          <w:b w:val="1"/>
          <w:bCs w:val="1"/>
          <w:sz w:val="20"/>
          <w:szCs w:val="20"/>
          <w:lang w:val="en-GB"/>
        </w:rPr>
        <w:t xml:space="preserve">A dynamic switch in the morphological </w:t>
      </w:r>
      <w:r w:rsidRPr="60ED4CB4" w:rsidR="27C0102C">
        <w:rPr>
          <w:rFonts w:ascii="Arial" w:hAnsi="Arial" w:cs="Arial"/>
          <w:b w:val="1"/>
          <w:bCs w:val="1"/>
          <w:sz w:val="20"/>
          <w:szCs w:val="20"/>
          <w:lang w:val="en-GB"/>
        </w:rPr>
        <w:t>behaviour</w:t>
      </w:r>
      <w:r w:rsidRPr="60ED4CB4" w:rsidR="00C42047">
        <w:rPr>
          <w:rFonts w:ascii="Arial" w:hAnsi="Arial" w:cs="Arial"/>
          <w:b w:val="1"/>
          <w:bCs w:val="1"/>
          <w:sz w:val="20"/>
          <w:szCs w:val="20"/>
          <w:lang w:val="en-GB"/>
        </w:rPr>
        <w:t xml:space="preserve"> within cells selected for </w:t>
      </w:r>
      <w:r w:rsidRPr="60ED4CB4" w:rsidR="41394553">
        <w:rPr>
          <w:rFonts w:ascii="Arial" w:hAnsi="Arial" w:cs="Arial"/>
          <w:b w:val="1"/>
          <w:bCs w:val="1"/>
          <w:sz w:val="20"/>
          <w:szCs w:val="20"/>
          <w:lang w:val="en-GB"/>
        </w:rPr>
        <w:t>coloni</w:t>
      </w:r>
      <w:r w:rsidRPr="60ED4CB4" w:rsidR="08A31150">
        <w:rPr>
          <w:rFonts w:ascii="Arial" w:hAnsi="Arial" w:cs="Arial"/>
          <w:b w:val="1"/>
          <w:bCs w:val="1"/>
          <w:sz w:val="20"/>
          <w:szCs w:val="20"/>
          <w:lang w:val="en-GB"/>
        </w:rPr>
        <w:t>z</w:t>
      </w:r>
      <w:r w:rsidRPr="60ED4CB4" w:rsidR="41394553">
        <w:rPr>
          <w:rFonts w:ascii="Arial" w:hAnsi="Arial" w:cs="Arial"/>
          <w:b w:val="1"/>
          <w:bCs w:val="1"/>
          <w:sz w:val="20"/>
          <w:szCs w:val="20"/>
          <w:lang w:val="en-GB"/>
        </w:rPr>
        <w:t>ation</w:t>
      </w:r>
      <w:r w:rsidRPr="60ED4CB4" w:rsidR="00C42047">
        <w:rPr>
          <w:rFonts w:ascii="Arial" w:hAnsi="Arial" w:cs="Arial"/>
          <w:b w:val="1"/>
          <w:bCs w:val="1"/>
          <w:sz w:val="20"/>
          <w:szCs w:val="20"/>
          <w:lang w:val="en-GB"/>
        </w:rPr>
        <w:t xml:space="preserve"> with data points.</w:t>
      </w:r>
      <w:r w:rsidRPr="60ED4CB4" w:rsidR="00C42047">
        <w:rPr>
          <w:rFonts w:ascii="Arial" w:hAnsi="Arial" w:cs="Arial"/>
          <w:sz w:val="20"/>
          <w:szCs w:val="20"/>
          <w:lang w:val="en-GB"/>
        </w:rPr>
        <w:t xml:space="preserve"> </w:t>
      </w:r>
      <w:r w:rsidRPr="60ED4CB4" w:rsidR="00CF54A3">
        <w:rPr>
          <w:rFonts w:ascii="Arial" w:hAnsi="Arial" w:cs="Arial"/>
          <w:sz w:val="20"/>
          <w:szCs w:val="20"/>
          <w:lang w:val="en-GB"/>
        </w:rPr>
        <w:t xml:space="preserve">The speed of migration (p = </w:t>
      </w:r>
      <w:r w:rsidRPr="60ED4CB4" w:rsidR="533857A9">
        <w:rPr>
          <w:rFonts w:ascii="Arial" w:hAnsi="Arial" w:eastAsia="Arial" w:cs="Arial"/>
          <w:sz w:val="20"/>
          <w:szCs w:val="20"/>
          <w:lang w:val="en-GB"/>
        </w:rPr>
        <w:t>5.418 x10</w:t>
      </w:r>
      <w:r w:rsidRPr="60ED4CB4" w:rsidR="533857A9">
        <w:rPr>
          <w:rFonts w:ascii="Arial" w:hAnsi="Arial" w:eastAsia="Arial" w:cs="Arial"/>
          <w:sz w:val="20"/>
          <w:szCs w:val="20"/>
          <w:vertAlign w:val="superscript"/>
          <w:lang w:val="en-GB"/>
        </w:rPr>
        <w:t>-14</w:t>
      </w:r>
      <w:r w:rsidRPr="60ED4CB4" w:rsidR="00CF54A3">
        <w:rPr>
          <w:rFonts w:ascii="Arial" w:hAnsi="Arial" w:cs="Arial"/>
          <w:sz w:val="20"/>
          <w:szCs w:val="20"/>
          <w:lang w:val="en-GB"/>
        </w:rPr>
        <w:t xml:space="preserve">), the distance to the nearest </w:t>
      </w:r>
      <w:r w:rsidRPr="60ED4CB4" w:rsidR="64F1DDAF">
        <w:rPr>
          <w:rFonts w:ascii="Arial" w:hAnsi="Arial" w:cs="Arial"/>
          <w:sz w:val="20"/>
          <w:szCs w:val="20"/>
          <w:lang w:val="en-GB"/>
        </w:rPr>
        <w:t>neighbour</w:t>
      </w:r>
      <w:r w:rsidRPr="60ED4CB4" w:rsidR="00CF54A3">
        <w:rPr>
          <w:rFonts w:ascii="Arial" w:hAnsi="Arial" w:cs="Arial"/>
          <w:sz w:val="20"/>
          <w:szCs w:val="20"/>
          <w:lang w:val="en-GB"/>
        </w:rPr>
        <w:t xml:space="preserve">ing cell (p = </w:t>
      </w:r>
      <w:r w:rsidRPr="60ED4CB4" w:rsidR="30D2A22B">
        <w:rPr>
          <w:rFonts w:ascii="Arial" w:hAnsi="Arial" w:eastAsia="Arial" w:cs="Arial"/>
          <w:sz w:val="20"/>
          <w:szCs w:val="20"/>
          <w:lang w:val="en-GB"/>
        </w:rPr>
        <w:t>2.207 x10</w:t>
      </w:r>
      <w:r w:rsidRPr="60ED4CB4" w:rsidR="30D2A22B">
        <w:rPr>
          <w:rFonts w:ascii="Arial" w:hAnsi="Arial" w:eastAsia="Arial" w:cs="Arial"/>
          <w:sz w:val="20"/>
          <w:szCs w:val="20"/>
          <w:vertAlign w:val="superscript"/>
          <w:lang w:val="en-GB"/>
        </w:rPr>
        <w:t>-10</w:t>
      </w:r>
      <w:r w:rsidRPr="60ED4CB4" w:rsidR="00CF54A3">
        <w:rPr>
          <w:rFonts w:ascii="Arial" w:hAnsi="Arial" w:cs="Arial"/>
          <w:sz w:val="20"/>
          <w:szCs w:val="20"/>
          <w:lang w:val="en-GB"/>
        </w:rPr>
        <w:t>) and the interaction of the two (</w:t>
      </w:r>
      <w:r w:rsidRPr="60ED4CB4" w:rsidR="1D1B5F8B">
        <w:rPr>
          <w:rFonts w:ascii="Arial" w:hAnsi="Arial" w:eastAsia="Arial" w:cs="Arial"/>
          <w:sz w:val="20"/>
          <w:szCs w:val="20"/>
          <w:lang w:val="en-GB"/>
        </w:rPr>
        <w:t>2.219 x10</w:t>
      </w:r>
      <w:r w:rsidRPr="60ED4CB4" w:rsidR="1D1B5F8B">
        <w:rPr>
          <w:rFonts w:ascii="Arial" w:hAnsi="Arial" w:eastAsia="Arial" w:cs="Arial"/>
          <w:sz w:val="20"/>
          <w:szCs w:val="20"/>
          <w:vertAlign w:val="superscript"/>
          <w:lang w:val="en-GB"/>
        </w:rPr>
        <w:t>-11</w:t>
      </w:r>
      <w:r w:rsidRPr="60ED4CB4" w:rsidR="00CF54A3">
        <w:rPr>
          <w:rFonts w:ascii="Arial" w:hAnsi="Arial" w:cs="Arial"/>
          <w:sz w:val="20"/>
          <w:szCs w:val="20"/>
          <w:lang w:val="en-GB"/>
        </w:rPr>
        <w:t xml:space="preserve">) </w:t>
      </w:r>
      <w:r w:rsidRPr="60ED4CB4" w:rsidR="00C05810">
        <w:rPr>
          <w:rFonts w:ascii="Arial" w:hAnsi="Arial" w:cs="Arial"/>
          <w:sz w:val="20"/>
          <w:szCs w:val="20"/>
          <w:lang w:val="en-GB"/>
        </w:rPr>
        <w:t>was</w:t>
      </w:r>
      <w:r w:rsidRPr="60ED4CB4" w:rsidR="00CF54A3">
        <w:rPr>
          <w:rFonts w:ascii="Arial" w:hAnsi="Arial" w:cs="Arial"/>
          <w:sz w:val="20"/>
          <w:szCs w:val="20"/>
          <w:lang w:val="en-GB"/>
        </w:rPr>
        <w:t xml:space="preserve"> significant in the </w:t>
      </w:r>
      <w:r w:rsidRPr="60ED4CB4" w:rsidR="41394553">
        <w:rPr>
          <w:rFonts w:ascii="Arial" w:hAnsi="Arial" w:cs="Arial"/>
          <w:sz w:val="20"/>
          <w:szCs w:val="20"/>
          <w:lang w:val="en-GB"/>
        </w:rPr>
        <w:t>coloni</w:t>
      </w:r>
      <w:r w:rsidRPr="60ED4CB4" w:rsidR="4E5517A7">
        <w:rPr>
          <w:rFonts w:ascii="Arial" w:hAnsi="Arial" w:cs="Arial"/>
          <w:sz w:val="20"/>
          <w:szCs w:val="20"/>
          <w:lang w:val="en-GB"/>
        </w:rPr>
        <w:t>z</w:t>
      </w:r>
      <w:r w:rsidRPr="60ED4CB4" w:rsidR="41394553">
        <w:rPr>
          <w:rFonts w:ascii="Arial" w:hAnsi="Arial" w:cs="Arial"/>
          <w:sz w:val="20"/>
          <w:szCs w:val="20"/>
          <w:lang w:val="en-GB"/>
        </w:rPr>
        <w:t>ation</w:t>
      </w:r>
      <w:r w:rsidRPr="60ED4CB4" w:rsidR="00CF54A3">
        <w:rPr>
          <w:rFonts w:ascii="Arial" w:hAnsi="Arial" w:cs="Arial"/>
          <w:sz w:val="20"/>
          <w:szCs w:val="20"/>
          <w:lang w:val="en-GB"/>
        </w:rPr>
        <w:t xml:space="preserve"> population (N = 210). </w:t>
      </w:r>
      <w:r w:rsidRPr="60ED4CB4" w:rsidR="00C42047">
        <w:rPr>
          <w:rFonts w:ascii="Arial" w:hAnsi="Arial" w:cs="Arial"/>
          <w:sz w:val="20"/>
          <w:szCs w:val="20"/>
          <w:lang w:val="en-GB"/>
        </w:rPr>
        <w:t>(</w:t>
      </w:r>
      <w:r w:rsidRPr="60ED4CB4" w:rsidR="00C42047">
        <w:rPr>
          <w:rFonts w:ascii="Arial" w:hAnsi="Arial" w:cs="Arial"/>
          <w:b w:val="1"/>
          <w:bCs w:val="1"/>
          <w:sz w:val="20"/>
          <w:szCs w:val="20"/>
          <w:lang w:val="en-GB"/>
        </w:rPr>
        <w:t>A</w:t>
      </w:r>
      <w:r w:rsidRPr="60ED4CB4" w:rsidR="00C42047">
        <w:rPr>
          <w:rFonts w:ascii="Arial" w:hAnsi="Arial" w:cs="Arial"/>
          <w:sz w:val="20"/>
          <w:szCs w:val="20"/>
          <w:lang w:val="en-GB"/>
        </w:rPr>
        <w:t xml:space="preserve">) The natural log-transformed rate of morphological change against the natural log-transformed speed of migration. The data point </w:t>
      </w:r>
      <w:r w:rsidRPr="60ED4CB4" w:rsidR="0053631D">
        <w:rPr>
          <w:rFonts w:ascii="Arial" w:hAnsi="Arial" w:cs="Arial"/>
          <w:sz w:val="20"/>
          <w:szCs w:val="20"/>
          <w:lang w:val="en-GB"/>
        </w:rPr>
        <w:t>colour</w:t>
      </w:r>
      <w:r w:rsidRPr="60ED4CB4" w:rsidR="00C42047">
        <w:rPr>
          <w:rFonts w:ascii="Arial" w:hAnsi="Arial" w:cs="Arial"/>
          <w:sz w:val="20"/>
          <w:szCs w:val="20"/>
          <w:lang w:val="en-GB"/>
        </w:rPr>
        <w:t xml:space="preserve"> relates to the distance from a </w:t>
      </w:r>
      <w:r w:rsidRPr="60ED4CB4" w:rsidR="64F1DDAF">
        <w:rPr>
          <w:rFonts w:ascii="Arial" w:hAnsi="Arial" w:cs="Arial"/>
          <w:sz w:val="20"/>
          <w:szCs w:val="20"/>
          <w:lang w:val="en-GB"/>
        </w:rPr>
        <w:t>neighbour</w:t>
      </w:r>
      <w:r w:rsidRPr="60ED4CB4" w:rsidR="00C42047">
        <w:rPr>
          <w:rFonts w:ascii="Arial" w:hAnsi="Arial" w:cs="Arial"/>
          <w:sz w:val="20"/>
          <w:szCs w:val="20"/>
          <w:lang w:val="en-GB"/>
        </w:rPr>
        <w:t xml:space="preserve">ing cell. The lighter the data point the further away from a </w:t>
      </w:r>
      <w:r w:rsidRPr="60ED4CB4" w:rsidR="2191DCEB">
        <w:rPr>
          <w:rFonts w:ascii="Arial" w:hAnsi="Arial" w:cs="Arial"/>
          <w:sz w:val="20"/>
          <w:szCs w:val="20"/>
          <w:lang w:val="en-GB"/>
        </w:rPr>
        <w:t>neighbour</w:t>
      </w:r>
      <w:r w:rsidRPr="60ED4CB4" w:rsidR="00C42047">
        <w:rPr>
          <w:rFonts w:ascii="Arial" w:hAnsi="Arial" w:cs="Arial"/>
          <w:sz w:val="20"/>
          <w:szCs w:val="20"/>
          <w:lang w:val="en-GB"/>
        </w:rPr>
        <w:t xml:space="preserve">ing cell. The shaded lines represent the predicted natural log-transformed rate of morphological change against the natural log-transformed speed of migration. The shaded lines indicate the natural log-transformed nearest </w:t>
      </w:r>
      <w:r w:rsidRPr="60ED4CB4" w:rsidR="2191DCEB">
        <w:rPr>
          <w:rFonts w:ascii="Arial" w:hAnsi="Arial" w:cs="Arial"/>
          <w:sz w:val="20"/>
          <w:szCs w:val="20"/>
          <w:lang w:val="en-GB"/>
        </w:rPr>
        <w:t>neighbour</w:t>
      </w:r>
      <w:r w:rsidRPr="60ED4CB4" w:rsidR="00C42047">
        <w:rPr>
          <w:rFonts w:ascii="Arial" w:hAnsi="Arial" w:cs="Arial"/>
          <w:sz w:val="20"/>
          <w:szCs w:val="20"/>
          <w:lang w:val="en-GB"/>
        </w:rPr>
        <w:t xml:space="preserve"> percentile. The light the line the further away from a </w:t>
      </w:r>
      <w:r w:rsidRPr="60ED4CB4" w:rsidR="30C00567">
        <w:rPr>
          <w:rFonts w:ascii="Arial" w:hAnsi="Arial" w:cs="Arial"/>
          <w:sz w:val="20"/>
          <w:szCs w:val="20"/>
          <w:lang w:val="en-GB"/>
        </w:rPr>
        <w:t>neighbour</w:t>
      </w:r>
      <w:r w:rsidRPr="60ED4CB4" w:rsidR="00C42047">
        <w:rPr>
          <w:rFonts w:ascii="Arial" w:hAnsi="Arial" w:cs="Arial"/>
          <w:sz w:val="20"/>
          <w:szCs w:val="20"/>
          <w:lang w:val="en-GB"/>
        </w:rPr>
        <w:t>ing cell. (</w:t>
      </w:r>
      <w:r w:rsidRPr="60ED4CB4" w:rsidR="00C42047">
        <w:rPr>
          <w:rFonts w:ascii="Arial" w:hAnsi="Arial" w:cs="Arial"/>
          <w:b w:val="1"/>
          <w:bCs w:val="1"/>
          <w:sz w:val="20"/>
          <w:szCs w:val="20"/>
          <w:lang w:val="en-GB"/>
        </w:rPr>
        <w:t>B</w:t>
      </w:r>
      <w:r w:rsidRPr="60ED4CB4" w:rsidR="00C42047">
        <w:rPr>
          <w:rFonts w:ascii="Arial" w:hAnsi="Arial" w:cs="Arial"/>
          <w:sz w:val="20"/>
          <w:szCs w:val="20"/>
          <w:lang w:val="en-GB"/>
        </w:rPr>
        <w:t xml:space="preserve">) The natural log-transformed rate of morphological change against the natural log-transformed nearest </w:t>
      </w:r>
      <w:r w:rsidRPr="60ED4CB4" w:rsidR="30C00567">
        <w:rPr>
          <w:rFonts w:ascii="Arial" w:hAnsi="Arial" w:cs="Arial"/>
          <w:sz w:val="20"/>
          <w:szCs w:val="20"/>
          <w:lang w:val="en-GB"/>
        </w:rPr>
        <w:t>neighbour</w:t>
      </w:r>
      <w:r w:rsidRPr="60ED4CB4" w:rsidR="00C42047">
        <w:rPr>
          <w:rFonts w:ascii="Arial" w:hAnsi="Arial" w:cs="Arial"/>
          <w:sz w:val="20"/>
          <w:szCs w:val="20"/>
          <w:lang w:val="en-GB"/>
        </w:rPr>
        <w:t xml:space="preserve"> distance. The data point </w:t>
      </w:r>
      <w:r w:rsidRPr="60ED4CB4" w:rsidR="0053631D">
        <w:rPr>
          <w:rFonts w:ascii="Arial" w:hAnsi="Arial" w:cs="Arial"/>
          <w:sz w:val="20"/>
          <w:szCs w:val="20"/>
          <w:lang w:val="en-GB"/>
        </w:rPr>
        <w:t>colour</w:t>
      </w:r>
      <w:r w:rsidRPr="60ED4CB4" w:rsidR="00C42047">
        <w:rPr>
          <w:rFonts w:ascii="Arial" w:hAnsi="Arial" w:cs="Arial"/>
          <w:sz w:val="20"/>
          <w:szCs w:val="20"/>
          <w:lang w:val="en-GB"/>
        </w:rPr>
        <w:t xml:space="preserve"> relates to the speed of migration. The lighter the data point the faster the speed of migration. The shaded lines represent the predicted natural log-transformed rate of morphological change against the natural log-transformed nearest </w:t>
      </w:r>
      <w:r w:rsidRPr="60ED4CB4" w:rsidR="4635C681">
        <w:rPr>
          <w:rFonts w:ascii="Arial" w:hAnsi="Arial" w:cs="Arial"/>
          <w:sz w:val="20"/>
          <w:szCs w:val="20"/>
          <w:lang w:val="en-GB"/>
        </w:rPr>
        <w:t>neighbour</w:t>
      </w:r>
      <w:r w:rsidRPr="60ED4CB4" w:rsidR="00C42047">
        <w:rPr>
          <w:rFonts w:ascii="Arial" w:hAnsi="Arial" w:cs="Arial"/>
          <w:sz w:val="20"/>
          <w:szCs w:val="20"/>
          <w:lang w:val="en-GB"/>
        </w:rPr>
        <w:t xml:space="preserve"> distance. The shaded lines indicate the speed of migration percentile. The lighter the line the faster the speed of migration. The shaded region indicates the range of distances over which there is no significant relationship in the rate of morphological change and the speed of migration when the data is </w:t>
      </w:r>
      <w:r w:rsidRPr="60ED4CB4" w:rsidR="00F21C2B">
        <w:rPr>
          <w:rFonts w:ascii="Arial" w:hAnsi="Arial" w:cs="Arial"/>
          <w:sz w:val="20"/>
          <w:szCs w:val="20"/>
          <w:lang w:val="en-GB"/>
        </w:rPr>
        <w:t>centred</w:t>
      </w:r>
      <w:r w:rsidRPr="60ED4CB4" w:rsidR="00C42047">
        <w:rPr>
          <w:rFonts w:ascii="Arial" w:hAnsi="Arial" w:cs="Arial"/>
          <w:sz w:val="20"/>
          <w:szCs w:val="20"/>
          <w:lang w:val="en-GB"/>
        </w:rPr>
        <w:t xml:space="preserve"> at these distances, between</w:t>
      </w:r>
      <w:r w:rsidRPr="60ED4CB4" w:rsidR="16DEB4E9">
        <w:rPr>
          <w:rFonts w:ascii="Arial" w:hAnsi="Arial" w:eastAsia="Arial" w:cs="Arial"/>
          <w:sz w:val="20"/>
          <w:szCs w:val="20"/>
          <w:lang w:val="en-GB"/>
        </w:rPr>
        <w:t xml:space="preserve"> 57.9µm and 147.2µm.</w:t>
      </w:r>
    </w:p>
    <w:p w:rsidR="009A5287" w:rsidP="16937DF1" w:rsidRDefault="009A5287" w14:paraId="419317AB" w14:textId="69290811">
      <w:pPr>
        <w:pStyle w:val="SMcaption"/>
        <w:rPr>
          <w:rFonts w:ascii="Arial" w:hAnsi="Arial" w:cs="Arial"/>
          <w:sz w:val="20"/>
          <w:lang w:val="en-GB"/>
        </w:rPr>
      </w:pPr>
    </w:p>
    <w:p w:rsidRPr="00C42047" w:rsidR="00477182" w:rsidP="0979A634" w:rsidRDefault="1E677BBD" w14:paraId="6888F658" w14:textId="5A7E859A">
      <w:pPr>
        <w:rPr>
          <w:rFonts w:ascii="Arial" w:hAnsi="Arial" w:cs="Arial"/>
          <w:sz w:val="20"/>
          <w:szCs w:val="20"/>
          <w:lang w:val="en-GB"/>
        </w:rPr>
      </w:pPr>
      <w:r w:rsidR="1E677BBD">
        <w:drawing>
          <wp:inline wp14:editId="508A5918" wp14:anchorId="55709834">
            <wp:extent cx="5343525" cy="3005733"/>
            <wp:effectExtent l="0" t="0" r="0" b="0"/>
            <wp:docPr id="1639785397" name="Picture 1639785397" title=""/>
            <wp:cNvGraphicFramePr>
              <a:graphicFrameLocks noChangeAspect="1"/>
            </wp:cNvGraphicFramePr>
            <a:graphic>
              <a:graphicData uri="http://schemas.openxmlformats.org/drawingml/2006/picture">
                <pic:pic>
                  <pic:nvPicPr>
                    <pic:cNvPr id="0" name="Picture 1639785397"/>
                    <pic:cNvPicPr/>
                  </pic:nvPicPr>
                  <pic:blipFill>
                    <a:blip r:embed="Rcf8332c879e446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43525" cy="3005733"/>
                    </a:xfrm>
                    <a:prstGeom prst="rect">
                      <a:avLst/>
                    </a:prstGeom>
                  </pic:spPr>
                </pic:pic>
              </a:graphicData>
            </a:graphic>
          </wp:inline>
        </w:drawing>
      </w:r>
      <w:r w:rsidRPr="60ED4CB4" w:rsidR="00112C5B">
        <w:rPr>
          <w:rFonts w:ascii="Arial" w:hAnsi="Arial" w:cs="Arial"/>
          <w:b w:val="1"/>
          <w:bCs w:val="1"/>
          <w:sz w:val="20"/>
          <w:szCs w:val="20"/>
          <w:lang w:val="en-GB"/>
        </w:rPr>
        <w:t>Fig. S2</w:t>
      </w:r>
      <w:r w:rsidRPr="60ED4CB4" w:rsidR="00B42F9C">
        <w:rPr>
          <w:rFonts w:ascii="Arial" w:hAnsi="Arial" w:cs="Arial"/>
          <w:b w:val="1"/>
          <w:bCs w:val="1"/>
          <w:sz w:val="20"/>
          <w:szCs w:val="20"/>
          <w:lang w:val="en-GB"/>
        </w:rPr>
        <w:t xml:space="preserve">. </w:t>
      </w:r>
      <w:r w:rsidRPr="60ED4CB4" w:rsidR="00C42047">
        <w:rPr>
          <w:rFonts w:ascii="Arial" w:hAnsi="Arial" w:cs="Arial"/>
          <w:b w:val="1"/>
          <w:bCs w:val="1"/>
          <w:sz w:val="20"/>
          <w:szCs w:val="20"/>
          <w:lang w:val="en-GB"/>
        </w:rPr>
        <w:t>The reduced model for each treatment after the removal of influential data points.</w:t>
      </w:r>
      <w:r w:rsidRPr="60ED4CB4" w:rsidR="00C42047">
        <w:rPr>
          <w:rFonts w:ascii="Arial" w:hAnsi="Arial" w:cs="Arial"/>
          <w:sz w:val="20"/>
          <w:szCs w:val="20"/>
          <w:lang w:val="en-GB"/>
        </w:rPr>
        <w:t xml:space="preserve"> The natural log-transformed rate of morphological change against the natural log-transformed speed of migration. In the </w:t>
      </w:r>
      <w:r w:rsidRPr="60ED4CB4" w:rsidR="1D2B6A91">
        <w:rPr>
          <w:rFonts w:ascii="Arial" w:hAnsi="Arial" w:cs="Arial"/>
          <w:sz w:val="20"/>
          <w:szCs w:val="20"/>
          <w:lang w:val="en-GB"/>
        </w:rPr>
        <w:t>coloni</w:t>
      </w:r>
      <w:r w:rsidRPr="60ED4CB4" w:rsidR="7DE5FF83">
        <w:rPr>
          <w:rFonts w:ascii="Arial" w:hAnsi="Arial" w:cs="Arial"/>
          <w:sz w:val="20"/>
          <w:szCs w:val="20"/>
          <w:lang w:val="en-GB"/>
        </w:rPr>
        <w:t>z</w:t>
      </w:r>
      <w:r w:rsidRPr="60ED4CB4" w:rsidR="1D2B6A91">
        <w:rPr>
          <w:rFonts w:ascii="Arial" w:hAnsi="Arial" w:cs="Arial"/>
          <w:sz w:val="20"/>
          <w:szCs w:val="20"/>
          <w:lang w:val="en-GB"/>
        </w:rPr>
        <w:t>ation</w:t>
      </w:r>
      <w:r w:rsidRPr="60ED4CB4" w:rsidR="00C42047">
        <w:rPr>
          <w:rFonts w:ascii="Arial" w:hAnsi="Arial" w:cs="Arial"/>
          <w:sz w:val="20"/>
          <w:szCs w:val="20"/>
          <w:lang w:val="en-GB"/>
        </w:rPr>
        <w:t xml:space="preserve"> populations the shaded lines indicate the natural log-transformed nearest </w:t>
      </w:r>
      <w:r w:rsidRPr="60ED4CB4" w:rsidR="4635C681">
        <w:rPr>
          <w:rFonts w:ascii="Arial" w:hAnsi="Arial" w:cs="Arial"/>
          <w:sz w:val="20"/>
          <w:szCs w:val="20"/>
          <w:lang w:val="en-GB"/>
        </w:rPr>
        <w:t>neighbour</w:t>
      </w:r>
      <w:r w:rsidRPr="60ED4CB4" w:rsidR="00C42047">
        <w:rPr>
          <w:rFonts w:ascii="Arial" w:hAnsi="Arial" w:cs="Arial"/>
          <w:sz w:val="20"/>
          <w:szCs w:val="20"/>
          <w:lang w:val="en-GB"/>
        </w:rPr>
        <w:t xml:space="preserve"> percentile. The lighter the line the further away from a </w:t>
      </w:r>
      <w:r w:rsidRPr="60ED4CB4" w:rsidR="6E86D5F9">
        <w:rPr>
          <w:rFonts w:ascii="Arial" w:hAnsi="Arial" w:cs="Arial"/>
          <w:sz w:val="20"/>
          <w:szCs w:val="20"/>
          <w:lang w:val="en-GB"/>
        </w:rPr>
        <w:t>neighbour</w:t>
      </w:r>
      <w:r w:rsidRPr="60ED4CB4" w:rsidR="00C42047">
        <w:rPr>
          <w:rFonts w:ascii="Arial" w:hAnsi="Arial" w:cs="Arial"/>
          <w:sz w:val="20"/>
          <w:szCs w:val="20"/>
          <w:lang w:val="en-GB"/>
        </w:rPr>
        <w:t>ing cell. Influential data points, Cook's distance &gt; (4 / N) where N is the sample size</w:t>
      </w:r>
      <w:r w:rsidRPr="60ED4CB4" w:rsidR="00201361">
        <w:rPr>
          <w:rFonts w:ascii="Arial" w:hAnsi="Arial" w:cs="Arial"/>
          <w:sz w:val="20"/>
          <w:szCs w:val="20"/>
          <w:lang w:val="en-GB"/>
        </w:rPr>
        <w:t xml:space="preserve"> </w:t>
      </w:r>
      <w:r w:rsidRPr="60ED4CB4">
        <w:rPr>
          <w:rFonts w:ascii="Arial" w:hAnsi="Arial" w:cs="Arial"/>
          <w:sz w:val="20"/>
          <w:szCs w:val="20"/>
        </w:rPr>
        <w:fldChar w:fldCharType="begin" w:fldLock="true"/>
      </w:r>
      <w:r w:rsidRPr="60ED4CB4">
        <w:rPr>
          <w:rFonts w:ascii="Arial" w:hAnsi="Arial" w:cs="Arial"/>
          <w:sz w:val="20"/>
          <w:szCs w:val="20"/>
        </w:rPr>
        <w:instrText xml:space="preserve">ADDIN CSL_CITATION {"citationItems":[{"id":"ITEM-1","itemData":{"DOI":"10.1177/0049124185013004004","ISSN":"0049-1241","abstract":"Gauging the robustness of regression estimates is especially important in small-sample analyses. Here, we examine recent developments in the detection and analysis of outliers and influential cases in multivariate studies. Specifically, we review five diagnostic procedures: partial regression plots, the ?hat? matrix, studentized residuals, DFITSi, and DFBETASij. The main part of the article presents two empirical applications (drawn from recent cross-national studies) that show (a) how the diagnostic procedures can be incorporated into the research process, and (b) what we can learn from them. These applications serve to underscore the point that the diagnostics cannot be employed mechanically. Instead, once a case is diagnosed as influential, remedial action requires a firm substantive grounding. Although case deletion may be warranted in some circumstances, it is an extreme remedy of last resort that should not be routinely followed. The more fruitful approach is to ask why a given case is influential. As our applications indicate, the diagnostics can be helpful in isolating such problems as sample composition, specification error, and errors in measurement.","author":[{"dropping-particle":"","family":"Bollen","given":"Kenneth A","non-dropping-particle":"","parse-names":false,"suffix":""},{"dropping-particle":"","family":"Jackman","given":"Robert W","non-dropping-particle":"","parse-names":false,"suffix":""}],"container-title":"Sociological Methods &amp; Research","id":"ITEM-1","issue":"4","issued":{"date-parts":[["1985","5","1"]]},"note":"doi: 10.1177/0049124185013004004","page":"510-542","publisher":"SAGE Publications Inc","title":"Regression Diagnostics: An Expository Treatment of Outliers and Influential Cases","type":"article-journal","volume":"13"},"uris":["http://www.mendeley.com/documents/?uuid=becf4013-40e2-4ebd-82cd-63a3dc90f9f1"]}],"mendeley":{"formattedCitation":"(1)","plainTextFormattedCitation":"(1)","previouslyFormattedCitation":"(1)"},"properties":{"noteIndex":0},"schema":"https://github.com/citation-style-language/schema/raw/master/csl-citation.json"}</w:instrText>
      </w:r>
      <w:r w:rsidRPr="60ED4CB4">
        <w:rPr>
          <w:rFonts w:ascii="Arial" w:hAnsi="Arial" w:cs="Arial"/>
          <w:sz w:val="20"/>
          <w:szCs w:val="20"/>
        </w:rPr>
        <w:fldChar w:fldCharType="separate"/>
      </w:r>
      <w:r w:rsidRPr="60ED4CB4" w:rsidR="00201361">
        <w:rPr>
          <w:rFonts w:ascii="Arial" w:hAnsi="Arial" w:cs="Arial"/>
          <w:noProof/>
          <w:sz w:val="20"/>
          <w:szCs w:val="20"/>
        </w:rPr>
        <w:t>(1)</w:t>
      </w:r>
      <w:r w:rsidRPr="60ED4CB4">
        <w:rPr>
          <w:rFonts w:ascii="Arial" w:hAnsi="Arial" w:cs="Arial"/>
          <w:sz w:val="20"/>
          <w:szCs w:val="20"/>
        </w:rPr>
        <w:fldChar w:fldCharType="end"/>
      </w:r>
      <w:r w:rsidRPr="60ED4CB4" w:rsidR="00761231">
        <w:rPr>
          <w:rFonts w:ascii="Arial" w:hAnsi="Arial" w:cs="Arial"/>
          <w:sz w:val="20"/>
          <w:szCs w:val="20"/>
          <w:lang w:val="en-GB"/>
        </w:rPr>
        <w:t>,</w:t>
      </w:r>
      <w:r w:rsidRPr="60ED4CB4" w:rsidR="00C42047">
        <w:rPr>
          <w:rFonts w:ascii="Arial" w:hAnsi="Arial" w:cs="Arial"/>
          <w:sz w:val="20"/>
          <w:szCs w:val="20"/>
          <w:lang w:val="en-GB"/>
        </w:rPr>
        <w:t xml:space="preserve"> have been removed to test whether a small subset of points influencing the result. After the removal of these </w:t>
      </w:r>
      <w:proofErr w:type="gramStart"/>
      <w:r w:rsidRPr="60ED4CB4" w:rsidR="00C42047">
        <w:rPr>
          <w:rFonts w:ascii="Arial" w:hAnsi="Arial" w:cs="Arial"/>
          <w:sz w:val="20"/>
          <w:szCs w:val="20"/>
          <w:lang w:val="en-GB"/>
        </w:rPr>
        <w:t>points</w:t>
      </w:r>
      <w:proofErr w:type="gramEnd"/>
      <w:r w:rsidRPr="60ED4CB4" w:rsidR="00C42047">
        <w:rPr>
          <w:rFonts w:ascii="Arial" w:hAnsi="Arial" w:cs="Arial"/>
          <w:sz w:val="20"/>
          <w:szCs w:val="20"/>
          <w:lang w:val="en-GB"/>
        </w:rPr>
        <w:t xml:space="preserve"> we found that the speed of migration was still significant in the escape and invasion populations. Likewise, we found that the speed of migration, distance to the nearest </w:t>
      </w:r>
      <w:r w:rsidRPr="60ED4CB4" w:rsidR="6E86D5F9">
        <w:rPr>
          <w:rFonts w:ascii="Arial" w:hAnsi="Arial" w:cs="Arial"/>
          <w:sz w:val="20"/>
          <w:szCs w:val="20"/>
          <w:lang w:val="en-GB"/>
        </w:rPr>
        <w:t>neighbour</w:t>
      </w:r>
      <w:r w:rsidRPr="60ED4CB4" w:rsidR="00C42047">
        <w:rPr>
          <w:rFonts w:ascii="Arial" w:hAnsi="Arial" w:cs="Arial"/>
          <w:sz w:val="20"/>
          <w:szCs w:val="20"/>
          <w:lang w:val="en-GB"/>
        </w:rPr>
        <w:t xml:space="preserve">ing cell and the interaction of the two was still significant in the </w:t>
      </w:r>
      <w:r w:rsidRPr="60ED4CB4" w:rsidR="2C6FBE84">
        <w:rPr>
          <w:rFonts w:ascii="Arial" w:hAnsi="Arial" w:cs="Arial"/>
          <w:sz w:val="20"/>
          <w:szCs w:val="20"/>
          <w:lang w:val="en-GB"/>
        </w:rPr>
        <w:t>coloni</w:t>
      </w:r>
      <w:r w:rsidRPr="60ED4CB4" w:rsidR="026AA37D">
        <w:rPr>
          <w:rFonts w:ascii="Arial" w:hAnsi="Arial" w:cs="Arial"/>
          <w:sz w:val="20"/>
          <w:szCs w:val="20"/>
          <w:lang w:val="en-GB"/>
        </w:rPr>
        <w:t>z</w:t>
      </w:r>
      <w:r w:rsidRPr="60ED4CB4" w:rsidR="2C6FBE84">
        <w:rPr>
          <w:rFonts w:ascii="Arial" w:hAnsi="Arial" w:cs="Arial"/>
          <w:sz w:val="20"/>
          <w:szCs w:val="20"/>
          <w:lang w:val="en-GB"/>
        </w:rPr>
        <w:t>ation</w:t>
      </w:r>
      <w:r w:rsidRPr="60ED4CB4" w:rsidR="00C42047">
        <w:rPr>
          <w:rFonts w:ascii="Arial" w:hAnsi="Arial" w:cs="Arial"/>
          <w:sz w:val="20"/>
          <w:szCs w:val="20"/>
          <w:lang w:val="en-GB"/>
        </w:rPr>
        <w:t xml:space="preserve"> populations.</w:t>
      </w:r>
    </w:p>
    <w:p w:rsidR="00C42047" w:rsidP="16937DF1" w:rsidRDefault="00C42047" w14:paraId="695F73DE" w14:textId="1022DD91">
      <w:pPr>
        <w:rPr>
          <w:rFonts w:ascii="Arial" w:hAnsi="Arial" w:cs="Arial"/>
          <w:sz w:val="20"/>
          <w:lang w:val="en-GB"/>
        </w:rPr>
      </w:pPr>
      <w:r w:rsidRPr="16937DF1">
        <w:rPr>
          <w:rFonts w:ascii="Arial" w:hAnsi="Arial" w:cs="Arial"/>
          <w:sz w:val="20"/>
          <w:lang w:val="en-GB"/>
        </w:rPr>
        <w:br w:type="page"/>
      </w:r>
    </w:p>
    <w:tbl>
      <w:tblPr>
        <w:tblStyle w:val="TableGrid"/>
        <w:tblW w:w="0" w:type="auto"/>
        <w:tblLayout w:type="fixed"/>
        <w:tblLook w:val="06A0" w:firstRow="1" w:lastRow="0" w:firstColumn="1" w:lastColumn="0" w:noHBand="1" w:noVBand="1"/>
      </w:tblPr>
      <w:tblGrid>
        <w:gridCol w:w="1440"/>
        <w:gridCol w:w="2265"/>
        <w:gridCol w:w="2325"/>
        <w:gridCol w:w="1395"/>
        <w:gridCol w:w="1544"/>
        <w:gridCol w:w="592"/>
      </w:tblGrid>
      <w:tr w:rsidR="00C42047" w:rsidTr="60ED4CB4" w14:paraId="36C1EAB9" w14:textId="77777777">
        <w:tc>
          <w:tcPr>
            <w:tcW w:w="1440" w:type="dxa"/>
            <w:tcMar/>
          </w:tcPr>
          <w:p w:rsidR="00C42047" w:rsidP="16937DF1" w:rsidRDefault="00C42047" w14:paraId="3E4D57E1" w14:textId="77777777">
            <w:pPr>
              <w:pStyle w:val="Paragraph"/>
              <w:ind w:firstLine="0"/>
              <w:rPr>
                <w:b/>
                <w:bCs/>
                <w:sz w:val="22"/>
                <w:szCs w:val="22"/>
              </w:rPr>
            </w:pPr>
            <w:r w:rsidRPr="16937DF1">
              <w:rPr>
                <w:b/>
                <w:bCs/>
                <w:sz w:val="22"/>
                <w:szCs w:val="22"/>
              </w:rPr>
              <w:lastRenderedPageBreak/>
              <w:t>Treatment</w:t>
            </w:r>
          </w:p>
        </w:tc>
        <w:tc>
          <w:tcPr>
            <w:tcW w:w="2265" w:type="dxa"/>
            <w:tcMar/>
          </w:tcPr>
          <w:p w:rsidR="00C42047" w:rsidP="16937DF1" w:rsidRDefault="00C42047" w14:paraId="383118CC" w14:textId="77777777">
            <w:pPr>
              <w:pStyle w:val="Paragraph"/>
              <w:ind w:firstLine="0"/>
              <w:rPr>
                <w:b/>
                <w:bCs/>
                <w:sz w:val="22"/>
                <w:szCs w:val="22"/>
              </w:rPr>
            </w:pPr>
            <w:r w:rsidRPr="16937DF1">
              <w:rPr>
                <w:b/>
                <w:bCs/>
                <w:sz w:val="22"/>
                <w:szCs w:val="22"/>
              </w:rPr>
              <w:t>Mean rate of morphological change</w:t>
            </w:r>
          </w:p>
        </w:tc>
        <w:tc>
          <w:tcPr>
            <w:tcW w:w="2325" w:type="dxa"/>
            <w:tcMar/>
          </w:tcPr>
          <w:p w:rsidR="00C42047" w:rsidP="16937DF1" w:rsidRDefault="00C42047" w14:paraId="4E911D94" w14:textId="77777777">
            <w:pPr>
              <w:pStyle w:val="Paragraph"/>
              <w:ind w:firstLine="0"/>
              <w:rPr>
                <w:b/>
                <w:bCs/>
                <w:sz w:val="22"/>
                <w:szCs w:val="22"/>
              </w:rPr>
            </w:pPr>
            <w:r w:rsidRPr="16937DF1">
              <w:rPr>
                <w:b/>
                <w:bCs/>
                <w:sz w:val="22"/>
                <w:szCs w:val="22"/>
              </w:rPr>
              <w:t>SE rate of morphological change</w:t>
            </w:r>
          </w:p>
        </w:tc>
        <w:tc>
          <w:tcPr>
            <w:tcW w:w="1395" w:type="dxa"/>
            <w:tcMar/>
          </w:tcPr>
          <w:p w:rsidR="00C42047" w:rsidP="16937DF1" w:rsidRDefault="00C42047" w14:paraId="30289DF1" w14:textId="77777777">
            <w:pPr>
              <w:pStyle w:val="Paragraph"/>
              <w:ind w:firstLine="0"/>
              <w:rPr>
                <w:b/>
                <w:bCs/>
                <w:sz w:val="22"/>
                <w:szCs w:val="22"/>
              </w:rPr>
            </w:pPr>
            <w:r w:rsidRPr="16937DF1">
              <w:rPr>
                <w:b/>
                <w:bCs/>
                <w:sz w:val="22"/>
                <w:szCs w:val="22"/>
              </w:rPr>
              <w:t>Mean speed of migration</w:t>
            </w:r>
          </w:p>
        </w:tc>
        <w:tc>
          <w:tcPr>
            <w:tcW w:w="1544" w:type="dxa"/>
            <w:tcMar/>
          </w:tcPr>
          <w:p w:rsidR="00C42047" w:rsidP="16937DF1" w:rsidRDefault="00C42047" w14:paraId="214004F6" w14:textId="77777777">
            <w:pPr>
              <w:pStyle w:val="Paragraph"/>
              <w:ind w:firstLine="0"/>
              <w:rPr>
                <w:b/>
                <w:bCs/>
                <w:sz w:val="22"/>
                <w:szCs w:val="22"/>
              </w:rPr>
            </w:pPr>
            <w:r w:rsidRPr="16937DF1">
              <w:rPr>
                <w:b/>
                <w:bCs/>
                <w:sz w:val="22"/>
                <w:szCs w:val="22"/>
              </w:rPr>
              <w:t>SE speed of migration</w:t>
            </w:r>
          </w:p>
        </w:tc>
        <w:tc>
          <w:tcPr>
            <w:tcW w:w="592" w:type="dxa"/>
            <w:tcMar/>
          </w:tcPr>
          <w:p w:rsidR="00C42047" w:rsidP="16937DF1" w:rsidRDefault="00C42047" w14:paraId="300B261D" w14:textId="77777777">
            <w:pPr>
              <w:pStyle w:val="Paragraph"/>
              <w:ind w:firstLine="0"/>
              <w:rPr>
                <w:b/>
                <w:bCs/>
                <w:sz w:val="22"/>
                <w:szCs w:val="22"/>
              </w:rPr>
            </w:pPr>
            <w:r w:rsidRPr="16937DF1">
              <w:rPr>
                <w:b/>
                <w:bCs/>
                <w:sz w:val="22"/>
                <w:szCs w:val="22"/>
              </w:rPr>
              <w:t>N</w:t>
            </w:r>
          </w:p>
        </w:tc>
      </w:tr>
      <w:tr w:rsidR="00C42047" w:rsidTr="60ED4CB4" w14:paraId="09459E82" w14:textId="77777777">
        <w:tc>
          <w:tcPr>
            <w:tcW w:w="1440" w:type="dxa"/>
            <w:tcMar/>
          </w:tcPr>
          <w:p w:rsidR="00C42047" w:rsidP="16937DF1" w:rsidRDefault="00C42047" w14:paraId="485679EC" w14:textId="77777777">
            <w:pPr>
              <w:pStyle w:val="Paragraph"/>
              <w:ind w:firstLine="0"/>
              <w:rPr>
                <w:sz w:val="22"/>
                <w:szCs w:val="22"/>
              </w:rPr>
            </w:pPr>
            <w:r w:rsidRPr="16937DF1">
              <w:rPr>
                <w:sz w:val="22"/>
                <w:szCs w:val="22"/>
              </w:rPr>
              <w:t>Ancestor</w:t>
            </w:r>
          </w:p>
        </w:tc>
        <w:tc>
          <w:tcPr>
            <w:tcW w:w="2265" w:type="dxa"/>
            <w:tcMar/>
          </w:tcPr>
          <w:p w:rsidR="00C42047" w:rsidP="16937DF1" w:rsidRDefault="00C42047" w14:paraId="38902DD9" w14:textId="543CF748">
            <w:pPr>
              <w:pStyle w:val="Paragraph"/>
              <w:ind w:firstLine="0"/>
              <w:rPr>
                <w:sz w:val="22"/>
                <w:szCs w:val="22"/>
              </w:rPr>
            </w:pPr>
            <w:r w:rsidRPr="41E913BB">
              <w:rPr>
                <w:sz w:val="22"/>
                <w:szCs w:val="22"/>
              </w:rPr>
              <w:t>4.78</w:t>
            </w:r>
            <w:r w:rsidRPr="41E913BB" w:rsidR="6A688074">
              <w:rPr>
                <w:sz w:val="22"/>
                <w:szCs w:val="22"/>
              </w:rPr>
              <w:t>2</w:t>
            </w:r>
          </w:p>
        </w:tc>
        <w:tc>
          <w:tcPr>
            <w:tcW w:w="2325" w:type="dxa"/>
            <w:tcMar/>
          </w:tcPr>
          <w:p w:rsidR="00C42047" w:rsidP="16937DF1" w:rsidRDefault="00C42047" w14:paraId="0E3BB2E1" w14:textId="13958DE6">
            <w:pPr>
              <w:pStyle w:val="Paragraph"/>
              <w:ind w:firstLine="0"/>
              <w:rPr>
                <w:sz w:val="22"/>
                <w:szCs w:val="22"/>
              </w:rPr>
            </w:pPr>
            <w:r w:rsidRPr="41E913BB">
              <w:rPr>
                <w:sz w:val="22"/>
                <w:szCs w:val="22"/>
              </w:rPr>
              <w:t>0.07</w:t>
            </w:r>
            <w:r w:rsidRPr="41E913BB" w:rsidR="79C9F6C9">
              <w:rPr>
                <w:sz w:val="22"/>
                <w:szCs w:val="22"/>
              </w:rPr>
              <w:t>4</w:t>
            </w:r>
          </w:p>
        </w:tc>
        <w:tc>
          <w:tcPr>
            <w:tcW w:w="1395" w:type="dxa"/>
            <w:tcMar/>
          </w:tcPr>
          <w:p w:rsidR="00C42047" w:rsidP="16937DF1" w:rsidRDefault="00C42047" w14:paraId="234A1B6F" w14:textId="76FDAF64">
            <w:pPr>
              <w:pStyle w:val="Paragraph"/>
              <w:ind w:firstLine="0"/>
              <w:rPr>
                <w:sz w:val="22"/>
                <w:szCs w:val="22"/>
              </w:rPr>
            </w:pPr>
            <w:r w:rsidRPr="41E913BB">
              <w:rPr>
                <w:sz w:val="22"/>
                <w:szCs w:val="22"/>
              </w:rPr>
              <w:t>4.4</w:t>
            </w:r>
            <w:r w:rsidRPr="41E913BB" w:rsidR="06A80763">
              <w:rPr>
                <w:sz w:val="22"/>
                <w:szCs w:val="22"/>
              </w:rPr>
              <w:t>66</w:t>
            </w:r>
          </w:p>
        </w:tc>
        <w:tc>
          <w:tcPr>
            <w:tcW w:w="1544" w:type="dxa"/>
            <w:tcMar/>
          </w:tcPr>
          <w:p w:rsidR="00C42047" w:rsidP="16937DF1" w:rsidRDefault="00C42047" w14:paraId="6D0B45EA" w14:textId="4CF45760">
            <w:pPr>
              <w:pStyle w:val="Paragraph"/>
              <w:ind w:firstLine="0"/>
              <w:rPr>
                <w:sz w:val="22"/>
                <w:szCs w:val="22"/>
              </w:rPr>
            </w:pPr>
            <w:r w:rsidRPr="41E913BB">
              <w:rPr>
                <w:sz w:val="22"/>
                <w:szCs w:val="22"/>
              </w:rPr>
              <w:t>0.09</w:t>
            </w:r>
            <w:r w:rsidRPr="41E913BB" w:rsidR="34506BE0">
              <w:rPr>
                <w:sz w:val="22"/>
                <w:szCs w:val="22"/>
              </w:rPr>
              <w:t>6</w:t>
            </w:r>
          </w:p>
        </w:tc>
        <w:tc>
          <w:tcPr>
            <w:tcW w:w="592" w:type="dxa"/>
            <w:tcMar/>
          </w:tcPr>
          <w:p w:rsidR="00C42047" w:rsidP="16937DF1" w:rsidRDefault="00C42047" w14:paraId="648624FB" w14:textId="77777777">
            <w:pPr>
              <w:pStyle w:val="Paragraph"/>
              <w:ind w:firstLine="0"/>
              <w:rPr>
                <w:sz w:val="22"/>
                <w:szCs w:val="22"/>
              </w:rPr>
            </w:pPr>
            <w:r w:rsidRPr="16937DF1">
              <w:rPr>
                <w:sz w:val="22"/>
                <w:szCs w:val="22"/>
              </w:rPr>
              <w:t>88</w:t>
            </w:r>
          </w:p>
        </w:tc>
      </w:tr>
      <w:tr w:rsidR="00C42047" w:rsidTr="60ED4CB4" w14:paraId="47770EE8" w14:textId="77777777">
        <w:tc>
          <w:tcPr>
            <w:tcW w:w="1440" w:type="dxa"/>
            <w:tcMar/>
          </w:tcPr>
          <w:p w:rsidR="00C42047" w:rsidP="16937DF1" w:rsidRDefault="00C42047" w14:paraId="4EDE953A" w14:textId="77777777">
            <w:pPr>
              <w:pStyle w:val="Paragraph"/>
              <w:ind w:firstLine="0"/>
              <w:rPr>
                <w:sz w:val="22"/>
                <w:szCs w:val="22"/>
              </w:rPr>
            </w:pPr>
            <w:r w:rsidRPr="16937DF1">
              <w:rPr>
                <w:sz w:val="22"/>
                <w:szCs w:val="22"/>
              </w:rPr>
              <w:t>Escape</w:t>
            </w:r>
          </w:p>
        </w:tc>
        <w:tc>
          <w:tcPr>
            <w:tcW w:w="2265" w:type="dxa"/>
            <w:tcMar/>
          </w:tcPr>
          <w:p w:rsidR="00C42047" w:rsidP="16937DF1" w:rsidRDefault="00C42047" w14:paraId="4C0FAE28" w14:textId="03673971">
            <w:pPr>
              <w:pStyle w:val="Paragraph"/>
              <w:ind w:firstLine="0"/>
              <w:rPr>
                <w:sz w:val="22"/>
                <w:szCs w:val="22"/>
              </w:rPr>
            </w:pPr>
            <w:r w:rsidRPr="41E913BB">
              <w:rPr>
                <w:sz w:val="22"/>
                <w:szCs w:val="22"/>
              </w:rPr>
              <w:t>4.</w:t>
            </w:r>
            <w:r w:rsidRPr="41E913BB" w:rsidR="2E49F1ED">
              <w:rPr>
                <w:sz w:val="22"/>
                <w:szCs w:val="22"/>
              </w:rPr>
              <w:t>900</w:t>
            </w:r>
          </w:p>
        </w:tc>
        <w:tc>
          <w:tcPr>
            <w:tcW w:w="2325" w:type="dxa"/>
            <w:tcMar/>
          </w:tcPr>
          <w:p w:rsidR="00C42047" w:rsidP="16937DF1" w:rsidRDefault="00C42047" w14:paraId="10991771" w14:textId="7CCD66DC">
            <w:pPr>
              <w:pStyle w:val="Paragraph"/>
              <w:ind w:firstLine="0"/>
              <w:rPr>
                <w:sz w:val="22"/>
                <w:szCs w:val="22"/>
              </w:rPr>
            </w:pPr>
            <w:r w:rsidRPr="41E913BB">
              <w:rPr>
                <w:sz w:val="22"/>
                <w:szCs w:val="22"/>
              </w:rPr>
              <w:t>0.03</w:t>
            </w:r>
            <w:r w:rsidRPr="41E913BB" w:rsidR="2BD4009C">
              <w:rPr>
                <w:sz w:val="22"/>
                <w:szCs w:val="22"/>
              </w:rPr>
              <w:t>7</w:t>
            </w:r>
          </w:p>
        </w:tc>
        <w:tc>
          <w:tcPr>
            <w:tcW w:w="1395" w:type="dxa"/>
            <w:tcMar/>
          </w:tcPr>
          <w:p w:rsidR="00C42047" w:rsidP="16937DF1" w:rsidRDefault="00C42047" w14:paraId="5C24F489" w14:textId="3D7397C4">
            <w:pPr>
              <w:pStyle w:val="Paragraph"/>
              <w:ind w:firstLine="0"/>
              <w:rPr>
                <w:sz w:val="22"/>
                <w:szCs w:val="22"/>
              </w:rPr>
            </w:pPr>
            <w:r w:rsidRPr="41E913BB">
              <w:rPr>
                <w:sz w:val="22"/>
                <w:szCs w:val="22"/>
              </w:rPr>
              <w:t>4.2</w:t>
            </w:r>
            <w:r w:rsidRPr="41E913BB" w:rsidR="073BA6F9">
              <w:rPr>
                <w:sz w:val="22"/>
                <w:szCs w:val="22"/>
              </w:rPr>
              <w:t>38</w:t>
            </w:r>
          </w:p>
        </w:tc>
        <w:tc>
          <w:tcPr>
            <w:tcW w:w="1544" w:type="dxa"/>
            <w:tcMar/>
          </w:tcPr>
          <w:p w:rsidR="00C42047" w:rsidP="16937DF1" w:rsidRDefault="00C42047" w14:paraId="10C6053D" w14:textId="79A52BD9">
            <w:pPr>
              <w:pStyle w:val="Paragraph"/>
              <w:ind w:firstLine="0"/>
              <w:rPr>
                <w:sz w:val="22"/>
                <w:szCs w:val="22"/>
              </w:rPr>
            </w:pPr>
            <w:r w:rsidRPr="41E913BB">
              <w:rPr>
                <w:sz w:val="22"/>
                <w:szCs w:val="22"/>
              </w:rPr>
              <w:t>0.04</w:t>
            </w:r>
            <w:r w:rsidRPr="41E913BB" w:rsidR="24C2F6FB">
              <w:rPr>
                <w:sz w:val="22"/>
                <w:szCs w:val="22"/>
              </w:rPr>
              <w:t>5</w:t>
            </w:r>
          </w:p>
        </w:tc>
        <w:tc>
          <w:tcPr>
            <w:tcW w:w="592" w:type="dxa"/>
            <w:tcMar/>
          </w:tcPr>
          <w:p w:rsidR="00C42047" w:rsidP="16937DF1" w:rsidRDefault="00C42047" w14:paraId="17C3A3FE" w14:textId="114EEA4F">
            <w:pPr>
              <w:pStyle w:val="Paragraph"/>
              <w:ind w:firstLine="0"/>
              <w:rPr>
                <w:sz w:val="22"/>
                <w:szCs w:val="22"/>
              </w:rPr>
            </w:pPr>
            <w:r w:rsidRPr="41E913BB">
              <w:rPr>
                <w:sz w:val="22"/>
                <w:szCs w:val="22"/>
              </w:rPr>
              <w:t>2</w:t>
            </w:r>
            <w:r w:rsidRPr="41E913BB" w:rsidR="0DB64AC6">
              <w:rPr>
                <w:sz w:val="22"/>
                <w:szCs w:val="22"/>
              </w:rPr>
              <w:t>30</w:t>
            </w:r>
          </w:p>
        </w:tc>
      </w:tr>
      <w:tr w:rsidR="00C42047" w:rsidTr="60ED4CB4" w14:paraId="70D903AC" w14:textId="77777777">
        <w:tc>
          <w:tcPr>
            <w:tcW w:w="1440" w:type="dxa"/>
            <w:tcMar/>
          </w:tcPr>
          <w:p w:rsidR="00C42047" w:rsidP="16937DF1" w:rsidRDefault="00C42047" w14:paraId="3D83A6A2" w14:textId="77777777">
            <w:pPr>
              <w:pStyle w:val="Paragraph"/>
              <w:ind w:firstLine="0"/>
              <w:rPr>
                <w:sz w:val="22"/>
                <w:szCs w:val="22"/>
              </w:rPr>
            </w:pPr>
            <w:r w:rsidRPr="16937DF1">
              <w:rPr>
                <w:sz w:val="22"/>
                <w:szCs w:val="22"/>
              </w:rPr>
              <w:t>Invasion</w:t>
            </w:r>
          </w:p>
        </w:tc>
        <w:tc>
          <w:tcPr>
            <w:tcW w:w="2265" w:type="dxa"/>
            <w:tcMar/>
          </w:tcPr>
          <w:p w:rsidR="00C42047" w:rsidP="16937DF1" w:rsidRDefault="00C42047" w14:paraId="7E9C7235" w14:textId="1431A19D">
            <w:pPr>
              <w:pStyle w:val="Paragraph"/>
              <w:ind w:firstLine="0"/>
              <w:rPr>
                <w:sz w:val="22"/>
                <w:szCs w:val="22"/>
              </w:rPr>
            </w:pPr>
            <w:r w:rsidRPr="41E913BB">
              <w:rPr>
                <w:sz w:val="22"/>
                <w:szCs w:val="22"/>
              </w:rPr>
              <w:t>4.71</w:t>
            </w:r>
            <w:r w:rsidRPr="41E913BB" w:rsidR="4068DF9D">
              <w:rPr>
                <w:sz w:val="22"/>
                <w:szCs w:val="22"/>
              </w:rPr>
              <w:t>7</w:t>
            </w:r>
          </w:p>
        </w:tc>
        <w:tc>
          <w:tcPr>
            <w:tcW w:w="2325" w:type="dxa"/>
            <w:tcMar/>
          </w:tcPr>
          <w:p w:rsidR="00C42047" w:rsidP="16937DF1" w:rsidRDefault="00C42047" w14:paraId="52D667E5" w14:textId="4B07C543">
            <w:pPr>
              <w:pStyle w:val="Paragraph"/>
              <w:ind w:firstLine="0"/>
              <w:rPr>
                <w:sz w:val="22"/>
                <w:szCs w:val="22"/>
              </w:rPr>
            </w:pPr>
            <w:r w:rsidRPr="41E913BB">
              <w:rPr>
                <w:sz w:val="22"/>
                <w:szCs w:val="22"/>
              </w:rPr>
              <w:t>0.03</w:t>
            </w:r>
            <w:r w:rsidRPr="41E913BB" w:rsidR="1B3B52A6">
              <w:rPr>
                <w:sz w:val="22"/>
                <w:szCs w:val="22"/>
              </w:rPr>
              <w:t>3</w:t>
            </w:r>
          </w:p>
        </w:tc>
        <w:tc>
          <w:tcPr>
            <w:tcW w:w="1395" w:type="dxa"/>
            <w:tcMar/>
          </w:tcPr>
          <w:p w:rsidR="00C42047" w:rsidP="16937DF1" w:rsidRDefault="00C42047" w14:paraId="065C93C9" w14:textId="6AE7DC9D">
            <w:pPr>
              <w:pStyle w:val="Paragraph"/>
              <w:ind w:firstLine="0"/>
              <w:rPr>
                <w:sz w:val="22"/>
                <w:szCs w:val="22"/>
              </w:rPr>
            </w:pPr>
            <w:r w:rsidRPr="41E913BB">
              <w:rPr>
                <w:sz w:val="22"/>
                <w:szCs w:val="22"/>
              </w:rPr>
              <w:t>4.2</w:t>
            </w:r>
            <w:r w:rsidRPr="41E913BB" w:rsidR="2B78204D">
              <w:rPr>
                <w:sz w:val="22"/>
                <w:szCs w:val="22"/>
              </w:rPr>
              <w:t>34</w:t>
            </w:r>
          </w:p>
        </w:tc>
        <w:tc>
          <w:tcPr>
            <w:tcW w:w="1544" w:type="dxa"/>
            <w:tcMar/>
          </w:tcPr>
          <w:p w:rsidR="00C42047" w:rsidP="16937DF1" w:rsidRDefault="00C42047" w14:paraId="289E4676" w14:textId="27ACFC41">
            <w:pPr>
              <w:pStyle w:val="Paragraph"/>
              <w:ind w:firstLine="0"/>
              <w:rPr>
                <w:sz w:val="22"/>
                <w:szCs w:val="22"/>
              </w:rPr>
            </w:pPr>
            <w:r w:rsidRPr="41E913BB">
              <w:rPr>
                <w:sz w:val="22"/>
                <w:szCs w:val="22"/>
              </w:rPr>
              <w:t>0.04</w:t>
            </w:r>
            <w:r w:rsidRPr="41E913BB" w:rsidR="0101FFB0">
              <w:rPr>
                <w:sz w:val="22"/>
                <w:szCs w:val="22"/>
              </w:rPr>
              <w:t>0</w:t>
            </w:r>
          </w:p>
        </w:tc>
        <w:tc>
          <w:tcPr>
            <w:tcW w:w="592" w:type="dxa"/>
            <w:tcMar/>
          </w:tcPr>
          <w:p w:rsidR="00C42047" w:rsidP="16937DF1" w:rsidRDefault="00C42047" w14:paraId="5B01D86F" w14:textId="73212E5E">
            <w:pPr>
              <w:pStyle w:val="Paragraph"/>
              <w:ind w:firstLine="0"/>
              <w:rPr>
                <w:sz w:val="22"/>
                <w:szCs w:val="22"/>
              </w:rPr>
            </w:pPr>
            <w:r w:rsidRPr="41E913BB">
              <w:rPr>
                <w:sz w:val="22"/>
                <w:szCs w:val="22"/>
              </w:rPr>
              <w:t>28</w:t>
            </w:r>
            <w:r w:rsidRPr="41E913BB" w:rsidR="7523ECFA">
              <w:rPr>
                <w:sz w:val="22"/>
                <w:szCs w:val="22"/>
              </w:rPr>
              <w:t>3</w:t>
            </w:r>
          </w:p>
        </w:tc>
      </w:tr>
      <w:tr w:rsidR="00C42047" w:rsidTr="60ED4CB4" w14:paraId="582840D7" w14:textId="77777777">
        <w:tc>
          <w:tcPr>
            <w:tcW w:w="1440" w:type="dxa"/>
            <w:tcMar/>
          </w:tcPr>
          <w:p w:rsidR="00C42047" w:rsidP="16937DF1" w:rsidRDefault="7C854672" w14:paraId="506EC629" w14:textId="1EC577ED">
            <w:pPr>
              <w:pStyle w:val="Paragraph"/>
              <w:ind w:firstLine="0"/>
              <w:rPr>
                <w:sz w:val="22"/>
                <w:szCs w:val="22"/>
              </w:rPr>
            </w:pPr>
            <w:r w:rsidRPr="60ED4CB4" w:rsidR="7C854672">
              <w:rPr>
                <w:sz w:val="22"/>
                <w:szCs w:val="22"/>
              </w:rPr>
              <w:t>Coloni</w:t>
            </w:r>
            <w:r w:rsidRPr="60ED4CB4" w:rsidR="6262C1EF">
              <w:rPr>
                <w:sz w:val="22"/>
                <w:szCs w:val="22"/>
              </w:rPr>
              <w:t>z</w:t>
            </w:r>
            <w:r w:rsidRPr="60ED4CB4" w:rsidR="7C854672">
              <w:rPr>
                <w:sz w:val="22"/>
                <w:szCs w:val="22"/>
              </w:rPr>
              <w:t>ation</w:t>
            </w:r>
          </w:p>
        </w:tc>
        <w:tc>
          <w:tcPr>
            <w:tcW w:w="2265" w:type="dxa"/>
            <w:tcMar/>
          </w:tcPr>
          <w:p w:rsidR="00C42047" w:rsidP="16937DF1" w:rsidRDefault="00C42047" w14:paraId="44B4E34B" w14:textId="090A5261">
            <w:pPr>
              <w:pStyle w:val="Paragraph"/>
              <w:ind w:firstLine="0"/>
              <w:rPr>
                <w:sz w:val="22"/>
                <w:szCs w:val="22"/>
              </w:rPr>
            </w:pPr>
            <w:r w:rsidRPr="41E913BB">
              <w:rPr>
                <w:sz w:val="22"/>
                <w:szCs w:val="22"/>
              </w:rPr>
              <w:t>4.8</w:t>
            </w:r>
            <w:r w:rsidRPr="41E913BB" w:rsidR="5B9A4FC7">
              <w:rPr>
                <w:sz w:val="22"/>
                <w:szCs w:val="22"/>
              </w:rPr>
              <w:t>22</w:t>
            </w:r>
          </w:p>
        </w:tc>
        <w:tc>
          <w:tcPr>
            <w:tcW w:w="2325" w:type="dxa"/>
            <w:tcMar/>
          </w:tcPr>
          <w:p w:rsidR="00C42047" w:rsidP="16937DF1" w:rsidRDefault="00C42047" w14:paraId="6A808A43" w14:textId="10D0F326">
            <w:pPr>
              <w:pStyle w:val="Paragraph"/>
              <w:ind w:firstLine="0"/>
              <w:rPr>
                <w:sz w:val="22"/>
                <w:szCs w:val="22"/>
              </w:rPr>
            </w:pPr>
            <w:r w:rsidRPr="41E913BB">
              <w:rPr>
                <w:sz w:val="22"/>
                <w:szCs w:val="22"/>
              </w:rPr>
              <w:t>0.03</w:t>
            </w:r>
            <w:r w:rsidRPr="41E913BB" w:rsidR="5BA7FAA3">
              <w:rPr>
                <w:sz w:val="22"/>
                <w:szCs w:val="22"/>
              </w:rPr>
              <w:t>8</w:t>
            </w:r>
          </w:p>
        </w:tc>
        <w:tc>
          <w:tcPr>
            <w:tcW w:w="1395" w:type="dxa"/>
            <w:tcMar/>
          </w:tcPr>
          <w:p w:rsidR="00C42047" w:rsidP="16937DF1" w:rsidRDefault="00C42047" w14:paraId="60451A42" w14:textId="5DD234BD">
            <w:pPr>
              <w:pStyle w:val="Paragraph"/>
              <w:ind w:firstLine="0"/>
              <w:rPr>
                <w:sz w:val="22"/>
                <w:szCs w:val="22"/>
              </w:rPr>
            </w:pPr>
            <w:r w:rsidRPr="41E913BB">
              <w:rPr>
                <w:sz w:val="22"/>
                <w:szCs w:val="22"/>
              </w:rPr>
              <w:t>4.3</w:t>
            </w:r>
            <w:r w:rsidRPr="41E913BB" w:rsidR="49BB013E">
              <w:rPr>
                <w:sz w:val="22"/>
                <w:szCs w:val="22"/>
              </w:rPr>
              <w:t>10</w:t>
            </w:r>
          </w:p>
        </w:tc>
        <w:tc>
          <w:tcPr>
            <w:tcW w:w="1544" w:type="dxa"/>
            <w:tcMar/>
          </w:tcPr>
          <w:p w:rsidR="00C42047" w:rsidP="16937DF1" w:rsidRDefault="00C42047" w14:paraId="560D41B9" w14:textId="34EF98F1">
            <w:pPr>
              <w:pStyle w:val="Paragraph"/>
              <w:ind w:firstLine="0"/>
              <w:rPr>
                <w:sz w:val="22"/>
                <w:szCs w:val="22"/>
              </w:rPr>
            </w:pPr>
            <w:r w:rsidRPr="41E913BB">
              <w:rPr>
                <w:sz w:val="22"/>
                <w:szCs w:val="22"/>
              </w:rPr>
              <w:t>0.04</w:t>
            </w:r>
            <w:r w:rsidRPr="41E913BB" w:rsidR="49CC2B37">
              <w:rPr>
                <w:sz w:val="22"/>
                <w:szCs w:val="22"/>
              </w:rPr>
              <w:t>5</w:t>
            </w:r>
          </w:p>
        </w:tc>
        <w:tc>
          <w:tcPr>
            <w:tcW w:w="592" w:type="dxa"/>
            <w:tcMar/>
          </w:tcPr>
          <w:p w:rsidR="00C42047" w:rsidP="16937DF1" w:rsidRDefault="00C42047" w14:paraId="559F37B0" w14:textId="2DEBECC9">
            <w:pPr>
              <w:pStyle w:val="Paragraph"/>
              <w:keepNext/>
              <w:ind w:firstLine="0"/>
              <w:rPr>
                <w:sz w:val="22"/>
                <w:szCs w:val="22"/>
              </w:rPr>
            </w:pPr>
            <w:r w:rsidRPr="41E913BB">
              <w:rPr>
                <w:sz w:val="22"/>
                <w:szCs w:val="22"/>
              </w:rPr>
              <w:t>21</w:t>
            </w:r>
            <w:r w:rsidRPr="41E913BB" w:rsidR="36C60968">
              <w:rPr>
                <w:sz w:val="22"/>
                <w:szCs w:val="22"/>
              </w:rPr>
              <w:t>2</w:t>
            </w:r>
          </w:p>
        </w:tc>
      </w:tr>
    </w:tbl>
    <w:p w:rsidRPr="00840BB2" w:rsidR="00670299" w:rsidP="16937DF1" w:rsidRDefault="00670299" w14:paraId="249AB641" w14:textId="77777777">
      <w:pPr>
        <w:pStyle w:val="SMcaption"/>
        <w:rPr>
          <w:rFonts w:ascii="Arial" w:hAnsi="Arial" w:cs="Arial"/>
          <w:sz w:val="20"/>
          <w:lang w:val="en-GB"/>
        </w:rPr>
      </w:pPr>
    </w:p>
    <w:p w:rsidRPr="00C42047" w:rsidR="009A5287" w:rsidP="16937DF1" w:rsidRDefault="00015F74" w14:paraId="5A1A79CC" w14:textId="51EDD574">
      <w:pPr>
        <w:pStyle w:val="SMHeading"/>
        <w:rPr>
          <w:rFonts w:ascii="Arial" w:hAnsi="Arial" w:cs="Arial"/>
          <w:b w:val="0"/>
          <w:bCs w:val="0"/>
          <w:sz w:val="20"/>
          <w:szCs w:val="20"/>
          <w:lang w:val="en-GB"/>
        </w:rPr>
      </w:pPr>
      <w:r w:rsidRPr="16937DF1">
        <w:rPr>
          <w:rFonts w:ascii="Arial" w:hAnsi="Arial" w:cs="Arial"/>
          <w:sz w:val="20"/>
          <w:szCs w:val="20"/>
          <w:lang w:val="en-GB"/>
        </w:rPr>
        <w:t>Table S1.</w:t>
      </w:r>
      <w:r w:rsidRPr="16937DF1" w:rsidR="00B42F9C">
        <w:rPr>
          <w:rFonts w:ascii="Arial" w:hAnsi="Arial" w:cs="Arial"/>
          <w:sz w:val="20"/>
          <w:szCs w:val="20"/>
          <w:lang w:val="en-GB"/>
        </w:rPr>
        <w:t xml:space="preserve"> </w:t>
      </w:r>
      <w:r w:rsidRPr="16937DF1" w:rsidR="00C42047">
        <w:rPr>
          <w:rFonts w:ascii="Arial" w:hAnsi="Arial" w:cs="Arial"/>
          <w:sz w:val="20"/>
          <w:szCs w:val="20"/>
          <w:lang w:val="en-GB"/>
        </w:rPr>
        <w:t>The natural log-transformed mean and standard error for the rate of morphological change and the speed of migration.</w:t>
      </w:r>
      <w:r w:rsidRPr="16937DF1" w:rsidR="00C42047">
        <w:rPr>
          <w:rFonts w:ascii="Arial" w:hAnsi="Arial" w:cs="Arial"/>
          <w:b w:val="0"/>
          <w:bCs w:val="0"/>
          <w:sz w:val="20"/>
          <w:szCs w:val="20"/>
          <w:lang w:val="en-GB"/>
        </w:rPr>
        <w:t xml:space="preserve"> Displayed are the natural log mean and standard error for the rate of morphological change and speed of migration for each of the four treatments. The escape populations have a significantly higher rate of morphological change compared with the invasion populations, p = 0.0289</w:t>
      </w:r>
      <w:r w:rsidR="00556545">
        <w:rPr>
          <w:rFonts w:ascii="Arial" w:hAnsi="Arial" w:cs="Arial"/>
          <w:b w:val="0"/>
          <w:bCs w:val="0"/>
          <w:sz w:val="20"/>
          <w:szCs w:val="20"/>
          <w:lang w:val="en-GB"/>
        </w:rPr>
        <w:t>.</w:t>
      </w:r>
    </w:p>
    <w:p w:rsidRPr="00840BB2" w:rsidR="001C0975" w:rsidP="16937DF1" w:rsidRDefault="001C0975" w14:paraId="44BF6B4A" w14:textId="77777777">
      <w:pPr>
        <w:pStyle w:val="SMcaption"/>
        <w:rPr>
          <w:rFonts w:ascii="Arial" w:hAnsi="Arial" w:cs="Arial"/>
          <w:sz w:val="20"/>
          <w:lang w:val="en-GB"/>
        </w:rPr>
      </w:pPr>
    </w:p>
    <w:p w:rsidR="00C42047" w:rsidP="16937DF1" w:rsidRDefault="00C42047" w14:paraId="45143467" w14:textId="75FEC89C">
      <w:pPr>
        <w:rPr>
          <w:rFonts w:ascii="Arial" w:hAnsi="Arial" w:cs="Arial"/>
          <w:sz w:val="20"/>
          <w:lang w:val="en-GB"/>
        </w:rPr>
      </w:pPr>
      <w:r w:rsidRPr="16937DF1">
        <w:rPr>
          <w:rFonts w:ascii="Arial" w:hAnsi="Arial" w:cs="Arial"/>
          <w:sz w:val="20"/>
          <w:lang w:val="en-GB"/>
        </w:rPr>
        <w:br w:type="page"/>
      </w:r>
    </w:p>
    <w:p w:rsidRPr="00840BB2" w:rsidR="009A5287" w:rsidP="16937DF1" w:rsidRDefault="009A5287" w14:paraId="4A6309C6" w14:textId="77777777">
      <w:pPr>
        <w:pStyle w:val="SMcaption"/>
        <w:rPr>
          <w:rFonts w:ascii="Arial" w:hAnsi="Arial" w:cs="Arial"/>
          <w:sz w:val="20"/>
          <w:lang w:val="en-GB"/>
        </w:rPr>
      </w:pPr>
    </w:p>
    <w:p w:rsidR="00820484" w:rsidP="16937DF1" w:rsidRDefault="00F514EC" w14:paraId="6C96BED5" w14:textId="4B2FC6DA">
      <w:pPr>
        <w:pStyle w:val="SMcaption"/>
        <w:rPr>
          <w:rFonts w:ascii="Arial" w:hAnsi="Arial" w:cs="Arial"/>
          <w:b/>
          <w:bCs/>
          <w:sz w:val="20"/>
          <w:lang w:val="en-GB"/>
        </w:rPr>
      </w:pPr>
      <w:r w:rsidRPr="16937DF1">
        <w:rPr>
          <w:rFonts w:ascii="Arial" w:hAnsi="Arial" w:cs="Arial"/>
          <w:b/>
          <w:bCs/>
          <w:sz w:val="20"/>
          <w:lang w:val="en-GB"/>
        </w:rPr>
        <w:t xml:space="preserve">SI </w:t>
      </w:r>
      <w:r w:rsidRPr="16937DF1" w:rsidR="00820484">
        <w:rPr>
          <w:rFonts w:ascii="Arial" w:hAnsi="Arial" w:cs="Arial"/>
          <w:b/>
          <w:bCs/>
          <w:sz w:val="20"/>
          <w:lang w:val="en-GB"/>
        </w:rPr>
        <w:t>References</w:t>
      </w:r>
    </w:p>
    <w:p w:rsidRPr="00F21C2B" w:rsidR="00F21C2B" w:rsidP="00F21C2B" w:rsidRDefault="00F21C2B" w14:paraId="07B5208D" w14:textId="7DBE8E99">
      <w:pPr>
        <w:widowControl w:val="0"/>
        <w:autoSpaceDE w:val="0"/>
        <w:autoSpaceDN w:val="0"/>
        <w:adjustRightInd w:val="0"/>
        <w:ind w:left="640" w:hanging="640"/>
        <w:rPr>
          <w:rFonts w:ascii="Arial" w:hAnsi="Arial" w:cs="Arial"/>
          <w:noProof/>
          <w:sz w:val="20"/>
        </w:rPr>
      </w:pPr>
      <w:r>
        <w:rPr>
          <w:rFonts w:ascii="Arial" w:hAnsi="Arial" w:cs="Arial"/>
          <w:color w:val="333333"/>
          <w:sz w:val="20"/>
          <w:lang w:val="en-GB"/>
        </w:rPr>
        <w:fldChar w:fldCharType="begin" w:fldLock="1"/>
      </w:r>
      <w:r>
        <w:rPr>
          <w:rFonts w:ascii="Arial" w:hAnsi="Arial" w:cs="Arial"/>
          <w:color w:val="333333"/>
          <w:sz w:val="20"/>
          <w:lang w:val="en-GB"/>
        </w:rPr>
        <w:instrText xml:space="preserve">ADDIN Mendeley Bibliography CSL_BIBLIOGRAPHY </w:instrText>
      </w:r>
      <w:r>
        <w:rPr>
          <w:rFonts w:ascii="Arial" w:hAnsi="Arial" w:cs="Arial"/>
          <w:color w:val="333333"/>
          <w:sz w:val="20"/>
          <w:lang w:val="en-GB"/>
        </w:rPr>
        <w:fldChar w:fldCharType="separate"/>
      </w:r>
      <w:r w:rsidRPr="00F21C2B">
        <w:rPr>
          <w:rFonts w:ascii="Arial" w:hAnsi="Arial" w:cs="Arial"/>
          <w:noProof/>
          <w:sz w:val="20"/>
          <w:szCs w:val="24"/>
        </w:rPr>
        <w:t xml:space="preserve">1. </w:t>
      </w:r>
      <w:r w:rsidRPr="00F21C2B">
        <w:rPr>
          <w:rFonts w:ascii="Arial" w:hAnsi="Arial" w:cs="Arial"/>
          <w:noProof/>
          <w:sz w:val="20"/>
          <w:szCs w:val="24"/>
        </w:rPr>
        <w:tab/>
      </w:r>
      <w:r w:rsidRPr="00F21C2B">
        <w:rPr>
          <w:rFonts w:ascii="Arial" w:hAnsi="Arial" w:cs="Arial"/>
          <w:noProof/>
          <w:sz w:val="20"/>
          <w:szCs w:val="24"/>
        </w:rPr>
        <w:t xml:space="preserve">Bollen KA, Jackman RW. Regression Diagnostics: An Expository Treatment of Outliers and Influential Cases. Sociol Methods Res 1985:510–42. </w:t>
      </w:r>
    </w:p>
    <w:p w:rsidRPr="00797F24" w:rsidR="00CF16C9" w:rsidP="16937DF1" w:rsidRDefault="00F21C2B" w14:paraId="2450442D" w14:textId="1F3625EE">
      <w:pPr>
        <w:pStyle w:val="NormalWeb"/>
        <w:shd w:val="clear" w:color="auto" w:fill="FFFFFF" w:themeFill="background1"/>
        <w:textAlignment w:val="baseline"/>
        <w:rPr>
          <w:rFonts w:ascii="Arial" w:hAnsi="Arial" w:cs="Arial"/>
          <w:color w:val="333333"/>
          <w:sz w:val="20"/>
          <w:szCs w:val="20"/>
          <w:lang w:val="en-GB"/>
        </w:rPr>
      </w:pPr>
      <w:r w:rsidRPr="0979A634">
        <w:rPr>
          <w:rFonts w:ascii="Arial" w:hAnsi="Arial" w:cs="Arial"/>
          <w:color w:val="333333"/>
          <w:sz w:val="20"/>
          <w:szCs w:val="20"/>
          <w:lang w:val="en-GB"/>
        </w:rPr>
        <w:fldChar w:fldCharType="end"/>
      </w:r>
    </w:p>
    <w:p w:rsidR="0979A634" w:rsidP="0979A634" w:rsidRDefault="0979A634" w14:paraId="07B8AB9F" w14:textId="589F899F">
      <w:pPr>
        <w:pStyle w:val="NormalWeb"/>
        <w:shd w:val="clear" w:color="auto" w:fill="FFFFFF" w:themeFill="background1"/>
        <w:rPr>
          <w:rFonts w:ascii="Arial" w:hAnsi="Arial" w:cs="Arial"/>
          <w:color w:val="333333"/>
          <w:sz w:val="20"/>
          <w:szCs w:val="20"/>
          <w:lang w:val="en-GB"/>
        </w:rPr>
      </w:pPr>
    </w:p>
    <w:p w:rsidR="05D0BAB1" w:rsidP="0979A634" w:rsidRDefault="05D0BAB1" w14:paraId="42F23960" w14:textId="0DE95BF9">
      <w:pPr>
        <w:pStyle w:val="NormalWeb"/>
        <w:shd w:val="clear" w:color="auto" w:fill="FFFFFF" w:themeFill="background1"/>
        <w:rPr>
          <w:rFonts w:ascii="Arial" w:hAnsi="Arial" w:cs="Arial"/>
          <w:color w:val="333333"/>
          <w:sz w:val="20"/>
          <w:szCs w:val="20"/>
          <w:lang w:val="en-GB"/>
        </w:rPr>
      </w:pPr>
    </w:p>
    <w:sectPr w:rsidRPr="00797F24" w:rsidR="00CF16C9" w:rsidSect="00F125EE">
      <w:headerReference w:type="default" r:id="rId11"/>
      <w:footerReference w:type="default" r:id="rId12"/>
      <w:pgSz w:w="12240" w:h="15840" w:orient="portrait"/>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2CF" w:rsidRDefault="002F52CF" w14:paraId="4E9F68D4" w14:textId="77777777">
      <w:r>
        <w:separator/>
      </w:r>
    </w:p>
  </w:endnote>
  <w:endnote w:type="continuationSeparator" w:id="0">
    <w:p w:rsidR="002F52CF" w:rsidRDefault="002F52CF" w14:paraId="1D68A9FE" w14:textId="77777777">
      <w:r>
        <w:continuationSeparator/>
      </w:r>
    </w:p>
  </w:endnote>
  <w:endnote w:type="continuationNotice" w:id="1">
    <w:p w:rsidR="002F52CF" w:rsidRDefault="002F52CF" w14:paraId="7855E1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5EE" w:rsidRDefault="00114193" w14:paraId="24096907" w14:textId="68A598CF">
    <w:pPr>
      <w:pStyle w:val="Footer"/>
      <w:jc w:val="right"/>
    </w:pPr>
    <w:r>
      <w:fldChar w:fldCharType="begin"/>
    </w:r>
    <w:r>
      <w:instrText xml:space="preserve"> PAGE   \* MERGEFORMAT </w:instrText>
    </w:r>
    <w:r>
      <w:fldChar w:fldCharType="separate"/>
    </w:r>
    <w:r w:rsidR="000004B2">
      <w:rPr>
        <w:noProof/>
      </w:rPr>
      <w:t>2</w:t>
    </w:r>
    <w:r>
      <w:fldChar w:fldCharType="end"/>
    </w:r>
  </w:p>
  <w:p w:rsidR="00F125EE" w:rsidRDefault="00F125EE" w14:paraId="180EEF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2CF" w:rsidRDefault="002F52CF" w14:paraId="0347BFD7" w14:textId="77777777">
      <w:r>
        <w:separator/>
      </w:r>
    </w:p>
  </w:footnote>
  <w:footnote w:type="continuationSeparator" w:id="0">
    <w:p w:rsidR="002F52CF" w:rsidRDefault="002F52CF" w14:paraId="34018109" w14:textId="77777777">
      <w:r>
        <w:continuationSeparator/>
      </w:r>
    </w:p>
  </w:footnote>
  <w:footnote w:type="continuationNotice" w:id="1">
    <w:p w:rsidR="002F52CF" w:rsidRDefault="002F52CF" w14:paraId="377C7E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001AC" w:rsidR="003A2FD8" w:rsidP="005001AC" w:rsidRDefault="003A2FD8" w14:paraId="52040DC9" w14:textId="77777777">
    <w:pPr>
      <w:jc w:val="right"/>
      <w:rPr>
        <w:sz w:val="20"/>
      </w:rPr>
    </w:pPr>
  </w:p>
  <w:p w:rsidR="003A2FD8" w:rsidRDefault="003A2FD8" w14:paraId="0091C36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15F74"/>
    <w:rsid w:val="00017C53"/>
    <w:rsid w:val="00030840"/>
    <w:rsid w:val="00065EBD"/>
    <w:rsid w:val="000831F6"/>
    <w:rsid w:val="00083B44"/>
    <w:rsid w:val="000850DC"/>
    <w:rsid w:val="000C2771"/>
    <w:rsid w:val="000F0DCE"/>
    <w:rsid w:val="00112C5B"/>
    <w:rsid w:val="00114193"/>
    <w:rsid w:val="00115A38"/>
    <w:rsid w:val="0011687B"/>
    <w:rsid w:val="00124F82"/>
    <w:rsid w:val="0016337A"/>
    <w:rsid w:val="00164269"/>
    <w:rsid w:val="0016666D"/>
    <w:rsid w:val="00197A52"/>
    <w:rsid w:val="001A1BDE"/>
    <w:rsid w:val="001A4874"/>
    <w:rsid w:val="001C0520"/>
    <w:rsid w:val="001C0975"/>
    <w:rsid w:val="001F0876"/>
    <w:rsid w:val="001F167C"/>
    <w:rsid w:val="001F5E91"/>
    <w:rsid w:val="00201361"/>
    <w:rsid w:val="002077B9"/>
    <w:rsid w:val="00262D72"/>
    <w:rsid w:val="00294FBB"/>
    <w:rsid w:val="00296F5E"/>
    <w:rsid w:val="002C030F"/>
    <w:rsid w:val="002C3E90"/>
    <w:rsid w:val="002C667A"/>
    <w:rsid w:val="002F52CF"/>
    <w:rsid w:val="00325D90"/>
    <w:rsid w:val="00331D75"/>
    <w:rsid w:val="003467EA"/>
    <w:rsid w:val="00355362"/>
    <w:rsid w:val="00363E44"/>
    <w:rsid w:val="00387114"/>
    <w:rsid w:val="00395E86"/>
    <w:rsid w:val="00397983"/>
    <w:rsid w:val="003A015F"/>
    <w:rsid w:val="003A2FD8"/>
    <w:rsid w:val="003B1074"/>
    <w:rsid w:val="003B40E6"/>
    <w:rsid w:val="003E44EC"/>
    <w:rsid w:val="003F6E14"/>
    <w:rsid w:val="00405336"/>
    <w:rsid w:val="004176AF"/>
    <w:rsid w:val="0044046B"/>
    <w:rsid w:val="00453976"/>
    <w:rsid w:val="004571D5"/>
    <w:rsid w:val="00461D81"/>
    <w:rsid w:val="0046356B"/>
    <w:rsid w:val="00477182"/>
    <w:rsid w:val="004779CB"/>
    <w:rsid w:val="00497BF7"/>
    <w:rsid w:val="004A159F"/>
    <w:rsid w:val="004B2F21"/>
    <w:rsid w:val="004E42D8"/>
    <w:rsid w:val="004E7BA2"/>
    <w:rsid w:val="004F7EDF"/>
    <w:rsid w:val="005001AC"/>
    <w:rsid w:val="00527D71"/>
    <w:rsid w:val="0053631D"/>
    <w:rsid w:val="0053729B"/>
    <w:rsid w:val="00556545"/>
    <w:rsid w:val="005607DD"/>
    <w:rsid w:val="00573A05"/>
    <w:rsid w:val="00574C12"/>
    <w:rsid w:val="005A558C"/>
    <w:rsid w:val="005D088E"/>
    <w:rsid w:val="005D56EE"/>
    <w:rsid w:val="005E28F8"/>
    <w:rsid w:val="005E6513"/>
    <w:rsid w:val="006069C6"/>
    <w:rsid w:val="00611A19"/>
    <w:rsid w:val="006140DF"/>
    <w:rsid w:val="00651114"/>
    <w:rsid w:val="0065772A"/>
    <w:rsid w:val="00670299"/>
    <w:rsid w:val="00676FD1"/>
    <w:rsid w:val="00685631"/>
    <w:rsid w:val="00691985"/>
    <w:rsid w:val="006A1B64"/>
    <w:rsid w:val="006D169A"/>
    <w:rsid w:val="006E3E68"/>
    <w:rsid w:val="006F54E8"/>
    <w:rsid w:val="006F7A3B"/>
    <w:rsid w:val="007108F5"/>
    <w:rsid w:val="00713E5B"/>
    <w:rsid w:val="007402FC"/>
    <w:rsid w:val="007411A1"/>
    <w:rsid w:val="00761231"/>
    <w:rsid w:val="00797F24"/>
    <w:rsid w:val="007B5946"/>
    <w:rsid w:val="007C5FB9"/>
    <w:rsid w:val="007E64D0"/>
    <w:rsid w:val="007F5297"/>
    <w:rsid w:val="00807D35"/>
    <w:rsid w:val="0081673E"/>
    <w:rsid w:val="00820484"/>
    <w:rsid w:val="00824DF3"/>
    <w:rsid w:val="00826F38"/>
    <w:rsid w:val="00840BB2"/>
    <w:rsid w:val="00844B9B"/>
    <w:rsid w:val="00882CFD"/>
    <w:rsid w:val="00885C9B"/>
    <w:rsid w:val="008D5D2A"/>
    <w:rsid w:val="00914B63"/>
    <w:rsid w:val="00916ABB"/>
    <w:rsid w:val="009258B8"/>
    <w:rsid w:val="009354F3"/>
    <w:rsid w:val="009422C0"/>
    <w:rsid w:val="00943C3C"/>
    <w:rsid w:val="009447DC"/>
    <w:rsid w:val="00961BA5"/>
    <w:rsid w:val="009743A9"/>
    <w:rsid w:val="00994F26"/>
    <w:rsid w:val="009A5287"/>
    <w:rsid w:val="009A670E"/>
    <w:rsid w:val="009B2AC5"/>
    <w:rsid w:val="009B7984"/>
    <w:rsid w:val="009F4BED"/>
    <w:rsid w:val="009F7D93"/>
    <w:rsid w:val="00A3403B"/>
    <w:rsid w:val="00A51A12"/>
    <w:rsid w:val="00A56EBB"/>
    <w:rsid w:val="00A627D4"/>
    <w:rsid w:val="00A72B81"/>
    <w:rsid w:val="00A74DA2"/>
    <w:rsid w:val="00AC15B4"/>
    <w:rsid w:val="00AD499C"/>
    <w:rsid w:val="00AD619A"/>
    <w:rsid w:val="00B15008"/>
    <w:rsid w:val="00B36869"/>
    <w:rsid w:val="00B42F9C"/>
    <w:rsid w:val="00B43B31"/>
    <w:rsid w:val="00B47CFA"/>
    <w:rsid w:val="00B5058E"/>
    <w:rsid w:val="00B57F00"/>
    <w:rsid w:val="00B77B2A"/>
    <w:rsid w:val="00B82C22"/>
    <w:rsid w:val="00B8723B"/>
    <w:rsid w:val="00B93DBA"/>
    <w:rsid w:val="00B9440A"/>
    <w:rsid w:val="00BA4F05"/>
    <w:rsid w:val="00BB2D2A"/>
    <w:rsid w:val="00BD58CF"/>
    <w:rsid w:val="00C046DC"/>
    <w:rsid w:val="00C04CC1"/>
    <w:rsid w:val="00C05810"/>
    <w:rsid w:val="00C42047"/>
    <w:rsid w:val="00C50C6D"/>
    <w:rsid w:val="00C600D9"/>
    <w:rsid w:val="00CC1384"/>
    <w:rsid w:val="00CD3720"/>
    <w:rsid w:val="00CF16C9"/>
    <w:rsid w:val="00CF1848"/>
    <w:rsid w:val="00CF54A3"/>
    <w:rsid w:val="00CF5C2F"/>
    <w:rsid w:val="00D04BCF"/>
    <w:rsid w:val="00D143D9"/>
    <w:rsid w:val="00D269AB"/>
    <w:rsid w:val="00D346C2"/>
    <w:rsid w:val="00DA59EA"/>
    <w:rsid w:val="00DD421A"/>
    <w:rsid w:val="00E257C8"/>
    <w:rsid w:val="00E37047"/>
    <w:rsid w:val="00E561DB"/>
    <w:rsid w:val="00E60D0F"/>
    <w:rsid w:val="00E9773B"/>
    <w:rsid w:val="00EA596B"/>
    <w:rsid w:val="00EC13A3"/>
    <w:rsid w:val="00EC7C85"/>
    <w:rsid w:val="00F125EE"/>
    <w:rsid w:val="00F12E98"/>
    <w:rsid w:val="00F21C2B"/>
    <w:rsid w:val="00F22029"/>
    <w:rsid w:val="00F4197A"/>
    <w:rsid w:val="00F514EC"/>
    <w:rsid w:val="00F630EA"/>
    <w:rsid w:val="00F7007E"/>
    <w:rsid w:val="00F70200"/>
    <w:rsid w:val="00F72240"/>
    <w:rsid w:val="00F730F5"/>
    <w:rsid w:val="00F73193"/>
    <w:rsid w:val="00F74F95"/>
    <w:rsid w:val="00F80705"/>
    <w:rsid w:val="00FA1481"/>
    <w:rsid w:val="00FE495E"/>
    <w:rsid w:val="00FF04E3"/>
    <w:rsid w:val="0101FFB0"/>
    <w:rsid w:val="026AA37D"/>
    <w:rsid w:val="05D0BAB1"/>
    <w:rsid w:val="06A80763"/>
    <w:rsid w:val="073BA6F9"/>
    <w:rsid w:val="08A31150"/>
    <w:rsid w:val="0979A634"/>
    <w:rsid w:val="0B858084"/>
    <w:rsid w:val="0CE67973"/>
    <w:rsid w:val="0DB64AC6"/>
    <w:rsid w:val="11031F9B"/>
    <w:rsid w:val="115E3F85"/>
    <w:rsid w:val="130D3FA4"/>
    <w:rsid w:val="16937DF1"/>
    <w:rsid w:val="16DEB4E9"/>
    <w:rsid w:val="17002052"/>
    <w:rsid w:val="1B3B52A6"/>
    <w:rsid w:val="1D1B5F8B"/>
    <w:rsid w:val="1D2B6A91"/>
    <w:rsid w:val="1E677BBD"/>
    <w:rsid w:val="2191DCEB"/>
    <w:rsid w:val="24C2F6FB"/>
    <w:rsid w:val="27C0102C"/>
    <w:rsid w:val="2B78204D"/>
    <w:rsid w:val="2BD4009C"/>
    <w:rsid w:val="2C6FBE84"/>
    <w:rsid w:val="2E49F1ED"/>
    <w:rsid w:val="30C00567"/>
    <w:rsid w:val="30D2A22B"/>
    <w:rsid w:val="34506BE0"/>
    <w:rsid w:val="36C60968"/>
    <w:rsid w:val="3A6FE63A"/>
    <w:rsid w:val="3C1C91F4"/>
    <w:rsid w:val="4068DF9D"/>
    <w:rsid w:val="41394553"/>
    <w:rsid w:val="41E913BB"/>
    <w:rsid w:val="42DF5DA0"/>
    <w:rsid w:val="43FD52B3"/>
    <w:rsid w:val="4635C681"/>
    <w:rsid w:val="478609C8"/>
    <w:rsid w:val="49BB013E"/>
    <w:rsid w:val="49CC2B37"/>
    <w:rsid w:val="4E5517A7"/>
    <w:rsid w:val="4E6A8284"/>
    <w:rsid w:val="5025D405"/>
    <w:rsid w:val="507B100B"/>
    <w:rsid w:val="533857A9"/>
    <w:rsid w:val="53400BEE"/>
    <w:rsid w:val="55AC5186"/>
    <w:rsid w:val="5B9A4FC7"/>
    <w:rsid w:val="5BA7FAA3"/>
    <w:rsid w:val="60ED4CB4"/>
    <w:rsid w:val="6262C1EF"/>
    <w:rsid w:val="646FA989"/>
    <w:rsid w:val="64F1DDAF"/>
    <w:rsid w:val="6730B1AD"/>
    <w:rsid w:val="6904B411"/>
    <w:rsid w:val="6A688074"/>
    <w:rsid w:val="6B7D5C12"/>
    <w:rsid w:val="6E86D5F9"/>
    <w:rsid w:val="719A4315"/>
    <w:rsid w:val="7523ECFA"/>
    <w:rsid w:val="787251CD"/>
    <w:rsid w:val="79C9F6C9"/>
    <w:rsid w:val="7BA0ED9B"/>
    <w:rsid w:val="7C854672"/>
    <w:rsid w:val="7DE5FF83"/>
    <w:rsid w:val="7F6F6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7D1EA8"/>
  <w15:docId w15:val="{7732CBBE-EF5B-4064-BD0B-D20A12F7BC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hAnsi="Times" w:eastAsia="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semiHidden/>
    <w:rsid w:val="00477182"/>
  </w:style>
  <w:style w:type="character" w:styleId="Heading1Char" w:customStyle="1">
    <w:name w:val="Heading 1 Char"/>
    <w:basedOn w:val="DefaultParagraphFont"/>
    <w:link w:val="Heading1"/>
    <w:semiHidden/>
    <w:rsid w:val="00FF04E3"/>
    <w:rPr>
      <w:b/>
      <w:bCs/>
      <w:kern w:val="32"/>
      <w:sz w:val="24"/>
      <w:szCs w:val="24"/>
    </w:rPr>
  </w:style>
  <w:style w:type="character" w:styleId="Heading2Char" w:customStyle="1">
    <w:name w:val="Heading 2 Char"/>
    <w:basedOn w:val="DefaultParagraphFont"/>
    <w:link w:val="Heading2"/>
    <w:semiHidden/>
    <w:rsid w:val="00FF04E3"/>
    <w:rPr>
      <w:rFonts w:ascii="Cambria" w:hAnsi="Cambria"/>
      <w:b/>
      <w:bCs/>
      <w:i/>
      <w:iCs/>
      <w:sz w:val="28"/>
      <w:szCs w:val="28"/>
    </w:rPr>
  </w:style>
  <w:style w:type="character" w:styleId="Heading5Char" w:customStyle="1">
    <w:name w:val="Heading 5 Char"/>
    <w:basedOn w:val="DefaultParagraphFont"/>
    <w:link w:val="Heading5"/>
    <w:semiHidden/>
    <w:rsid w:val="00FF04E3"/>
    <w:rPr>
      <w:rFonts w:ascii="Calibri" w:hAnsi="Calibri"/>
      <w:b/>
      <w:bCs/>
      <w:i/>
      <w:iCs/>
      <w:sz w:val="26"/>
      <w:szCs w:val="26"/>
    </w:rPr>
  </w:style>
  <w:style w:type="character" w:styleId="Heading6Char" w:customStyle="1">
    <w:name w:val="Heading 6 Char"/>
    <w:basedOn w:val="DefaultParagraphFont"/>
    <w:link w:val="Heading6"/>
    <w:semiHidden/>
    <w:rsid w:val="00FF04E3"/>
    <w:rPr>
      <w:rFonts w:ascii="Calibri" w:hAnsi="Calibri"/>
      <w:b/>
      <w:bCs/>
      <w:sz w:val="22"/>
      <w:szCs w:val="22"/>
    </w:rPr>
  </w:style>
  <w:style w:type="character" w:styleId="Heading7Char" w:customStyle="1">
    <w:name w:val="Heading 7 Char"/>
    <w:basedOn w:val="DefaultParagraphFont"/>
    <w:link w:val="Heading7"/>
    <w:semiHidden/>
    <w:rsid w:val="00FF04E3"/>
    <w:rPr>
      <w:rFonts w:ascii="Calibri" w:hAnsi="Calibri"/>
      <w:sz w:val="24"/>
      <w:szCs w:val="24"/>
    </w:rPr>
  </w:style>
  <w:style w:type="character" w:styleId="Heading8Char" w:customStyle="1">
    <w:name w:val="Heading 8 Char"/>
    <w:basedOn w:val="DefaultParagraphFont"/>
    <w:link w:val="Heading8"/>
    <w:semiHidden/>
    <w:rsid w:val="00FF04E3"/>
    <w:rPr>
      <w:rFonts w:ascii="Calibri" w:hAnsi="Calibri"/>
      <w:i/>
      <w:iCs/>
      <w:sz w:val="24"/>
      <w:szCs w:val="24"/>
    </w:rPr>
  </w:style>
  <w:style w:type="character" w:styleId="Heading9Char" w:customStyle="1">
    <w:name w:val="Heading 9 Char"/>
    <w:basedOn w:val="DefaultParagraphFont"/>
    <w:link w:val="Heading9"/>
    <w:semiHidden/>
    <w:rsid w:val="00FF04E3"/>
    <w:rPr>
      <w:rFonts w:ascii="Cambria" w:hAnsi="Cambria"/>
      <w:sz w:val="22"/>
      <w:szCs w:val="22"/>
    </w:rPr>
  </w:style>
  <w:style w:type="paragraph" w:styleId="SMHeading" w:customStyle="1">
    <w:name w:val="SM Heading"/>
    <w:basedOn w:val="Heading1"/>
    <w:qFormat/>
    <w:rsid w:val="00F74F95"/>
  </w:style>
  <w:style w:type="paragraph" w:styleId="SMSubheading" w:customStyle="1">
    <w:name w:val="SM Subheading"/>
    <w:basedOn w:val="Normal"/>
    <w:qFormat/>
    <w:rsid w:val="00B9440A"/>
    <w:rPr>
      <w:u w:val="words"/>
    </w:rPr>
  </w:style>
  <w:style w:type="paragraph" w:styleId="SMText" w:customStyle="1">
    <w:name w:val="SM Text"/>
    <w:basedOn w:val="Normal"/>
    <w:qFormat/>
    <w:rsid w:val="00B9440A"/>
    <w:pPr>
      <w:ind w:firstLine="480"/>
    </w:pPr>
  </w:style>
  <w:style w:type="paragraph" w:styleId="SMcaption" w:customStyle="1">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styleId="BalloonTextChar" w:customStyle="1">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styleId="BodyTextChar" w:customStyle="1">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styleId="BodyText2Char" w:customStyle="1">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styleId="BodyText3Char" w:customStyle="1">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styleId="BodyTextFirstIndentChar" w:customStyle="1">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styleId="BodyTextIndentChar" w:customStyle="1">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styleId="BodyTextFirstIndent2Char" w:customStyle="1">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styleId="BodyTextIndent2Char" w:customStyle="1">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styleId="BodyTextIndent3Char" w:customStyle="1">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styleId="ClosingChar" w:customStyle="1">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styleId="CommentTextChar" w:customStyle="1">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styleId="CommentSubjectChar" w:customStyle="1">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styleId="DateChar" w:customStyle="1">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styleId="DocumentMapChar" w:customStyle="1">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styleId="E-mailSignatureChar" w:customStyle="1">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styleId="EndnoteTextChar" w:customStyle="1">
    <w:name w:val="Endnote Text Char"/>
    <w:basedOn w:val="DefaultParagraphFont"/>
    <w:link w:val="EndnoteText"/>
    <w:semiHidden/>
    <w:rsid w:val="00FF04E3"/>
  </w:style>
  <w:style w:type="paragraph" w:styleId="EnvelopeAddress">
    <w:name w:val="envelope address"/>
    <w:basedOn w:val="Normal"/>
    <w:semiHidden/>
    <w:rsid w:val="00405336"/>
    <w:pPr>
      <w:framePr w:w="7920" w:h="1980" w:hSpace="180" w:wrap="auto" w:hAnchor="page" w:xAlign="center" w:yAlign="bottom" w:hRule="exact"/>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styleId="FooterChar" w:customStyle="1">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styleId="FootnoteTextChar" w:customStyle="1">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styleId="HeaderChar" w:customStyle="1">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styleId="HTMLAddressChar" w:customStyle="1">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styleId="HTMLPreformattedChar" w:customStyle="1">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color="4F81BD" w:sz="4" w:space="4"/>
      </w:pBdr>
      <w:spacing w:before="200" w:after="280"/>
      <w:ind w:left="936" w:right="936"/>
    </w:pPr>
    <w:rPr>
      <w:b/>
      <w:bCs/>
      <w:i/>
      <w:iCs/>
      <w:color w:val="4F81BD"/>
    </w:rPr>
  </w:style>
  <w:style w:type="character" w:styleId="IntenseQuoteChar" w:customStyle="1">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MacroTextChar" w:customStyle="1">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Cs w:val="24"/>
    </w:rPr>
  </w:style>
  <w:style w:type="character" w:styleId="MessageHeaderChar" w:customStyle="1">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styleId="NoteHeadingChar" w:customStyle="1">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styleId="PlainTextChar" w:customStyle="1">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styleId="QuoteChar" w:customStyle="1">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styleId="SalutationChar" w:customStyle="1">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styleId="SignatureChar" w:customStyle="1">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styleId="SubtitleChar" w:customStyle="1">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paragraph" w:styleId="Head" w:customStyle="1">
    <w:name w:val="Head"/>
    <w:basedOn w:val="Normal"/>
    <w:rsid w:val="00C42047"/>
    <w:pPr>
      <w:keepNext/>
      <w:spacing w:before="120" w:after="120"/>
      <w:jc w:val="center"/>
      <w:outlineLvl w:val="0"/>
    </w:pPr>
    <w:rPr>
      <w:b/>
      <w:bCs/>
      <w:kern w:val="28"/>
      <w:sz w:val="28"/>
      <w:szCs w:val="28"/>
    </w:rPr>
  </w:style>
  <w:style w:type="paragraph" w:styleId="AbstractSummary" w:customStyle="1">
    <w:name w:val="Abstract/Summary"/>
    <w:basedOn w:val="Normal"/>
    <w:rsid w:val="00C42047"/>
    <w:pPr>
      <w:spacing w:before="120"/>
    </w:pPr>
    <w:rPr>
      <w:szCs w:val="24"/>
    </w:rPr>
  </w:style>
  <w:style w:type="paragraph" w:styleId="Paragraph" w:customStyle="1">
    <w:name w:val="Paragraph"/>
    <w:basedOn w:val="Normal"/>
    <w:rsid w:val="00C42047"/>
    <w:pPr>
      <w:spacing w:before="120"/>
      <w:ind w:firstLine="720"/>
    </w:pPr>
    <w:rPr>
      <w:szCs w:val="24"/>
    </w:rPr>
  </w:style>
  <w:style w:type="paragraph" w:styleId="Teaser" w:customStyle="1">
    <w:name w:val="Teaser"/>
    <w:basedOn w:val="Normal"/>
    <w:rsid w:val="00C42047"/>
    <w:pPr>
      <w:spacing w:before="120"/>
    </w:pPr>
    <w:rPr>
      <w:szCs w:val="24"/>
    </w:rPr>
  </w:style>
  <w:style w:type="table" w:styleId="TableGrid">
    <w:name w:val="Table Grid"/>
    <w:basedOn w:val="TableNormal"/>
    <w:uiPriority w:val="59"/>
    <w:rsid w:val="00C42047"/>
    <w:rPr>
      <w:rFonts w:asciiTheme="minorHAnsi" w:hAnsiTheme="minorHAnsi" w:eastAsiaTheme="minorHAnsi" w:cstheme="minorBidi"/>
      <w:sz w:val="22"/>
      <w:szCs w:val="22"/>
      <w:lang w:val="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mailto:p.r.dash@reading.ac.uk" TargetMode="External" Id="R82dc5bdb6dbd4641" /><Relationship Type="http://schemas.openxmlformats.org/officeDocument/2006/relationships/image" Target="/media/image5.jpg" Id="R31a744a3955346c9" /><Relationship Type="http://schemas.openxmlformats.org/officeDocument/2006/relationships/image" Target="/media/image6.jpg" Id="Rcf8332c879e446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BF79-79B6-49B6-84E8-74779FC9E3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AAAS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Supporting Online Material for</dc:title>
  <dc:subject/>
  <dc:creator>Brooks Hanson</dc:creator>
  <keywords/>
  <lastModifiedBy>George Butler</lastModifiedBy>
  <revision>38</revision>
  <lastPrinted>2018-02-26T09:19:00.0000000Z</lastPrinted>
  <dcterms:created xsi:type="dcterms:W3CDTF">2020-06-22T01:26:00.0000000Z</dcterms:created>
  <dcterms:modified xsi:type="dcterms:W3CDTF">2020-11-16T13:58:07.1106247Z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ae70e85e-a9ab-343d-af5d-96a5e05390e9</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http://www.zotero.org/styles/pnas</vt:lpwstr>
  </property>
  <property fmtid="{D5CDD505-2E9C-101B-9397-08002B2CF9AE}" pid="21" name="Mendeley Recent Style Name 8_1">
    <vt:lpwstr>Proceedings of the National Academy of Sciences of the United States of America</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