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21B4" w14:textId="77777777" w:rsidR="0096421F" w:rsidRPr="000F0454" w:rsidRDefault="00E9289C" w:rsidP="0096421F">
      <w:pPr>
        <w:widowControl/>
        <w:suppressAutoHyphens w:val="0"/>
        <w:autoSpaceDN/>
        <w:spacing w:after="160" w:line="360" w:lineRule="auto"/>
        <w:jc w:val="center"/>
        <w:textAlignment w:val="auto"/>
        <w:rPr>
          <w:rFonts w:asciiTheme="minorHAnsi" w:hAnsiTheme="minorHAnsi" w:cstheme="minorHAnsi"/>
          <w:b/>
          <w:sz w:val="24"/>
          <w:szCs w:val="24"/>
        </w:rPr>
      </w:pPr>
      <w:r>
        <w:rPr>
          <w:rFonts w:asciiTheme="minorHAnsi" w:hAnsiTheme="minorHAnsi" w:cstheme="minorHAnsi"/>
          <w:b/>
        </w:rPr>
        <w:t xml:space="preserve">Supplementary material. </w:t>
      </w:r>
      <w:bookmarkStart w:id="0" w:name="_Hlk36721745"/>
      <w:r w:rsidR="0096421F" w:rsidRPr="000F0454">
        <w:rPr>
          <w:rFonts w:asciiTheme="minorHAnsi" w:hAnsiTheme="minorHAnsi" w:cstheme="minorHAnsi"/>
          <w:b/>
          <w:sz w:val="24"/>
          <w:szCs w:val="24"/>
        </w:rPr>
        <w:t>Dietary antioxidants attenuate the endocrine stress response during long-duration flight of a migratory bird</w:t>
      </w:r>
    </w:p>
    <w:bookmarkEnd w:id="0"/>
    <w:p w14:paraId="54F9D661" w14:textId="0E6F24BD" w:rsidR="00E9289C" w:rsidRPr="00514315" w:rsidRDefault="00E9289C" w:rsidP="0096421F">
      <w:pPr>
        <w:widowControl/>
        <w:suppressAutoHyphens w:val="0"/>
        <w:autoSpaceDN/>
        <w:spacing w:after="160" w:line="360" w:lineRule="auto"/>
        <w:textAlignment w:val="auto"/>
        <w:rPr>
          <w:rFonts w:asciiTheme="minorHAnsi" w:eastAsiaTheme="minorHAnsi" w:hAnsiTheme="minorHAnsi" w:cstheme="minorHAnsi"/>
          <w:kern w:val="0"/>
          <w:lang w:val="en-US"/>
        </w:rPr>
      </w:pPr>
      <w:r w:rsidRPr="00514315">
        <w:rPr>
          <w:rFonts w:asciiTheme="minorHAnsi" w:hAnsiTheme="minorHAnsi" w:cstheme="minorHAnsi"/>
          <w:lang w:val="en-US"/>
        </w:rPr>
        <w:t>Stefania Casagrande</w:t>
      </w:r>
      <w:r w:rsidRPr="00514315">
        <w:rPr>
          <w:rFonts w:asciiTheme="minorHAnsi" w:hAnsiTheme="minorHAnsi" w:cstheme="minorHAnsi"/>
          <w:vertAlign w:val="superscript"/>
          <w:lang w:val="en-US"/>
        </w:rPr>
        <w:t>1*</w:t>
      </w:r>
      <w:r w:rsidRPr="00514315">
        <w:rPr>
          <w:rFonts w:asciiTheme="minorHAnsi" w:hAnsiTheme="minorHAnsi" w:cstheme="minorHAnsi"/>
          <w:lang w:val="en-US"/>
        </w:rPr>
        <w:t>, Kristen DeMoranville</w:t>
      </w:r>
      <w:r w:rsidRPr="00514315">
        <w:rPr>
          <w:rFonts w:asciiTheme="minorHAnsi" w:hAnsiTheme="minorHAnsi" w:cstheme="minorHAnsi"/>
          <w:vertAlign w:val="superscript"/>
          <w:lang w:val="en-US"/>
        </w:rPr>
        <w:t>2</w:t>
      </w:r>
      <w:r w:rsidRPr="00514315">
        <w:rPr>
          <w:rFonts w:asciiTheme="minorHAnsi" w:eastAsiaTheme="minorHAnsi" w:hAnsiTheme="minorHAnsi" w:cstheme="minorHAnsi"/>
          <w:kern w:val="0"/>
          <w:lang w:val="en-US"/>
        </w:rPr>
        <w:t>b</w:t>
      </w:r>
      <w:r w:rsidRPr="00514315">
        <w:rPr>
          <w:rFonts w:asciiTheme="minorHAnsi" w:hAnsiTheme="minorHAnsi" w:cstheme="minorHAnsi"/>
          <w:lang w:val="en-US"/>
        </w:rPr>
        <w:t xml:space="preserve">, </w:t>
      </w:r>
      <w:r w:rsidRPr="00514315">
        <w:rPr>
          <w:rFonts w:asciiTheme="minorHAnsi" w:eastAsiaTheme="minorHAnsi" w:hAnsiTheme="minorHAnsi" w:cstheme="minorHAnsi"/>
          <w:kern w:val="0"/>
          <w:lang w:val="en-US"/>
        </w:rPr>
        <w:t>Lisa Trost</w:t>
      </w:r>
      <w:r w:rsidRPr="00514315">
        <w:rPr>
          <w:rFonts w:asciiTheme="minorHAnsi" w:hAnsiTheme="minorHAnsi" w:cstheme="minorHAnsi"/>
          <w:vertAlign w:val="superscript"/>
          <w:lang w:val="en-US"/>
        </w:rPr>
        <w:t>3</w:t>
      </w:r>
      <w:r w:rsidRPr="00514315">
        <w:rPr>
          <w:rFonts w:asciiTheme="minorHAnsi" w:eastAsiaTheme="minorHAnsi" w:hAnsiTheme="minorHAnsi" w:cstheme="minorHAnsi"/>
          <w:kern w:val="0"/>
          <w:lang w:val="en-US"/>
        </w:rPr>
        <w:t>, Barbara Pierce</w:t>
      </w:r>
      <w:r w:rsidRPr="00514315">
        <w:rPr>
          <w:rFonts w:asciiTheme="minorHAnsi" w:hAnsiTheme="minorHAnsi" w:cstheme="minorHAnsi"/>
          <w:vertAlign w:val="superscript"/>
          <w:lang w:val="en-US"/>
        </w:rPr>
        <w:t>4</w:t>
      </w:r>
      <w:r w:rsidRPr="00514315">
        <w:rPr>
          <w:rFonts w:asciiTheme="minorHAnsi" w:eastAsiaTheme="minorHAnsi" w:hAnsiTheme="minorHAnsi" w:cstheme="minorHAnsi"/>
          <w:kern w:val="0"/>
          <w:lang w:val="en-US"/>
        </w:rPr>
        <w:t xml:space="preserve">, </w:t>
      </w:r>
      <w:proofErr w:type="spellStart"/>
      <w:r w:rsidRPr="00514315">
        <w:rPr>
          <w:rFonts w:asciiTheme="minorHAnsi" w:eastAsiaTheme="minorHAnsi" w:hAnsiTheme="minorHAnsi" w:cstheme="minorHAnsi"/>
          <w:kern w:val="0"/>
          <w:lang w:val="en-US"/>
        </w:rPr>
        <w:t>Amadeusz</w:t>
      </w:r>
      <w:proofErr w:type="spellEnd"/>
      <w:r w:rsidRPr="00514315">
        <w:rPr>
          <w:rFonts w:asciiTheme="minorHAnsi" w:eastAsiaTheme="minorHAnsi" w:hAnsiTheme="minorHAnsi" w:cstheme="minorHAnsi"/>
          <w:kern w:val="0"/>
          <w:lang w:val="en-US"/>
        </w:rPr>
        <w:t xml:space="preserve"> Bry</w:t>
      </w:r>
      <w:r w:rsidRPr="00C14608">
        <w:rPr>
          <w:rFonts w:asciiTheme="minorHAnsi" w:eastAsiaTheme="minorHAnsi" w:hAnsiTheme="minorHAnsi" w:cstheme="minorHAnsi"/>
          <w:kern w:val="0"/>
          <w:lang w:val="en-US"/>
        </w:rPr>
        <w:t>ł</w:t>
      </w:r>
      <w:r w:rsidRPr="00514315">
        <w:rPr>
          <w:rFonts w:asciiTheme="minorHAnsi" w:eastAsiaTheme="minorHAnsi" w:hAnsiTheme="minorHAnsi" w:cstheme="minorHAnsi"/>
          <w:kern w:val="0"/>
          <w:lang w:val="en-US"/>
        </w:rPr>
        <w:t>a</w:t>
      </w:r>
      <w:r w:rsidRPr="00514315">
        <w:rPr>
          <w:rFonts w:asciiTheme="minorHAnsi" w:hAnsiTheme="minorHAnsi" w:cstheme="minorHAnsi"/>
          <w:vertAlign w:val="superscript"/>
          <w:lang w:val="en-US"/>
        </w:rPr>
        <w:t>5</w:t>
      </w:r>
      <w:r w:rsidRPr="00514315">
        <w:rPr>
          <w:rFonts w:asciiTheme="minorHAnsi" w:eastAsiaTheme="minorHAnsi" w:hAnsiTheme="minorHAnsi" w:cstheme="minorHAnsi"/>
          <w:kern w:val="0"/>
          <w:lang w:val="en-US"/>
        </w:rPr>
        <w:t>, Maciej Dzialo</w:t>
      </w:r>
      <w:r w:rsidRPr="00514315">
        <w:rPr>
          <w:rFonts w:asciiTheme="minorHAnsi" w:hAnsiTheme="minorHAnsi" w:cstheme="minorHAnsi"/>
          <w:vertAlign w:val="superscript"/>
          <w:lang w:val="en-US"/>
        </w:rPr>
        <w:t>5</w:t>
      </w:r>
      <w:r w:rsidRPr="00514315">
        <w:rPr>
          <w:rFonts w:asciiTheme="minorHAnsi" w:eastAsiaTheme="minorHAnsi" w:hAnsiTheme="minorHAnsi" w:cstheme="minorHAnsi"/>
          <w:kern w:val="0"/>
          <w:lang w:val="en-US"/>
        </w:rPr>
        <w:t xml:space="preserve">, </w:t>
      </w:r>
      <w:r>
        <w:rPr>
          <w:rFonts w:asciiTheme="minorHAnsi" w:eastAsiaTheme="minorHAnsi" w:hAnsiTheme="minorHAnsi" w:cstheme="minorHAnsi"/>
          <w:kern w:val="0"/>
          <w:lang w:val="en-US"/>
        </w:rPr>
        <w:t>Edyta T. Sadowska</w:t>
      </w:r>
      <w:r w:rsidRPr="00C14608">
        <w:rPr>
          <w:rFonts w:asciiTheme="minorHAnsi" w:eastAsiaTheme="minorHAnsi" w:hAnsiTheme="minorHAnsi" w:cstheme="minorHAnsi"/>
          <w:kern w:val="0"/>
          <w:vertAlign w:val="superscript"/>
          <w:lang w:val="en-US"/>
        </w:rPr>
        <w:t>5</w:t>
      </w:r>
      <w:r>
        <w:rPr>
          <w:rFonts w:asciiTheme="minorHAnsi" w:eastAsiaTheme="minorHAnsi" w:hAnsiTheme="minorHAnsi" w:cstheme="minorHAnsi"/>
          <w:kern w:val="0"/>
          <w:lang w:val="en-US"/>
        </w:rPr>
        <w:t xml:space="preserve">, </w:t>
      </w:r>
      <w:r w:rsidRPr="00514315">
        <w:rPr>
          <w:rFonts w:asciiTheme="minorHAnsi" w:eastAsiaTheme="minorHAnsi" w:hAnsiTheme="minorHAnsi" w:cstheme="minorHAnsi"/>
          <w:kern w:val="0"/>
          <w:lang w:val="en-US"/>
        </w:rPr>
        <w:t>Ulf Bauchinger</w:t>
      </w:r>
      <w:r>
        <w:rPr>
          <w:rFonts w:asciiTheme="minorHAnsi" w:hAnsiTheme="minorHAnsi" w:cstheme="minorHAnsi"/>
          <w:vertAlign w:val="superscript"/>
          <w:lang w:val="en-US"/>
        </w:rPr>
        <w:t>5,6</w:t>
      </w:r>
      <w:r w:rsidRPr="00514315">
        <w:rPr>
          <w:rFonts w:asciiTheme="minorHAnsi" w:eastAsiaTheme="minorHAnsi" w:hAnsiTheme="minorHAnsi" w:cstheme="minorHAnsi"/>
          <w:kern w:val="0"/>
          <w:lang w:val="en-US"/>
        </w:rPr>
        <w:t>, Scott R. McWilliams</w:t>
      </w:r>
      <w:r w:rsidRPr="00514315">
        <w:rPr>
          <w:rFonts w:asciiTheme="minorHAnsi" w:hAnsiTheme="minorHAnsi" w:cstheme="minorHAnsi"/>
          <w:vertAlign w:val="superscript"/>
          <w:lang w:val="en-US"/>
        </w:rPr>
        <w:t>2</w:t>
      </w:r>
    </w:p>
    <w:p w14:paraId="0FA21DB5" w14:textId="77777777" w:rsidR="00E9289C" w:rsidRPr="00514315" w:rsidRDefault="00E9289C" w:rsidP="00E9289C">
      <w:pPr>
        <w:widowControl/>
        <w:suppressAutoHyphens w:val="0"/>
        <w:autoSpaceDE w:val="0"/>
        <w:adjustRightInd w:val="0"/>
        <w:spacing w:after="0" w:line="360" w:lineRule="auto"/>
        <w:textAlignment w:val="auto"/>
        <w:rPr>
          <w:rFonts w:asciiTheme="minorHAnsi" w:eastAsiaTheme="minorHAnsi" w:hAnsiTheme="minorHAnsi" w:cstheme="minorHAnsi"/>
          <w:kern w:val="0"/>
          <w:lang w:val="en-US"/>
        </w:rPr>
      </w:pPr>
    </w:p>
    <w:p w14:paraId="595A73C2" w14:textId="77777777" w:rsidR="00E9289C" w:rsidRPr="00154FD3" w:rsidRDefault="00E9289C" w:rsidP="00E9289C">
      <w:pPr>
        <w:widowControl/>
        <w:suppressAutoHyphens w:val="0"/>
        <w:autoSpaceDE w:val="0"/>
        <w:adjustRightInd w:val="0"/>
        <w:spacing w:after="0" w:line="360" w:lineRule="auto"/>
        <w:ind w:left="90" w:hanging="90"/>
        <w:textAlignment w:val="auto"/>
        <w:rPr>
          <w:rFonts w:asciiTheme="minorHAnsi" w:eastAsiaTheme="minorHAnsi" w:hAnsiTheme="minorHAnsi" w:cstheme="minorHAnsi"/>
          <w:kern w:val="0"/>
          <w:lang w:val="en-US"/>
        </w:rPr>
      </w:pPr>
      <w:r w:rsidRPr="00154FD3">
        <w:rPr>
          <w:rFonts w:asciiTheme="minorHAnsi" w:hAnsiTheme="minorHAnsi" w:cstheme="minorHAnsi"/>
          <w:vertAlign w:val="superscript"/>
        </w:rPr>
        <w:t>1</w:t>
      </w:r>
      <w:r>
        <w:rPr>
          <w:rFonts w:asciiTheme="minorHAnsi" w:hAnsiTheme="minorHAnsi" w:cstheme="minorHAnsi"/>
          <w:vertAlign w:val="superscript"/>
        </w:rPr>
        <w:t xml:space="preserve"> </w:t>
      </w:r>
      <w:r w:rsidRPr="00154FD3">
        <w:rPr>
          <w:rFonts w:asciiTheme="minorHAnsi" w:hAnsiTheme="minorHAnsi" w:cstheme="minorHAnsi"/>
        </w:rPr>
        <w:t xml:space="preserve">Evolutionary Physiology </w:t>
      </w:r>
      <w:r>
        <w:rPr>
          <w:rFonts w:asciiTheme="minorHAnsi" w:hAnsiTheme="minorHAnsi" w:cstheme="minorHAnsi"/>
        </w:rPr>
        <w:t>Research Group</w:t>
      </w:r>
      <w:r w:rsidRPr="00154FD3">
        <w:rPr>
          <w:rFonts w:asciiTheme="minorHAnsi" w:hAnsiTheme="minorHAnsi" w:cstheme="minorHAnsi"/>
        </w:rPr>
        <w:t xml:space="preserve">, Max Planck Institute for Ornithology, </w:t>
      </w:r>
      <w:r w:rsidRPr="00154FD3">
        <w:rPr>
          <w:rFonts w:asciiTheme="minorHAnsi" w:eastAsiaTheme="minorHAnsi" w:hAnsiTheme="minorHAnsi" w:cstheme="minorHAnsi"/>
          <w:kern w:val="0"/>
          <w:lang w:val="en-US"/>
        </w:rPr>
        <w:t>D-82319 Seewiesen, Germany</w:t>
      </w:r>
    </w:p>
    <w:p w14:paraId="7E17AC7E" w14:textId="77777777" w:rsidR="00E9289C" w:rsidRDefault="00E9289C" w:rsidP="00E9289C">
      <w:pPr>
        <w:pStyle w:val="Standard"/>
        <w:spacing w:line="360" w:lineRule="auto"/>
        <w:rPr>
          <w:rFonts w:asciiTheme="minorHAnsi" w:eastAsiaTheme="minorHAnsi" w:hAnsiTheme="minorHAnsi" w:cstheme="minorHAnsi"/>
          <w:kern w:val="0"/>
          <w:sz w:val="22"/>
          <w:szCs w:val="22"/>
          <w:lang w:val="en-US"/>
        </w:rPr>
      </w:pPr>
      <w:r w:rsidRPr="00154FD3">
        <w:rPr>
          <w:rFonts w:asciiTheme="minorHAnsi" w:hAnsiTheme="minorHAnsi" w:cstheme="minorHAnsi"/>
          <w:vertAlign w:val="superscript"/>
        </w:rPr>
        <w:t>2</w:t>
      </w:r>
      <w:r w:rsidRPr="00154FD3">
        <w:rPr>
          <w:rFonts w:asciiTheme="minorHAnsi" w:eastAsiaTheme="minorHAnsi" w:hAnsiTheme="minorHAnsi" w:cstheme="minorHAnsi"/>
          <w:kern w:val="0"/>
          <w:sz w:val="22"/>
          <w:szCs w:val="22"/>
          <w:lang w:val="en-US"/>
        </w:rPr>
        <w:t xml:space="preserve"> Department of Natural Resources Science, University of Rhode Island, Kingston, RI 02881, USA</w:t>
      </w:r>
    </w:p>
    <w:p w14:paraId="6D4167DD" w14:textId="77777777" w:rsidR="00E9289C" w:rsidRPr="00154FD3" w:rsidRDefault="00E9289C" w:rsidP="00E9289C">
      <w:pPr>
        <w:pStyle w:val="Standard"/>
        <w:spacing w:line="360" w:lineRule="auto"/>
        <w:ind w:left="90" w:hanging="90"/>
        <w:rPr>
          <w:rFonts w:asciiTheme="minorHAnsi" w:eastAsiaTheme="minorHAnsi" w:hAnsiTheme="minorHAnsi" w:cstheme="minorHAnsi"/>
          <w:kern w:val="0"/>
          <w:sz w:val="22"/>
          <w:szCs w:val="22"/>
          <w:lang w:val="en-US"/>
        </w:rPr>
      </w:pPr>
      <w:r>
        <w:rPr>
          <w:rFonts w:asciiTheme="minorHAnsi" w:hAnsiTheme="minorHAnsi" w:cstheme="minorHAnsi"/>
          <w:vertAlign w:val="superscript"/>
          <w:lang w:val="en-US"/>
        </w:rPr>
        <w:t>3</w:t>
      </w:r>
      <w:r w:rsidRPr="00154FD3">
        <w:rPr>
          <w:rFonts w:asciiTheme="minorHAnsi" w:eastAsiaTheme="minorHAnsi" w:hAnsiTheme="minorHAnsi" w:cstheme="minorHAnsi"/>
          <w:kern w:val="0"/>
          <w:sz w:val="22"/>
          <w:szCs w:val="22"/>
          <w:lang w:val="en-US"/>
        </w:rPr>
        <w:t xml:space="preserve"> Department for Behavioral Neurobiology, Max Planck Institute for Ornithology, D-82319 Seewiesen, Germany</w:t>
      </w:r>
    </w:p>
    <w:p w14:paraId="013A8080" w14:textId="77777777" w:rsidR="00E9289C" w:rsidRPr="00154FD3" w:rsidRDefault="00E9289C" w:rsidP="00E9289C">
      <w:pPr>
        <w:widowControl/>
        <w:suppressAutoHyphens w:val="0"/>
        <w:autoSpaceDE w:val="0"/>
        <w:adjustRightInd w:val="0"/>
        <w:spacing w:after="0" w:line="360" w:lineRule="auto"/>
        <w:textAlignment w:val="auto"/>
        <w:rPr>
          <w:rFonts w:asciiTheme="minorHAnsi" w:eastAsiaTheme="minorHAnsi" w:hAnsiTheme="minorHAnsi" w:cstheme="minorHAnsi"/>
          <w:kern w:val="0"/>
          <w:lang w:val="en-US"/>
        </w:rPr>
      </w:pPr>
      <w:r>
        <w:rPr>
          <w:rFonts w:asciiTheme="minorHAnsi" w:hAnsiTheme="minorHAnsi" w:cstheme="minorHAnsi"/>
          <w:vertAlign w:val="superscript"/>
          <w:lang w:val="en-US"/>
        </w:rPr>
        <w:t>4</w:t>
      </w:r>
      <w:r w:rsidRPr="00154FD3">
        <w:rPr>
          <w:rFonts w:asciiTheme="minorHAnsi" w:eastAsiaTheme="minorHAnsi" w:hAnsiTheme="minorHAnsi" w:cstheme="minorHAnsi"/>
          <w:kern w:val="0"/>
          <w:lang w:val="en-US"/>
        </w:rPr>
        <w:t xml:space="preserve"> Department of Biology, Sacred Heart University, Fairfield, CT 06825, USA</w:t>
      </w:r>
    </w:p>
    <w:p w14:paraId="3C6061AD" w14:textId="77777777" w:rsidR="00E9289C" w:rsidRDefault="00E9289C" w:rsidP="00E9289C">
      <w:pPr>
        <w:pStyle w:val="Standard"/>
        <w:spacing w:line="360" w:lineRule="auto"/>
        <w:rPr>
          <w:rFonts w:asciiTheme="minorHAnsi" w:eastAsiaTheme="minorHAnsi" w:hAnsiTheme="minorHAnsi" w:cstheme="minorHAnsi"/>
          <w:kern w:val="0"/>
          <w:sz w:val="22"/>
          <w:szCs w:val="22"/>
          <w:lang w:val="en-US"/>
        </w:rPr>
      </w:pPr>
      <w:r>
        <w:rPr>
          <w:rFonts w:asciiTheme="minorHAnsi" w:hAnsiTheme="minorHAnsi" w:cstheme="minorHAnsi"/>
          <w:vertAlign w:val="superscript"/>
          <w:lang w:val="en-US"/>
        </w:rPr>
        <w:t>5</w:t>
      </w:r>
      <w:r w:rsidRPr="00154FD3">
        <w:rPr>
          <w:rFonts w:asciiTheme="minorHAnsi" w:eastAsiaTheme="minorHAnsi" w:hAnsiTheme="minorHAnsi" w:cstheme="minorHAnsi"/>
          <w:kern w:val="0"/>
          <w:sz w:val="22"/>
          <w:szCs w:val="22"/>
          <w:lang w:val="en-US"/>
        </w:rPr>
        <w:t xml:space="preserve"> Institute of Environmental Sciences, Jagiellonian University, 30-387 Kraków, Poland</w:t>
      </w:r>
    </w:p>
    <w:p w14:paraId="58900602" w14:textId="77777777" w:rsidR="00E9289C" w:rsidRDefault="00E9289C" w:rsidP="00E9289C">
      <w:pPr>
        <w:rPr>
          <w:rFonts w:asciiTheme="minorHAnsi" w:eastAsiaTheme="minorHAnsi" w:hAnsiTheme="minorHAnsi" w:cstheme="minorHAnsi"/>
          <w:color w:val="000000"/>
          <w:kern w:val="0"/>
          <w:lang w:val="en-US"/>
        </w:rPr>
      </w:pPr>
      <w:r w:rsidRPr="00C14608">
        <w:rPr>
          <w:rFonts w:asciiTheme="minorHAnsi" w:eastAsiaTheme="minorHAnsi" w:hAnsiTheme="minorHAnsi" w:cstheme="minorHAnsi"/>
          <w:kern w:val="0"/>
          <w:vertAlign w:val="superscript"/>
          <w:lang w:val="en-US"/>
        </w:rPr>
        <w:t>6</w:t>
      </w:r>
      <w:r w:rsidRPr="00DC2105">
        <w:rPr>
          <w:i/>
          <w:iCs/>
          <w:vertAlign w:val="superscript"/>
          <w:lang w:val="en-US"/>
        </w:rPr>
        <w:t xml:space="preserve"> </w:t>
      </w:r>
      <w:r w:rsidRPr="00C14608">
        <w:rPr>
          <w:rFonts w:asciiTheme="minorHAnsi" w:eastAsiaTheme="minorHAnsi" w:hAnsiTheme="minorHAnsi" w:cstheme="minorHAnsi"/>
          <w:color w:val="000000"/>
          <w:kern w:val="0"/>
          <w:lang w:val="en-US"/>
        </w:rPr>
        <w:t xml:space="preserve">Laboratory of Integrative and Organismal Biology, </w:t>
      </w:r>
      <w:proofErr w:type="spellStart"/>
      <w:r w:rsidRPr="00C14608">
        <w:rPr>
          <w:rFonts w:asciiTheme="minorHAnsi" w:eastAsiaTheme="minorHAnsi" w:hAnsiTheme="minorHAnsi" w:cstheme="minorHAnsi"/>
          <w:color w:val="000000"/>
          <w:kern w:val="0"/>
          <w:lang w:val="en-US"/>
        </w:rPr>
        <w:t>Nencki</w:t>
      </w:r>
      <w:proofErr w:type="spellEnd"/>
      <w:r w:rsidRPr="00C14608">
        <w:rPr>
          <w:rFonts w:asciiTheme="minorHAnsi" w:eastAsiaTheme="minorHAnsi" w:hAnsiTheme="minorHAnsi" w:cstheme="minorHAnsi"/>
          <w:color w:val="000000"/>
          <w:kern w:val="0"/>
          <w:lang w:val="en-US"/>
        </w:rPr>
        <w:t xml:space="preserve"> Institute of Experimental Biology,</w:t>
      </w:r>
      <w:r>
        <w:rPr>
          <w:rFonts w:asciiTheme="minorHAnsi" w:eastAsiaTheme="minorHAnsi" w:hAnsiTheme="minorHAnsi" w:cstheme="minorHAnsi"/>
          <w:color w:val="000000"/>
          <w:kern w:val="0"/>
          <w:lang w:val="en-US"/>
        </w:rPr>
        <w:t xml:space="preserve"> PAS,</w:t>
      </w:r>
      <w:r w:rsidRPr="00C14608">
        <w:rPr>
          <w:rFonts w:asciiTheme="minorHAnsi" w:eastAsiaTheme="minorHAnsi" w:hAnsiTheme="minorHAnsi" w:cstheme="minorHAnsi"/>
          <w:color w:val="000000"/>
          <w:kern w:val="0"/>
          <w:lang w:val="en-US"/>
        </w:rPr>
        <w:t xml:space="preserve"> </w:t>
      </w:r>
      <w:r>
        <w:rPr>
          <w:rFonts w:asciiTheme="minorHAnsi" w:eastAsiaTheme="minorHAnsi" w:hAnsiTheme="minorHAnsi" w:cstheme="minorHAnsi"/>
          <w:color w:val="000000"/>
          <w:kern w:val="0"/>
          <w:lang w:val="en-US"/>
        </w:rPr>
        <w:t xml:space="preserve">02-093 </w:t>
      </w:r>
      <w:r w:rsidRPr="00C14608">
        <w:rPr>
          <w:rFonts w:asciiTheme="minorHAnsi" w:eastAsiaTheme="minorHAnsi" w:hAnsiTheme="minorHAnsi" w:cstheme="minorHAnsi"/>
          <w:color w:val="000000"/>
          <w:kern w:val="0"/>
          <w:lang w:val="en-US"/>
        </w:rPr>
        <w:t>Warsaw, Poland</w:t>
      </w:r>
    </w:p>
    <w:p w14:paraId="28437011" w14:textId="77777777" w:rsidR="00E9289C" w:rsidRDefault="00E9289C" w:rsidP="00E9289C">
      <w:pPr>
        <w:rPr>
          <w:rFonts w:asciiTheme="minorHAnsi" w:hAnsiTheme="minorHAnsi" w:cstheme="minorHAnsi"/>
          <w:lang w:val="en-US"/>
        </w:rPr>
      </w:pPr>
    </w:p>
    <w:p w14:paraId="3E2F00E3" w14:textId="77777777" w:rsidR="00E9289C" w:rsidRDefault="00E9289C" w:rsidP="00E9289C">
      <w:pPr>
        <w:rPr>
          <w:rFonts w:asciiTheme="minorHAnsi" w:hAnsiTheme="minorHAnsi" w:cstheme="minorHAnsi"/>
          <w:lang w:val="en-US"/>
        </w:rPr>
      </w:pPr>
      <w:r>
        <w:rPr>
          <w:rFonts w:asciiTheme="minorHAnsi" w:hAnsiTheme="minorHAnsi" w:cstheme="minorHAnsi"/>
          <w:lang w:val="en-US"/>
        </w:rPr>
        <w:t>Methods</w:t>
      </w:r>
    </w:p>
    <w:p w14:paraId="2C41CD99" w14:textId="77777777" w:rsidR="00E9289C" w:rsidRPr="00BB1D17" w:rsidRDefault="00E9289C" w:rsidP="00E9289C">
      <w:pPr>
        <w:pStyle w:val="Standard"/>
        <w:spacing w:line="360" w:lineRule="auto"/>
        <w:rPr>
          <w:rFonts w:asciiTheme="minorHAnsi" w:hAnsiTheme="minorHAnsi" w:cstheme="minorHAnsi"/>
          <w:sz w:val="22"/>
          <w:szCs w:val="22"/>
          <w:lang w:val="en-US"/>
        </w:rPr>
      </w:pPr>
      <w:r w:rsidRPr="00BB1D17">
        <w:rPr>
          <w:rFonts w:asciiTheme="minorHAnsi" w:hAnsiTheme="minorHAnsi" w:cstheme="minorHAnsi"/>
          <w:sz w:val="22"/>
          <w:szCs w:val="22"/>
          <w:lang w:val="en-US"/>
        </w:rPr>
        <w:t>Experimental diets</w:t>
      </w:r>
      <w:r>
        <w:rPr>
          <w:rFonts w:asciiTheme="minorHAnsi" w:hAnsiTheme="minorHAnsi" w:cstheme="minorHAnsi"/>
          <w:sz w:val="22"/>
          <w:szCs w:val="22"/>
          <w:lang w:val="en-US"/>
        </w:rPr>
        <w:t xml:space="preserve"> </w:t>
      </w:r>
    </w:p>
    <w:p w14:paraId="737924D8" w14:textId="064D0501" w:rsidR="00E9289C" w:rsidRPr="00BB1D17" w:rsidRDefault="00E9289C" w:rsidP="00E9289C">
      <w:pPr>
        <w:pStyle w:val="Standard"/>
        <w:spacing w:line="360" w:lineRule="auto"/>
        <w:rPr>
          <w:rFonts w:asciiTheme="minorHAnsi" w:hAnsiTheme="minorHAnsi" w:cstheme="minorHAnsi"/>
          <w:sz w:val="22"/>
          <w:szCs w:val="22"/>
          <w:lang w:val="en-US"/>
        </w:rPr>
      </w:pPr>
      <w:r w:rsidRPr="00D268B5">
        <w:rPr>
          <w:rFonts w:asciiTheme="minorHAnsi" w:hAnsiTheme="minorHAnsi" w:cstheme="minorHAnsi"/>
          <w:lang w:val="en-US"/>
        </w:rPr>
        <w:t xml:space="preserve">Starting in early-August 2016, birds were </w:t>
      </w:r>
      <w:r w:rsidRPr="00D268B5">
        <w:rPr>
          <w:rFonts w:asciiTheme="minorHAnsi" w:hAnsiTheme="minorHAnsi" w:cstheme="minorHAnsi"/>
        </w:rPr>
        <w:t>fed a semi-synthetic agar-based diet (Murphy and King, 1982) that was 4</w:t>
      </w:r>
      <w:r>
        <w:rPr>
          <w:rFonts w:asciiTheme="minorHAnsi" w:hAnsiTheme="minorHAnsi" w:cstheme="minorHAnsi"/>
        </w:rPr>
        <w:t>2</w:t>
      </w:r>
      <w:r w:rsidRPr="00D268B5">
        <w:rPr>
          <w:rFonts w:asciiTheme="minorHAnsi" w:hAnsiTheme="minorHAnsi" w:cstheme="minorHAnsi"/>
        </w:rPr>
        <w:t>% carbohydrates, 2</w:t>
      </w:r>
      <w:r>
        <w:rPr>
          <w:rFonts w:asciiTheme="minorHAnsi" w:hAnsiTheme="minorHAnsi" w:cstheme="minorHAnsi"/>
        </w:rPr>
        <w:t>3</w:t>
      </w:r>
      <w:r w:rsidRPr="00D268B5">
        <w:rPr>
          <w:rFonts w:asciiTheme="minorHAnsi" w:hAnsiTheme="minorHAnsi" w:cstheme="minorHAnsi"/>
        </w:rPr>
        <w:t>% protein, 20% fat</w:t>
      </w:r>
      <w:r>
        <w:rPr>
          <w:rFonts w:asciiTheme="minorHAnsi" w:hAnsiTheme="minorHAnsi" w:cstheme="minorHAnsi"/>
        </w:rPr>
        <w:t xml:space="preserve"> </w:t>
      </w:r>
      <w:r w:rsidRPr="00D268B5">
        <w:rPr>
          <w:rFonts w:asciiTheme="minorHAnsi" w:hAnsiTheme="minorHAnsi" w:cstheme="minorHAnsi"/>
        </w:rPr>
        <w:t xml:space="preserve">(see </w:t>
      </w:r>
      <w:proofErr w:type="spellStart"/>
      <w:r w:rsidRPr="00D268B5">
        <w:rPr>
          <w:rFonts w:asciiTheme="minorHAnsi" w:hAnsiTheme="minorHAnsi" w:cstheme="minorHAnsi"/>
        </w:rPr>
        <w:t>Carbeck</w:t>
      </w:r>
      <w:proofErr w:type="spellEnd"/>
      <w:r w:rsidRPr="00D268B5">
        <w:rPr>
          <w:rFonts w:asciiTheme="minorHAnsi" w:hAnsiTheme="minorHAnsi" w:cstheme="minorHAnsi"/>
        </w:rPr>
        <w:t xml:space="preserve"> et al. 2018 for details). After ca. one month of acclimation to this diet</w:t>
      </w:r>
      <w:r>
        <w:rPr>
          <w:rFonts w:asciiTheme="minorHAnsi" w:hAnsiTheme="minorHAnsi" w:cstheme="minorHAnsi"/>
        </w:rPr>
        <w:t xml:space="preserve"> and for the remainder of the experiment</w:t>
      </w:r>
      <w:r w:rsidRPr="00D268B5">
        <w:rPr>
          <w:rFonts w:asciiTheme="minorHAnsi" w:hAnsiTheme="minorHAnsi" w:cstheme="minorHAnsi"/>
        </w:rPr>
        <w:t xml:space="preserve">, birds were </w:t>
      </w:r>
      <w:r w:rsidRPr="00D268B5">
        <w:rPr>
          <w:rFonts w:asciiTheme="minorHAnsi" w:hAnsiTheme="minorHAnsi" w:cstheme="minorHAnsi"/>
          <w:lang w:val="en-US"/>
        </w:rPr>
        <w:t>randomly assigned to either continue on the same diet (without anthocyanin supplement, n = 29) or the same diet with added anthocyanins (n = 25),</w:t>
      </w:r>
      <w:r>
        <w:rPr>
          <w:rFonts w:asciiTheme="minorHAnsi" w:hAnsiTheme="minorHAnsi" w:cstheme="minorHAnsi"/>
          <w:lang w:val="en-US"/>
        </w:rPr>
        <w:t xml:space="preserve"> </w:t>
      </w:r>
      <w:r w:rsidRPr="00D268B5">
        <w:rPr>
          <w:rFonts w:asciiTheme="minorHAnsi" w:hAnsiTheme="minorHAnsi" w:cstheme="minorHAnsi"/>
        </w:rPr>
        <w:t xml:space="preserve">hydrophilic dark purple pigments that are common in the diets of wild songbirds </w:t>
      </w:r>
      <w:r w:rsidRPr="00D268B5">
        <w:rPr>
          <w:rFonts w:asciiTheme="minorHAnsi" w:hAnsiTheme="minorHAnsi" w:cstheme="minorHAnsi"/>
        </w:rPr>
        <w:fldChar w:fldCharType="begin" w:fldLock="1"/>
      </w:r>
      <w:r w:rsidRPr="00D268B5">
        <w:rPr>
          <w:rFonts w:asciiTheme="minorHAnsi" w:hAnsiTheme="minorHAnsi" w:cstheme="minorHAnsi"/>
        </w:rPr>
        <w:instrText>ADDIN CSL_CITATION {"citationItems":[{"id":"ITEM-1","itemData":{"DOI":"10.1111/j.0908-8857.2004.03378.x","ISBN":"0908-8857","ISSN":"09088857","abstract":"Unlike exercising mammals, migratory birds fuel very high intensity exercise (e.g., flight) with fatty acids delivered from the adipose tissue to the working muscles by the circulatory system. Given the primary importance of fatty acids for fueling intense exercise, we discuss the likely limiting steps in lipid transport and oxidation for exercising birds and the ecological factors that affect the quality and quantity of fat stored in wild birds. Most stored lipids in migratory birds are comprised of three fatty acids (16:0, 18:1 and 18:2) even though migratory birds have diverse food habits. Diet selection and selective metabolism of lipids play important roles in determining the fatty acid composition of birds which, in turn, affects energetic performance during intense exercise. As such, migratory birds offer an intriguing model for studying the implications of lipid metabolism and obesity on exercise performance. We conclude with a discussion of the energetic costs of migratory flight and stopover in birds, and its implications for bird migration strategies.","author":[{"dropping-particle":"","family":"McWilliams","given":"Scott R.","non-dropping-particle":"","parse-names":false,"suffix":""},{"dropping-particle":"","family":"Guglielmo","given":"Christopher","non-dropping-particle":"","parse-names":false,"suffix":""},{"dropping-particle":"","family":"Pierce","given":"Barbara","non-dropping-particle":"","parse-names":false,"suffix":""},{"dropping-particle":"","family":"Klaassen","given":"Marcel","non-dropping-particle":"","parse-names":false,"suffix":""}],"container-title":"Journal of Avian Biology","id":"ITEM-1","issue":"5","issued":{"date-parts":[["2004"]]},"page":"377-393","title":"Flying, fasting, and feeding in birds during migration: A nutritional and physiological ecology perspective","type":"article-journal","volume":"35"},"uris":["http://www.mendeley.com/documents/?uuid=c7107e07-697d-44bb-8b4e-5ccb0900d505"]},{"id":"ITEM-2","itemData":{"DOI":"10.1111/j.1365-2435.2007.01363.x","ISBN":"0269-8463","ISSN":"02698463","abstract":"1. Fruits are among the most antioxidant-rich foods in nature and thus can be important dietary sources for combating oxidative stress in animals and humans. 2. Because fruits are pigmented by important plant antioxidants such as anthocyanins and carotenoids, frugivores may be able to gauge the antioxidant value of a fruit by its colour. However, although the importance of dietary antioxidants and oxidative stress is increasingly being acknowledged in evolutionary ecology, it is unknown whether animals can use visual signals to detect the presence of antioxidants in their food. 3. We studied the colour and pigment content of 60 bird-dispersed fruits and used an avian eye model to assess the ability of birds to visually discriminate carotenoid and anthocyanin contents of fruits. We then tested whether the frugivorous European blackcap (Sylvia atricapilla) preferentially consumes food containing anthocyanins. 4. Fruit colour variation was explained by variation in anthocyanin contents, and birds were capable of discriminating anthocyanin concentrations in fruits based on colour because fruits rich in anthocyanins are black or UV reflecting. However, we found that birds could not use colouration to determine the carotenoid contents of fruits. Ripe fruits contained more anthocyanins than unripe fruits, while there was no difference between ripe and unripe fruits in carotenoid contents. Anthocyanin contents correlated with caloric value in fruits, while there was no such correlation between carotenoids and total energy contents. 5. In food choice experiments, blackcaps selected food containing anthocyanins over food without anthocyanins. 6. In sum, our results indicate that birds actively selected for anthocyanins in their food and that they may use fruit colour as a foraging signal of anthocyanin antioxidant rewards. -</w:instrText>
      </w:r>
      <w:r w:rsidRPr="00D268B5">
        <w:rPr>
          <w:rFonts w:ascii="Tahoma" w:hAnsi="Tahoma" w:cs="Tahoma"/>
        </w:rPr>
        <w:instrText>�</w:instrText>
      </w:r>
      <w:r w:rsidRPr="00D268B5">
        <w:rPr>
          <w:rFonts w:asciiTheme="minorHAnsi" w:hAnsiTheme="minorHAnsi" w:cstheme="minorHAnsi"/>
        </w:rPr>
        <w:instrText xml:space="preserve"> 2007 The Authors","author":[{"dropping-particle":"","family":"Schaefer","given":"H. M.","non-dropping-particle":"","parse-names":false,"suffix":""},{"dropping-particle":"","family":"McGraw","given":"K.","non-dropping-particle":"","parse-names":false,"suffix":""},{"dropping-particle":"","family":"Catoni","given":"C.","non-dropping-particle":"","parse-names":false,"suffix":""}],"container-title":"Functional Ecology","id":"ITEM-2","issue":"2","issued":{"date-parts":[["2008"]]},"page":"303-310","title":"Birds use fruit colour as honest signal of dietary antioxidant rewards","type":"article-journal","volume":"22"},"uris":["http://www.mendeley.com/documents/?uuid=7d6f3b00-eb64-4d18-b981-da972f27836f"]}],"mendeley":{"formattedCitation":"(McWilliams &lt;i&gt;et al.&lt;/i&gt;, 2004; Schaefer &lt;i&gt;et al.&lt;/i&gt;, 2008)","plainTextFormattedCitation":"(McWilliams et al., 2004; Schaefer et al., 2008)","previouslyFormattedCitation":"(McWilliams &lt;i&gt;et al.&lt;/i&gt;, 2004; Schaefer &lt;i&gt;et al.&lt;/i&gt;, 2008)"},"properties":{"noteIndex":0},"schema":"https://github.com/citation-style-language/schema/raw/master/csl-citation.json"}</w:instrText>
      </w:r>
      <w:r w:rsidRPr="00D268B5">
        <w:rPr>
          <w:rFonts w:asciiTheme="minorHAnsi" w:hAnsiTheme="minorHAnsi" w:cstheme="minorHAnsi"/>
        </w:rPr>
        <w:fldChar w:fldCharType="separate"/>
      </w:r>
      <w:r w:rsidRPr="00D268B5">
        <w:rPr>
          <w:rFonts w:asciiTheme="minorHAnsi" w:hAnsiTheme="minorHAnsi" w:cstheme="minorHAnsi"/>
          <w:noProof/>
        </w:rPr>
        <w:t xml:space="preserve">(McWilliams </w:t>
      </w:r>
      <w:r w:rsidRPr="00D268B5">
        <w:rPr>
          <w:rFonts w:asciiTheme="minorHAnsi" w:hAnsiTheme="minorHAnsi" w:cstheme="minorHAnsi"/>
          <w:i/>
          <w:noProof/>
        </w:rPr>
        <w:t>et al.</w:t>
      </w:r>
      <w:r w:rsidRPr="00D268B5">
        <w:rPr>
          <w:rFonts w:asciiTheme="minorHAnsi" w:hAnsiTheme="minorHAnsi" w:cstheme="minorHAnsi"/>
          <w:noProof/>
        </w:rPr>
        <w:t xml:space="preserve">, 2004; Schaefer </w:t>
      </w:r>
      <w:r w:rsidRPr="00D268B5">
        <w:rPr>
          <w:rFonts w:asciiTheme="minorHAnsi" w:hAnsiTheme="minorHAnsi" w:cstheme="minorHAnsi"/>
          <w:i/>
          <w:noProof/>
        </w:rPr>
        <w:t>et al.</w:t>
      </w:r>
      <w:r w:rsidRPr="00D268B5">
        <w:rPr>
          <w:rFonts w:asciiTheme="minorHAnsi" w:hAnsiTheme="minorHAnsi" w:cstheme="minorHAnsi"/>
          <w:noProof/>
        </w:rPr>
        <w:t>, 2008)</w:t>
      </w:r>
      <w:r w:rsidRPr="00D268B5">
        <w:rPr>
          <w:rFonts w:asciiTheme="minorHAnsi" w:hAnsiTheme="minorHAnsi" w:cstheme="minorHAnsi"/>
        </w:rPr>
        <w:fldChar w:fldCharType="end"/>
      </w:r>
      <w:r w:rsidRPr="00D268B5">
        <w:rPr>
          <w:rFonts w:asciiTheme="minorHAnsi" w:hAnsiTheme="minorHAnsi" w:cstheme="minorHAnsi"/>
        </w:rPr>
        <w:t xml:space="preserve">. </w:t>
      </w:r>
      <w:r w:rsidRPr="00CE71C5">
        <w:rPr>
          <w:rFonts w:asciiTheme="minorHAnsi" w:hAnsiTheme="minorHAnsi" w:cstheme="minorHAnsi"/>
          <w:lang w:val="en-US"/>
        </w:rPr>
        <w:t>Anthocyanin powder (Standardized Elderberry 6.5% Powder; Artemis International, Inc., Fort Wayne, IN, USA) was homogenously mixed into the semi-synthetic diet</w:t>
      </w:r>
      <w:r w:rsidRPr="00EF3A88">
        <w:rPr>
          <w:rFonts w:asciiTheme="minorHAnsi" w:hAnsiTheme="minorHAnsi" w:cstheme="minorHAnsi"/>
        </w:rPr>
        <w:t xml:space="preserve">.  </w:t>
      </w:r>
      <w:r w:rsidRPr="00BB1D17">
        <w:rPr>
          <w:rFonts w:asciiTheme="minorHAnsi" w:hAnsiTheme="minorHAnsi" w:cstheme="minorHAnsi"/>
          <w:sz w:val="22"/>
          <w:szCs w:val="22"/>
          <w:lang w:val="en-US"/>
        </w:rPr>
        <w:t xml:space="preserve"> </w:t>
      </w:r>
      <w:r w:rsidDel="00CB7193">
        <w:rPr>
          <w:rFonts w:asciiTheme="minorHAnsi" w:hAnsiTheme="minorHAnsi" w:cstheme="minorHAnsi"/>
          <w:sz w:val="22"/>
          <w:szCs w:val="22"/>
          <w:lang w:val="en-US"/>
        </w:rPr>
        <w:t>A</w:t>
      </w:r>
      <w:r w:rsidRPr="00BB1D17" w:rsidDel="00CB7193">
        <w:rPr>
          <w:rFonts w:asciiTheme="minorHAnsi" w:hAnsiTheme="minorHAnsi" w:cstheme="minorHAnsi"/>
          <w:sz w:val="22"/>
          <w:szCs w:val="22"/>
          <w:lang w:val="en-US"/>
        </w:rPr>
        <w:t xml:space="preserve"> standard vitamin-mineral mix </w:t>
      </w:r>
      <w:r>
        <w:rPr>
          <w:rFonts w:asciiTheme="minorHAnsi" w:hAnsiTheme="minorHAnsi" w:cstheme="minorHAnsi"/>
          <w:sz w:val="22"/>
          <w:szCs w:val="22"/>
          <w:lang w:val="en-US"/>
        </w:rPr>
        <w:t xml:space="preserve">(AIN-76, MP Biomedicals, Solon, Ohio, USA) </w:t>
      </w:r>
      <w:r w:rsidRPr="00BB1D17" w:rsidDel="00CB7193">
        <w:rPr>
          <w:rFonts w:asciiTheme="minorHAnsi" w:hAnsiTheme="minorHAnsi" w:cstheme="minorHAnsi"/>
          <w:sz w:val="22"/>
          <w:szCs w:val="22"/>
          <w:lang w:val="en-US"/>
        </w:rPr>
        <w:t>was included in both diets to ensure nutritional adequacy of other micronutrients and to provide the necessary Vitamin C for efficient use of the dietary anthocyanin supplement.</w:t>
      </w:r>
    </w:p>
    <w:p w14:paraId="09877080" w14:textId="77777777" w:rsidR="00E9289C" w:rsidRPr="00BB1D17" w:rsidRDefault="00E9289C" w:rsidP="00E9289C">
      <w:pPr>
        <w:pStyle w:val="Standard"/>
        <w:spacing w:line="360" w:lineRule="auto"/>
        <w:rPr>
          <w:rFonts w:asciiTheme="minorHAnsi" w:hAnsiTheme="minorHAnsi" w:cstheme="minorHAnsi"/>
          <w:sz w:val="22"/>
          <w:szCs w:val="22"/>
          <w:lang w:val="en-US"/>
        </w:rPr>
      </w:pPr>
    </w:p>
    <w:p w14:paraId="2BF3A60F" w14:textId="77777777" w:rsidR="00E9289C" w:rsidRPr="00BB1D17" w:rsidRDefault="00E9289C" w:rsidP="00E9289C">
      <w:pPr>
        <w:pStyle w:val="Standard"/>
        <w:spacing w:line="360" w:lineRule="auto"/>
        <w:rPr>
          <w:rFonts w:asciiTheme="minorHAnsi" w:hAnsiTheme="minorHAnsi" w:cstheme="minorHAnsi"/>
          <w:sz w:val="22"/>
          <w:szCs w:val="22"/>
          <w:lang w:val="en-US"/>
        </w:rPr>
      </w:pPr>
      <w:r w:rsidRPr="00BB1D17">
        <w:rPr>
          <w:rFonts w:asciiTheme="minorHAnsi" w:hAnsiTheme="minorHAnsi" w:cstheme="minorHAnsi"/>
          <w:sz w:val="22"/>
          <w:szCs w:val="22"/>
          <w:lang w:val="en-US"/>
        </w:rPr>
        <w:lastRenderedPageBreak/>
        <w:t>Housing conditions</w:t>
      </w:r>
    </w:p>
    <w:p w14:paraId="3D3652D5" w14:textId="77777777" w:rsidR="00E9289C" w:rsidRPr="00BB1D17" w:rsidRDefault="00E9289C" w:rsidP="00E9289C">
      <w:pPr>
        <w:pStyle w:val="Standard"/>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From August 2016 u</w:t>
      </w:r>
      <w:r w:rsidRPr="00BB1D17">
        <w:rPr>
          <w:rFonts w:asciiTheme="minorHAnsi" w:hAnsiTheme="minorHAnsi" w:cstheme="minorHAnsi"/>
          <w:sz w:val="22"/>
          <w:szCs w:val="22"/>
          <w:lang w:val="en-US"/>
        </w:rPr>
        <w:t xml:space="preserve">ntil the start of the </w:t>
      </w:r>
      <w:r>
        <w:rPr>
          <w:rFonts w:asciiTheme="minorHAnsi" w:hAnsiTheme="minorHAnsi" w:cstheme="minorHAnsi"/>
          <w:sz w:val="22"/>
          <w:szCs w:val="22"/>
          <w:lang w:val="en-US"/>
        </w:rPr>
        <w:t xml:space="preserve">flight </w:t>
      </w:r>
      <w:r w:rsidRPr="00BB1D17">
        <w:rPr>
          <w:rFonts w:asciiTheme="minorHAnsi" w:hAnsiTheme="minorHAnsi" w:cstheme="minorHAnsi"/>
          <w:sz w:val="22"/>
          <w:szCs w:val="22"/>
          <w:lang w:val="en-US"/>
        </w:rPr>
        <w:t xml:space="preserve">experiment and during winter season, </w:t>
      </w:r>
      <w:r>
        <w:rPr>
          <w:rFonts w:asciiTheme="minorHAnsi" w:hAnsiTheme="minorHAnsi" w:cstheme="minorHAnsi"/>
          <w:sz w:val="22"/>
          <w:szCs w:val="22"/>
          <w:lang w:val="en-US"/>
        </w:rPr>
        <w:t xml:space="preserve">groups of 15-20 </w:t>
      </w:r>
      <w:r w:rsidRPr="00BB1D17">
        <w:rPr>
          <w:rFonts w:asciiTheme="minorHAnsi" w:hAnsiTheme="minorHAnsi" w:cstheme="minorHAnsi"/>
          <w:sz w:val="22"/>
          <w:szCs w:val="22"/>
          <w:lang w:val="en-US"/>
        </w:rPr>
        <w:t xml:space="preserve">birds were housed in </w:t>
      </w:r>
      <w:r>
        <w:rPr>
          <w:rFonts w:asciiTheme="minorHAnsi" w:hAnsiTheme="minorHAnsi" w:cstheme="minorHAnsi"/>
          <w:sz w:val="22"/>
          <w:szCs w:val="22"/>
          <w:lang w:val="en-US"/>
        </w:rPr>
        <w:t xml:space="preserve">separate outdoor </w:t>
      </w:r>
      <w:r w:rsidRPr="00BB1D17">
        <w:rPr>
          <w:rFonts w:asciiTheme="minorHAnsi" w:hAnsiTheme="minorHAnsi" w:cstheme="minorHAnsi"/>
          <w:sz w:val="22"/>
          <w:szCs w:val="22"/>
          <w:lang w:val="en-US"/>
        </w:rPr>
        <w:t xml:space="preserve">aviaries </w:t>
      </w:r>
      <w:r>
        <w:rPr>
          <w:rFonts w:asciiTheme="minorHAnsi" w:hAnsiTheme="minorHAnsi" w:cstheme="minorHAnsi"/>
          <w:sz w:val="22"/>
          <w:szCs w:val="22"/>
          <w:lang w:val="en-US"/>
        </w:rPr>
        <w:t>(two aviaries</w:t>
      </w:r>
      <w:r w:rsidRPr="00BB1D17">
        <w:rPr>
          <w:rFonts w:asciiTheme="minorHAnsi" w:hAnsiTheme="minorHAnsi" w:cstheme="minorHAnsi"/>
          <w:sz w:val="22"/>
          <w:szCs w:val="22"/>
          <w:lang w:val="en-US"/>
        </w:rPr>
        <w:t xml:space="preserve"> per each experimental </w:t>
      </w:r>
      <w:r>
        <w:rPr>
          <w:rFonts w:asciiTheme="minorHAnsi" w:hAnsiTheme="minorHAnsi" w:cstheme="minorHAnsi"/>
          <w:sz w:val="22"/>
          <w:szCs w:val="22"/>
          <w:lang w:val="en-US"/>
        </w:rPr>
        <w:t xml:space="preserve">group) measuring  </w:t>
      </w:r>
      <w:r w:rsidRPr="00BB1D17">
        <w:rPr>
          <w:rFonts w:asciiTheme="minorHAnsi" w:hAnsiTheme="minorHAnsi" w:cstheme="minorHAnsi"/>
          <w:sz w:val="22"/>
          <w:szCs w:val="22"/>
          <w:lang w:val="en-US"/>
        </w:rPr>
        <w:t>3.0 x 4.0 x 2.0 m</w:t>
      </w:r>
      <w:r>
        <w:rPr>
          <w:rFonts w:asciiTheme="minorHAnsi" w:hAnsiTheme="minorHAnsi" w:cstheme="minorHAnsi"/>
          <w:sz w:val="22"/>
          <w:szCs w:val="22"/>
          <w:lang w:val="en-US"/>
        </w:rPr>
        <w:t xml:space="preserve"> each)</w:t>
      </w:r>
      <w:r w:rsidRPr="00BB1D17">
        <w:rPr>
          <w:rFonts w:asciiTheme="minorHAnsi" w:hAnsiTheme="minorHAnsi" w:cstheme="minorHAnsi"/>
          <w:sz w:val="22"/>
          <w:szCs w:val="22"/>
          <w:lang w:val="en-US"/>
        </w:rPr>
        <w:t xml:space="preserve">. During the </w:t>
      </w:r>
      <w:r>
        <w:rPr>
          <w:rFonts w:asciiTheme="minorHAnsi" w:hAnsiTheme="minorHAnsi" w:cstheme="minorHAnsi"/>
          <w:sz w:val="22"/>
          <w:szCs w:val="22"/>
          <w:lang w:val="en-US"/>
        </w:rPr>
        <w:t>flight sessions</w:t>
      </w:r>
      <w:r w:rsidRPr="00BB1D17">
        <w:rPr>
          <w:rFonts w:asciiTheme="minorHAnsi" w:hAnsiTheme="minorHAnsi" w:cstheme="minorHAnsi"/>
          <w:sz w:val="22"/>
          <w:szCs w:val="22"/>
          <w:lang w:val="en-US"/>
        </w:rPr>
        <w:t xml:space="preserve"> birds were housed in experimental indoor aviaries (1.5x2.5x2.5 m) located in wind-tunnel facility, in the section surrounding the wind-tunnel</w:t>
      </w:r>
      <w:r>
        <w:rPr>
          <w:rFonts w:asciiTheme="minorHAnsi" w:hAnsiTheme="minorHAnsi" w:cstheme="minorHAnsi"/>
          <w:sz w:val="22"/>
          <w:szCs w:val="22"/>
          <w:lang w:val="en-US"/>
        </w:rPr>
        <w:t>, where they</w:t>
      </w:r>
      <w:r w:rsidRPr="00BB1D17">
        <w:rPr>
          <w:rFonts w:asciiTheme="minorHAnsi" w:hAnsiTheme="minorHAnsi" w:cstheme="minorHAnsi"/>
          <w:sz w:val="22"/>
          <w:szCs w:val="22"/>
          <w:lang w:val="en-US"/>
        </w:rPr>
        <w:t xml:space="preserve"> were maintained at temperature ranging from 18°C to 22°C.  During fall and spring, </w:t>
      </w:r>
      <w:r>
        <w:rPr>
          <w:rFonts w:asciiTheme="minorHAnsi" w:hAnsiTheme="minorHAnsi" w:cstheme="minorHAnsi"/>
          <w:sz w:val="22"/>
          <w:szCs w:val="22"/>
          <w:lang w:val="en-US"/>
        </w:rPr>
        <w:t>birds</w:t>
      </w:r>
      <w:r w:rsidRPr="00BB1D17">
        <w:rPr>
          <w:rFonts w:asciiTheme="minorHAnsi" w:hAnsiTheme="minorHAnsi" w:cstheme="minorHAnsi"/>
          <w:sz w:val="22"/>
          <w:szCs w:val="22"/>
          <w:lang w:val="en-US"/>
        </w:rPr>
        <w:t xml:space="preserve"> were maintained on a 13</w:t>
      </w:r>
      <w:r>
        <w:rPr>
          <w:rFonts w:asciiTheme="minorHAnsi" w:hAnsiTheme="minorHAnsi" w:cstheme="minorHAnsi"/>
          <w:sz w:val="22"/>
          <w:szCs w:val="22"/>
          <w:lang w:val="en-US"/>
        </w:rPr>
        <w:t>L</w:t>
      </w:r>
      <w:r w:rsidRPr="00BB1D17">
        <w:rPr>
          <w:rFonts w:asciiTheme="minorHAnsi" w:hAnsiTheme="minorHAnsi" w:cstheme="minorHAnsi"/>
          <w:sz w:val="22"/>
          <w:szCs w:val="22"/>
          <w:lang w:val="en-US"/>
        </w:rPr>
        <w:t>:11</w:t>
      </w:r>
      <w:r>
        <w:rPr>
          <w:rFonts w:asciiTheme="minorHAnsi" w:hAnsiTheme="minorHAnsi" w:cstheme="minorHAnsi"/>
          <w:sz w:val="22"/>
          <w:szCs w:val="22"/>
          <w:lang w:val="en-US"/>
        </w:rPr>
        <w:t xml:space="preserve">D </w:t>
      </w:r>
      <w:r w:rsidRPr="00BB1D17">
        <w:rPr>
          <w:rFonts w:asciiTheme="minorHAnsi" w:hAnsiTheme="minorHAnsi" w:cstheme="minorHAnsi"/>
          <w:sz w:val="22"/>
          <w:szCs w:val="22"/>
          <w:lang w:val="en-US"/>
        </w:rPr>
        <w:t xml:space="preserve">light cycle, while </w:t>
      </w:r>
      <w:r w:rsidRPr="000D4E11">
        <w:rPr>
          <w:rFonts w:asciiTheme="minorHAnsi" w:hAnsiTheme="minorHAnsi" w:cstheme="minorHAnsi"/>
          <w:sz w:val="22"/>
          <w:szCs w:val="22"/>
          <w:lang w:val="en-US"/>
        </w:rPr>
        <w:t xml:space="preserve">during </w:t>
      </w:r>
      <w:r w:rsidRPr="00CE71C5">
        <w:rPr>
          <w:rFonts w:asciiTheme="minorHAnsi" w:hAnsiTheme="minorHAnsi" w:cstheme="minorHAnsi"/>
          <w:sz w:val="22"/>
          <w:szCs w:val="22"/>
          <w:lang w:val="en-US"/>
        </w:rPr>
        <w:t>winter season</w:t>
      </w:r>
      <w:r w:rsidRPr="000D4E11">
        <w:rPr>
          <w:rFonts w:asciiTheme="minorHAnsi" w:hAnsiTheme="minorHAnsi" w:cstheme="minorHAnsi"/>
          <w:sz w:val="22"/>
          <w:szCs w:val="22"/>
          <w:lang w:val="en-US"/>
        </w:rPr>
        <w:t xml:space="preserve"> the</w:t>
      </w:r>
      <w:r w:rsidRPr="00BB1D17">
        <w:rPr>
          <w:rFonts w:asciiTheme="minorHAnsi" w:hAnsiTheme="minorHAnsi" w:cstheme="minorHAnsi"/>
          <w:sz w:val="22"/>
          <w:szCs w:val="22"/>
          <w:lang w:val="en-US"/>
        </w:rPr>
        <w:t xml:space="preserve"> light schedule was temporarily changed (for 3 weeks) to 10</w:t>
      </w:r>
      <w:r>
        <w:rPr>
          <w:rFonts w:asciiTheme="minorHAnsi" w:hAnsiTheme="minorHAnsi" w:cstheme="minorHAnsi"/>
          <w:sz w:val="22"/>
          <w:szCs w:val="22"/>
          <w:lang w:val="en-US"/>
        </w:rPr>
        <w:t>L</w:t>
      </w:r>
      <w:r w:rsidRPr="00BB1D17">
        <w:rPr>
          <w:rFonts w:asciiTheme="minorHAnsi" w:hAnsiTheme="minorHAnsi" w:cstheme="minorHAnsi"/>
          <w:sz w:val="22"/>
          <w:szCs w:val="22"/>
          <w:lang w:val="en-US"/>
        </w:rPr>
        <w:t>:14</w:t>
      </w:r>
      <w:r>
        <w:rPr>
          <w:rFonts w:asciiTheme="minorHAnsi" w:hAnsiTheme="minorHAnsi" w:cstheme="minorHAnsi"/>
          <w:sz w:val="22"/>
          <w:szCs w:val="22"/>
          <w:lang w:val="en-US"/>
        </w:rPr>
        <w:t>D</w:t>
      </w:r>
      <w:r w:rsidRPr="00BB1D17">
        <w:rPr>
          <w:rFonts w:asciiTheme="minorHAnsi" w:hAnsiTheme="minorHAnsi" w:cstheme="minorHAnsi"/>
          <w:sz w:val="22"/>
          <w:szCs w:val="22"/>
          <w:lang w:val="en-US"/>
        </w:rPr>
        <w:t xml:space="preserve">, to simulate natural light cycle of starlings wintering </w:t>
      </w:r>
      <w:r>
        <w:rPr>
          <w:rFonts w:asciiTheme="minorHAnsi" w:hAnsiTheme="minorHAnsi" w:cstheme="minorHAnsi"/>
          <w:sz w:val="22"/>
          <w:szCs w:val="22"/>
          <w:lang w:val="en-US"/>
        </w:rPr>
        <w:t>in the study area</w:t>
      </w:r>
      <w:r w:rsidRPr="00BB1D17">
        <w:rPr>
          <w:rFonts w:asciiTheme="minorHAnsi" w:hAnsiTheme="minorHAnsi" w:cstheme="minorHAnsi"/>
          <w:sz w:val="22"/>
          <w:szCs w:val="22"/>
          <w:lang w:val="en-US"/>
        </w:rPr>
        <w:t>. Both outdoor and experimental indoor aviaries contained perches (7 and 2 perches in outdoor and experimental aviaries respectively) and were supplied with fresh food and water (</w:t>
      </w:r>
      <w:r w:rsidRPr="007D4F2B">
        <w:rPr>
          <w:rFonts w:asciiTheme="minorHAnsi" w:hAnsiTheme="minorHAnsi" w:cstheme="minorHAnsi"/>
          <w:i/>
          <w:sz w:val="22"/>
          <w:szCs w:val="22"/>
          <w:lang w:val="en-US"/>
        </w:rPr>
        <w:t>ad libitum</w:t>
      </w:r>
      <w:r w:rsidRPr="00BB1D17">
        <w:rPr>
          <w:rFonts w:asciiTheme="minorHAnsi" w:hAnsiTheme="minorHAnsi" w:cstheme="minorHAnsi"/>
          <w:sz w:val="22"/>
          <w:szCs w:val="22"/>
          <w:lang w:val="en-US"/>
        </w:rPr>
        <w:t>) and water-bath every day.</w:t>
      </w:r>
    </w:p>
    <w:p w14:paraId="681496DC" w14:textId="77777777" w:rsidR="00E9289C" w:rsidRPr="00BB1D17" w:rsidRDefault="00E9289C" w:rsidP="00E9289C">
      <w:pPr>
        <w:pStyle w:val="Standard"/>
        <w:spacing w:line="360" w:lineRule="auto"/>
        <w:rPr>
          <w:rFonts w:asciiTheme="minorHAnsi" w:hAnsiTheme="minorHAnsi" w:cstheme="minorHAnsi"/>
          <w:sz w:val="22"/>
          <w:szCs w:val="22"/>
          <w:lang w:val="en-US"/>
        </w:rPr>
      </w:pPr>
    </w:p>
    <w:p w14:paraId="78EC5BD2" w14:textId="77777777" w:rsidR="00E9289C" w:rsidRPr="00BB1D17" w:rsidRDefault="00E9289C" w:rsidP="00E9289C">
      <w:pPr>
        <w:pStyle w:val="Standard"/>
        <w:spacing w:line="360" w:lineRule="auto"/>
        <w:rPr>
          <w:rFonts w:asciiTheme="minorHAnsi" w:hAnsiTheme="minorHAnsi" w:cstheme="minorHAnsi"/>
          <w:sz w:val="22"/>
          <w:szCs w:val="22"/>
          <w:lang w:val="en-US"/>
        </w:rPr>
      </w:pPr>
      <w:r w:rsidRPr="00BB1D17">
        <w:rPr>
          <w:rFonts w:asciiTheme="minorHAnsi" w:hAnsiTheme="minorHAnsi" w:cstheme="minorHAnsi"/>
          <w:sz w:val="22"/>
          <w:szCs w:val="22"/>
          <w:lang w:val="en-US"/>
        </w:rPr>
        <w:t>Experimental procedure and wind-tunnel flight training</w:t>
      </w:r>
    </w:p>
    <w:p w14:paraId="1E8B88B1" w14:textId="5849DD84" w:rsidR="00E9289C" w:rsidRDefault="00E9289C" w:rsidP="00E9289C">
      <w:pPr>
        <w:pStyle w:val="Standard"/>
        <w:spacing w:line="360" w:lineRule="auto"/>
        <w:rPr>
          <w:sz w:val="22"/>
          <w:szCs w:val="22"/>
        </w:rPr>
      </w:pPr>
      <w:r>
        <w:rPr>
          <w:rFonts w:asciiTheme="minorHAnsi" w:hAnsiTheme="minorHAnsi" w:cstheme="minorHAnsi"/>
          <w:sz w:val="22"/>
          <w:szCs w:val="22"/>
          <w:lang w:val="en-US"/>
        </w:rPr>
        <w:t xml:space="preserve">During fall 2016 and spring 2017, we flew thirty-three each day for 15 days </w:t>
      </w:r>
      <w:r w:rsidRPr="00B83CF3">
        <w:rPr>
          <w:rFonts w:asciiTheme="minorHAnsi" w:hAnsiTheme="minorHAnsi" w:cstheme="minorHAnsi"/>
          <w:sz w:val="22"/>
          <w:szCs w:val="22"/>
          <w:lang w:val="en-US"/>
        </w:rPr>
        <w:t xml:space="preserve">in a recirculating </w:t>
      </w:r>
      <w:proofErr w:type="spellStart"/>
      <w:r w:rsidRPr="00B83CF3">
        <w:rPr>
          <w:rFonts w:asciiTheme="minorHAnsi" w:hAnsiTheme="minorHAnsi" w:cstheme="minorHAnsi"/>
          <w:sz w:val="22"/>
          <w:szCs w:val="22"/>
          <w:lang w:val="en-US"/>
        </w:rPr>
        <w:t>windtunnel</w:t>
      </w:r>
      <w:proofErr w:type="spellEnd"/>
      <w:r w:rsidRPr="00B83CF3">
        <w:rPr>
          <w:rFonts w:asciiTheme="minorHAnsi" w:hAnsiTheme="minorHAnsi" w:cstheme="minorHAnsi"/>
          <w:sz w:val="22"/>
          <w:szCs w:val="22"/>
          <w:lang w:val="en-US"/>
        </w:rPr>
        <w:t xml:space="preserve"> at the MPIO</w:t>
      </w:r>
      <w:r>
        <w:rPr>
          <w:rFonts w:asciiTheme="minorHAnsi" w:hAnsiTheme="minorHAnsi" w:cstheme="minorHAnsi"/>
          <w:sz w:val="22"/>
          <w:szCs w:val="22"/>
          <w:lang w:val="en-US"/>
        </w:rPr>
        <w:t xml:space="preserve"> under controlled conditions </w:t>
      </w:r>
      <w:r w:rsidRPr="007C401B">
        <w:rPr>
          <w:rFonts w:asciiTheme="minorHAnsi" w:hAnsiTheme="minorHAnsi" w:cstheme="minorHAnsi"/>
          <w:sz w:val="22"/>
          <w:szCs w:val="22"/>
          <w:lang w:val="en-US"/>
        </w:rPr>
        <w:t xml:space="preserve">(15 </w:t>
      </w:r>
      <w:r w:rsidRPr="007C401B">
        <w:rPr>
          <w:rFonts w:asciiTheme="minorHAnsi" w:hAnsiTheme="minorHAnsi" w:cstheme="minorHAnsi"/>
          <w:sz w:val="22"/>
          <w:szCs w:val="22"/>
          <w:lang w:val="en-US"/>
        </w:rPr>
        <w:sym w:font="Symbol" w:char="F0B0"/>
      </w:r>
      <w:r w:rsidRPr="007C401B">
        <w:rPr>
          <w:rFonts w:asciiTheme="minorHAnsi" w:hAnsiTheme="minorHAnsi" w:cstheme="minorHAnsi"/>
          <w:sz w:val="22"/>
          <w:szCs w:val="22"/>
          <w:lang w:val="en-US"/>
        </w:rPr>
        <w:t>C</w:t>
      </w:r>
      <w:r>
        <w:rPr>
          <w:rFonts w:asciiTheme="minorHAnsi" w:hAnsiTheme="minorHAnsi" w:cstheme="minorHAnsi"/>
          <w:sz w:val="22"/>
          <w:szCs w:val="22"/>
          <w:lang w:val="en-US"/>
        </w:rPr>
        <w:t>, 70%</w:t>
      </w:r>
      <w:r w:rsidRPr="007C401B">
        <w:rPr>
          <w:rFonts w:asciiTheme="minorHAnsi" w:hAnsiTheme="minorHAnsi" w:cstheme="minorHAnsi"/>
          <w:sz w:val="22"/>
          <w:szCs w:val="22"/>
          <w:lang w:val="en-US"/>
        </w:rPr>
        <w:t xml:space="preserve"> humidit</w:t>
      </w:r>
      <w:r>
        <w:rPr>
          <w:rFonts w:asciiTheme="minorHAnsi" w:hAnsiTheme="minorHAnsi" w:cstheme="minorHAnsi"/>
          <w:sz w:val="22"/>
          <w:szCs w:val="22"/>
          <w:lang w:val="en-US"/>
        </w:rPr>
        <w:t>y,</w:t>
      </w:r>
      <w:r w:rsidRPr="00B83CF3">
        <w:rPr>
          <w:rFonts w:asciiTheme="minorHAnsi" w:hAnsiTheme="minorHAnsi" w:cstheme="minorHAnsi"/>
          <w:sz w:val="22"/>
          <w:szCs w:val="22"/>
          <w:lang w:val="en-US"/>
        </w:rPr>
        <w:t xml:space="preserve"> </w:t>
      </w:r>
      <w:r>
        <w:rPr>
          <w:rFonts w:asciiTheme="minorHAnsi" w:hAnsiTheme="minorHAnsi" w:cstheme="minorHAnsi"/>
          <w:sz w:val="22"/>
          <w:szCs w:val="22"/>
          <w:lang w:val="en-US"/>
        </w:rPr>
        <w:t>1</w:t>
      </w:r>
      <w:r w:rsidRPr="00BB1D17">
        <w:rPr>
          <w:rFonts w:asciiTheme="minorHAnsi" w:hAnsiTheme="minorHAnsi" w:cstheme="minorHAnsi"/>
          <w:sz w:val="22"/>
          <w:szCs w:val="22"/>
          <w:lang w:val="en-US"/>
        </w:rPr>
        <w:t>2 m</w:t>
      </w:r>
      <w:r>
        <w:rPr>
          <w:rFonts w:asciiTheme="minorHAnsi" w:hAnsiTheme="minorHAnsi" w:cstheme="minorHAnsi"/>
          <w:sz w:val="22"/>
          <w:szCs w:val="22"/>
          <w:lang w:val="en-US"/>
        </w:rPr>
        <w:t>*</w:t>
      </w:r>
      <w:r w:rsidRPr="00BB1D17">
        <w:rPr>
          <w:rFonts w:asciiTheme="minorHAnsi" w:hAnsiTheme="minorHAnsi" w:cstheme="minorHAnsi"/>
          <w:sz w:val="22"/>
          <w:szCs w:val="22"/>
          <w:lang w:val="en-US"/>
        </w:rPr>
        <w:t>s</w:t>
      </w:r>
      <w:r w:rsidRPr="007D4F2B">
        <w:rPr>
          <w:rFonts w:asciiTheme="minorHAnsi" w:hAnsiTheme="minorHAnsi" w:cstheme="minorHAnsi"/>
          <w:sz w:val="22"/>
          <w:szCs w:val="22"/>
          <w:vertAlign w:val="superscript"/>
          <w:lang w:val="en-US"/>
        </w:rPr>
        <w:t>-1</w:t>
      </w:r>
      <w:r>
        <w:rPr>
          <w:rFonts w:asciiTheme="minorHAnsi" w:hAnsiTheme="minorHAnsi" w:cstheme="minorHAnsi"/>
          <w:sz w:val="22"/>
          <w:szCs w:val="22"/>
          <w:lang w:val="en-US"/>
        </w:rPr>
        <w:t xml:space="preserve"> wind speed). During the flight training period in fall (Sept-Dec) and spring (Feb-April),</w:t>
      </w:r>
      <w:r w:rsidRPr="00BB1D17">
        <w:rPr>
          <w:rFonts w:asciiTheme="minorHAnsi" w:hAnsiTheme="minorHAnsi" w:cstheme="minorHAnsi"/>
          <w:sz w:val="22"/>
          <w:szCs w:val="22"/>
          <w:lang w:val="en-US"/>
        </w:rPr>
        <w:t xml:space="preserve"> every 3-9 days, </w:t>
      </w:r>
      <w:r>
        <w:rPr>
          <w:rFonts w:asciiTheme="minorHAnsi" w:hAnsiTheme="minorHAnsi" w:cstheme="minorHAnsi"/>
          <w:sz w:val="22"/>
          <w:szCs w:val="22"/>
          <w:lang w:val="en-US"/>
        </w:rPr>
        <w:t>we</w:t>
      </w:r>
      <w:r w:rsidRPr="00BB1D17">
        <w:rPr>
          <w:rFonts w:asciiTheme="minorHAnsi" w:hAnsiTheme="minorHAnsi" w:cstheme="minorHAnsi"/>
          <w:sz w:val="22"/>
          <w:szCs w:val="22"/>
          <w:lang w:val="en-US"/>
        </w:rPr>
        <w:t xml:space="preserve"> randomly selected </w:t>
      </w:r>
      <w:r>
        <w:rPr>
          <w:rFonts w:asciiTheme="minorHAnsi" w:hAnsiTheme="minorHAnsi" w:cstheme="minorHAnsi"/>
          <w:sz w:val="22"/>
          <w:szCs w:val="22"/>
          <w:lang w:val="en-US"/>
        </w:rPr>
        <w:t>4-6 individuals from each diet group to be</w:t>
      </w:r>
      <w:r w:rsidRPr="00BB1D17">
        <w:rPr>
          <w:rFonts w:asciiTheme="minorHAnsi" w:hAnsiTheme="minorHAnsi" w:cstheme="minorHAnsi"/>
          <w:sz w:val="22"/>
          <w:szCs w:val="22"/>
          <w:lang w:val="en-US"/>
        </w:rPr>
        <w:t xml:space="preserve"> transferred to the wind tunnel facility and start </w:t>
      </w:r>
      <w:r w:rsidRPr="00B83CF3">
        <w:rPr>
          <w:rFonts w:asciiTheme="minorHAnsi" w:hAnsiTheme="minorHAnsi" w:cstheme="minorHAnsi"/>
          <w:sz w:val="22"/>
          <w:szCs w:val="22"/>
          <w:lang w:val="en-US"/>
        </w:rPr>
        <w:t xml:space="preserve">the </w:t>
      </w:r>
      <w:r>
        <w:rPr>
          <w:rFonts w:asciiTheme="minorHAnsi" w:hAnsiTheme="minorHAnsi" w:cstheme="minorHAnsi"/>
          <w:sz w:val="22"/>
          <w:szCs w:val="22"/>
          <w:lang w:val="en-US"/>
        </w:rPr>
        <w:t>15-day flight training</w:t>
      </w:r>
      <w:r w:rsidRPr="00B83CF3">
        <w:rPr>
          <w:rFonts w:asciiTheme="minorHAnsi" w:hAnsiTheme="minorHAnsi" w:cstheme="minorHAnsi"/>
          <w:sz w:val="22"/>
          <w:szCs w:val="22"/>
          <w:lang w:val="en-US"/>
        </w:rPr>
        <w:t xml:space="preserve">. </w:t>
      </w:r>
      <w:r>
        <w:rPr>
          <w:rFonts w:asciiTheme="minorHAnsi" w:hAnsiTheme="minorHAnsi" w:cstheme="minorHAnsi"/>
          <w:sz w:val="22"/>
          <w:szCs w:val="22"/>
          <w:lang w:val="en-US"/>
        </w:rPr>
        <w:t>Birds in each training cohort were housed in aviaries</w:t>
      </w:r>
      <w:r w:rsidRPr="00BB1D17">
        <w:rPr>
          <w:rFonts w:asciiTheme="minorHAnsi" w:hAnsiTheme="minorHAnsi" w:cstheme="minorHAnsi"/>
          <w:sz w:val="22"/>
          <w:szCs w:val="22"/>
          <w:lang w:val="en-US"/>
        </w:rPr>
        <w:t xml:space="preserve"> (3 x 4 x 2.5 m high) </w:t>
      </w:r>
      <w:r>
        <w:rPr>
          <w:rFonts w:asciiTheme="minorHAnsi" w:hAnsiTheme="minorHAnsi" w:cstheme="minorHAnsi"/>
          <w:sz w:val="22"/>
          <w:szCs w:val="22"/>
          <w:lang w:val="en-US"/>
        </w:rPr>
        <w:t>that</w:t>
      </w:r>
      <w:r w:rsidRPr="00BB1D17">
        <w:rPr>
          <w:rFonts w:asciiTheme="minorHAnsi" w:hAnsiTheme="minorHAnsi" w:cstheme="minorHAnsi"/>
          <w:sz w:val="22"/>
          <w:szCs w:val="22"/>
          <w:lang w:val="en-US"/>
        </w:rPr>
        <w:t xml:space="preserve"> were adjacent to the wind-tunnel </w:t>
      </w:r>
      <w:r>
        <w:rPr>
          <w:rFonts w:asciiTheme="minorHAnsi" w:hAnsiTheme="minorHAnsi" w:cstheme="minorHAnsi"/>
          <w:sz w:val="22"/>
          <w:szCs w:val="22"/>
          <w:lang w:val="en-US"/>
        </w:rPr>
        <w:t xml:space="preserve">and </w:t>
      </w:r>
      <w:r w:rsidRPr="00BB1D17">
        <w:rPr>
          <w:rFonts w:asciiTheme="minorHAnsi" w:hAnsiTheme="minorHAnsi" w:cstheme="minorHAnsi"/>
          <w:sz w:val="22"/>
          <w:szCs w:val="22"/>
          <w:lang w:val="en-US"/>
        </w:rPr>
        <w:t>enclosed by nylon-mesh walls. This setup allowed us to release birds</w:t>
      </w:r>
      <w:r>
        <w:rPr>
          <w:rFonts w:asciiTheme="minorHAnsi" w:hAnsiTheme="minorHAnsi" w:cstheme="minorHAnsi"/>
          <w:sz w:val="22"/>
          <w:szCs w:val="22"/>
          <w:lang w:val="en-US"/>
        </w:rPr>
        <w:t xml:space="preserve"> from their aviaries, and guide them to fly directly</w:t>
      </w:r>
      <w:r w:rsidRPr="00BB1D17">
        <w:rPr>
          <w:rFonts w:asciiTheme="minorHAnsi" w:hAnsiTheme="minorHAnsi" w:cstheme="minorHAnsi"/>
          <w:sz w:val="22"/>
          <w:szCs w:val="22"/>
          <w:lang w:val="en-US"/>
        </w:rPr>
        <w:t xml:space="preserve"> into </w:t>
      </w:r>
      <w:r>
        <w:rPr>
          <w:rFonts w:asciiTheme="minorHAnsi" w:hAnsiTheme="minorHAnsi" w:cstheme="minorHAnsi"/>
          <w:sz w:val="22"/>
          <w:szCs w:val="22"/>
          <w:lang w:val="en-US"/>
        </w:rPr>
        <w:t xml:space="preserve">the </w:t>
      </w:r>
      <w:r w:rsidRPr="00BB1D17">
        <w:rPr>
          <w:rFonts w:asciiTheme="minorHAnsi" w:hAnsiTheme="minorHAnsi" w:cstheme="minorHAnsi"/>
          <w:sz w:val="22"/>
          <w:szCs w:val="22"/>
          <w:lang w:val="en-US"/>
        </w:rPr>
        <w:t xml:space="preserve">air stream without additional handling of birds. The </w:t>
      </w:r>
      <w:r>
        <w:rPr>
          <w:rFonts w:asciiTheme="minorHAnsi" w:hAnsiTheme="minorHAnsi" w:cstheme="minorHAnsi"/>
          <w:sz w:val="22"/>
          <w:szCs w:val="22"/>
          <w:lang w:val="en-US"/>
        </w:rPr>
        <w:t xml:space="preserve">section of the </w:t>
      </w:r>
      <w:proofErr w:type="spellStart"/>
      <w:r>
        <w:rPr>
          <w:rFonts w:asciiTheme="minorHAnsi" w:hAnsiTheme="minorHAnsi" w:cstheme="minorHAnsi"/>
          <w:sz w:val="22"/>
          <w:szCs w:val="22"/>
          <w:lang w:val="en-US"/>
        </w:rPr>
        <w:t>windtunnel</w:t>
      </w:r>
      <w:proofErr w:type="spellEnd"/>
      <w:r>
        <w:rPr>
          <w:rFonts w:asciiTheme="minorHAnsi" w:hAnsiTheme="minorHAnsi" w:cstheme="minorHAnsi"/>
          <w:sz w:val="22"/>
          <w:szCs w:val="22"/>
          <w:lang w:val="en-US"/>
        </w:rPr>
        <w:t xml:space="preserve"> where the birds </w:t>
      </w:r>
      <w:r w:rsidRPr="00BB1D17">
        <w:rPr>
          <w:rFonts w:asciiTheme="minorHAnsi" w:hAnsiTheme="minorHAnsi" w:cstheme="minorHAnsi"/>
          <w:sz w:val="22"/>
          <w:szCs w:val="22"/>
          <w:lang w:val="en-US"/>
        </w:rPr>
        <w:t>fl</w:t>
      </w:r>
      <w:r>
        <w:rPr>
          <w:rFonts w:asciiTheme="minorHAnsi" w:hAnsiTheme="minorHAnsi" w:cstheme="minorHAnsi"/>
          <w:sz w:val="22"/>
          <w:szCs w:val="22"/>
          <w:lang w:val="en-US"/>
        </w:rPr>
        <w:t>ew</w:t>
      </w:r>
      <w:r w:rsidRPr="00BB1D17">
        <w:rPr>
          <w:rFonts w:asciiTheme="minorHAnsi" w:hAnsiTheme="minorHAnsi" w:cstheme="minorHAnsi"/>
          <w:sz w:val="22"/>
          <w:szCs w:val="22"/>
          <w:lang w:val="en-US"/>
        </w:rPr>
        <w:t xml:space="preserve"> was a 2 m long and 1.2 m wide octagon buil</w:t>
      </w:r>
      <w:r>
        <w:rPr>
          <w:rFonts w:asciiTheme="minorHAnsi" w:hAnsiTheme="minorHAnsi" w:cstheme="minorHAnsi"/>
          <w:sz w:val="22"/>
          <w:szCs w:val="22"/>
          <w:lang w:val="en-US"/>
        </w:rPr>
        <w:t>t</w:t>
      </w:r>
      <w:r w:rsidRPr="00BB1D17">
        <w:rPr>
          <w:rFonts w:asciiTheme="minorHAnsi" w:hAnsiTheme="minorHAnsi" w:cstheme="minorHAnsi"/>
          <w:sz w:val="22"/>
          <w:szCs w:val="22"/>
          <w:lang w:val="en-US"/>
        </w:rPr>
        <w:t xml:space="preserve"> of transparent plastic and glass. </w:t>
      </w:r>
      <w:r w:rsidRPr="00CB7F7D">
        <w:rPr>
          <w:sz w:val="22"/>
          <w:szCs w:val="22"/>
        </w:rPr>
        <w:t xml:space="preserve">Flight-training for each cohort involved 15 consecutive days of specified amounts of flying in the </w:t>
      </w:r>
      <w:proofErr w:type="spellStart"/>
      <w:r w:rsidRPr="00CB7F7D">
        <w:rPr>
          <w:sz w:val="22"/>
          <w:szCs w:val="22"/>
        </w:rPr>
        <w:t>windtunnel</w:t>
      </w:r>
      <w:proofErr w:type="spellEnd"/>
      <w:r w:rsidRPr="00CB7F7D">
        <w:rPr>
          <w:sz w:val="22"/>
          <w:szCs w:val="22"/>
        </w:rPr>
        <w:t xml:space="preserve"> (day 1-3 flight time  = 20 min, day 4 = 30 min, day 5 = 60 min, day 6 = 30 min, day 7 = 60 min, day 8 = 90 min, day 9 = no flight training, day 10 = 120 min, day 11 = 180 min, day 12 = no flight training, day 13 = 60 min, day 14 = 30 min, day 15 = up to 360 min). This resulted in a total flight-training time, excluding the longest flight on day 15, of 720 min. For each bird, we recorded actual flight time each day and summed the total time spent flying for the entire 15-day period.</w:t>
      </w:r>
    </w:p>
    <w:p w14:paraId="1FDB64AD" w14:textId="77777777" w:rsidR="00E9289C" w:rsidRPr="00BB1D17" w:rsidRDefault="00E9289C" w:rsidP="00E9289C">
      <w:pPr>
        <w:pStyle w:val="Standard"/>
        <w:spacing w:line="360" w:lineRule="auto"/>
        <w:rPr>
          <w:rFonts w:asciiTheme="minorHAnsi" w:hAnsiTheme="minorHAnsi" w:cstheme="minorHAnsi"/>
          <w:sz w:val="22"/>
          <w:szCs w:val="22"/>
          <w:lang w:val="en-US"/>
        </w:rPr>
      </w:pPr>
    </w:p>
    <w:p w14:paraId="3EB1F287" w14:textId="77777777" w:rsidR="00E9289C" w:rsidRPr="00BB1D17" w:rsidRDefault="00E9289C" w:rsidP="00E9289C">
      <w:pPr>
        <w:pStyle w:val="Standard"/>
        <w:spacing w:line="360" w:lineRule="auto"/>
        <w:rPr>
          <w:rFonts w:asciiTheme="minorHAnsi" w:hAnsiTheme="minorHAnsi" w:cstheme="minorHAnsi"/>
          <w:sz w:val="22"/>
          <w:szCs w:val="22"/>
        </w:rPr>
      </w:pPr>
      <w:r w:rsidRPr="00BB1D17">
        <w:rPr>
          <w:rFonts w:asciiTheme="minorHAnsi" w:hAnsiTheme="minorHAnsi" w:cstheme="minorHAnsi"/>
          <w:sz w:val="22"/>
          <w:szCs w:val="22"/>
          <w:lang w:val="en-US"/>
        </w:rPr>
        <w:t>Circulating levels of corticosterone</w:t>
      </w:r>
    </w:p>
    <w:p w14:paraId="4BB1E8ED" w14:textId="62E069E9" w:rsidR="00E9289C" w:rsidRPr="00BB1D17" w:rsidRDefault="00E9289C" w:rsidP="00E9289C">
      <w:pPr>
        <w:pStyle w:val="Standard"/>
        <w:spacing w:line="360" w:lineRule="auto"/>
        <w:jc w:val="both"/>
        <w:rPr>
          <w:rFonts w:asciiTheme="minorHAnsi" w:hAnsiTheme="minorHAnsi" w:cstheme="minorHAnsi"/>
          <w:sz w:val="22"/>
          <w:szCs w:val="22"/>
          <w:lang w:val="en-US"/>
        </w:rPr>
      </w:pPr>
      <w:r w:rsidRPr="00BB1D17">
        <w:rPr>
          <w:rFonts w:asciiTheme="minorHAnsi" w:hAnsiTheme="minorHAnsi" w:cstheme="minorHAnsi"/>
          <w:sz w:val="22"/>
          <w:szCs w:val="22"/>
          <w:lang w:val="en-US"/>
        </w:rPr>
        <w:t>Plasma corticosterone concentrations</w:t>
      </w:r>
      <w:r>
        <w:rPr>
          <w:rFonts w:asciiTheme="minorHAnsi" w:hAnsiTheme="minorHAnsi" w:cstheme="minorHAnsi"/>
          <w:sz w:val="22"/>
          <w:szCs w:val="22"/>
          <w:lang w:val="en-US"/>
        </w:rPr>
        <w:t xml:space="preserve"> at flight and rest timepoints</w:t>
      </w:r>
      <w:r w:rsidRPr="00BB1D17">
        <w:rPr>
          <w:rFonts w:asciiTheme="minorHAnsi" w:hAnsiTheme="minorHAnsi" w:cstheme="minorHAnsi"/>
          <w:sz w:val="22"/>
          <w:szCs w:val="22"/>
          <w:lang w:val="en-US"/>
        </w:rPr>
        <w:t xml:space="preserve"> were determined using an enzyme immunoassay kit (Cat. No. K014-H1; Corticosterone ELISA Kit, Arbor Assays) </w:t>
      </w:r>
      <w:bookmarkStart w:id="1" w:name="_Hlk36736035"/>
      <w:r w:rsidRPr="00BB1D17">
        <w:rPr>
          <w:rFonts w:asciiTheme="minorHAnsi" w:hAnsiTheme="minorHAnsi" w:cstheme="minorHAnsi"/>
          <w:sz w:val="22"/>
          <w:szCs w:val="22"/>
          <w:lang w:val="en-US"/>
        </w:rPr>
        <w:t>following a double diethyl ether extraction of a 10 µL plasma sample</w:t>
      </w:r>
      <w:bookmarkEnd w:id="1"/>
      <w:r w:rsidRPr="00BB1D17">
        <w:rPr>
          <w:rFonts w:asciiTheme="minorHAnsi" w:hAnsiTheme="minorHAnsi" w:cstheme="minorHAnsi"/>
          <w:sz w:val="22"/>
          <w:szCs w:val="22"/>
          <w:lang w:val="en-US"/>
        </w:rPr>
        <w:t xml:space="preserve">. Samples were re-dissolved in assay buffer and allowed to </w:t>
      </w:r>
      <w:r w:rsidRPr="00BB1D17">
        <w:rPr>
          <w:rFonts w:asciiTheme="minorHAnsi" w:hAnsiTheme="minorHAnsi" w:cstheme="minorHAnsi"/>
          <w:sz w:val="22"/>
          <w:szCs w:val="22"/>
          <w:lang w:val="en-US"/>
        </w:rPr>
        <w:lastRenderedPageBreak/>
        <w:t>reconstitute over-night. A buffer blank and two stripped chicken plasma controls (with Cort added at concentrations of 10 and 5 ng mL</w:t>
      </w:r>
      <w:r w:rsidRPr="00BB1D17">
        <w:rPr>
          <w:rFonts w:asciiTheme="minorHAnsi" w:hAnsiTheme="minorHAnsi" w:cstheme="minorHAnsi"/>
          <w:sz w:val="22"/>
          <w:szCs w:val="22"/>
          <w:vertAlign w:val="superscript"/>
          <w:lang w:val="en-US"/>
        </w:rPr>
        <w:t>-1</w:t>
      </w:r>
      <w:r w:rsidRPr="00BB1D17">
        <w:rPr>
          <w:rFonts w:asciiTheme="minorHAnsi" w:hAnsiTheme="minorHAnsi" w:cstheme="minorHAnsi"/>
          <w:sz w:val="22"/>
          <w:szCs w:val="22"/>
          <w:lang w:val="en-US"/>
        </w:rPr>
        <w:t>, respectively) were taken through the entire procedure. The next day, 50 µL of each sample (in duplicate) was added to individual wells on an assay plate.</w:t>
      </w:r>
      <w:r w:rsidR="006E2CD6" w:rsidRPr="006E2CD6">
        <w:rPr>
          <w:rFonts w:asciiTheme="minorHAnsi" w:hAnsiTheme="minorHAnsi" w:cstheme="minorHAnsi"/>
          <w:sz w:val="22"/>
          <w:szCs w:val="22"/>
          <w:lang w:val="en-US"/>
        </w:rPr>
        <w:t xml:space="preserve"> Individuals were randomized across plate</w:t>
      </w:r>
      <w:r w:rsidR="006E2CD6">
        <w:rPr>
          <w:rFonts w:asciiTheme="minorHAnsi" w:hAnsiTheme="minorHAnsi" w:cstheme="minorHAnsi"/>
          <w:sz w:val="22"/>
          <w:szCs w:val="22"/>
          <w:lang w:val="en-US"/>
        </w:rPr>
        <w:t>s</w:t>
      </w:r>
      <w:r w:rsidR="006E2CD6" w:rsidRPr="006E2CD6">
        <w:rPr>
          <w:rFonts w:asciiTheme="minorHAnsi" w:hAnsiTheme="minorHAnsi" w:cstheme="minorHAnsi"/>
          <w:sz w:val="22"/>
          <w:szCs w:val="22"/>
          <w:lang w:val="en-US"/>
        </w:rPr>
        <w:t xml:space="preserve"> </w:t>
      </w:r>
      <w:r w:rsidR="006E2CD6">
        <w:rPr>
          <w:rFonts w:asciiTheme="minorHAnsi" w:hAnsiTheme="minorHAnsi" w:cstheme="minorHAnsi"/>
          <w:sz w:val="22"/>
          <w:szCs w:val="22"/>
          <w:lang w:val="en-US"/>
        </w:rPr>
        <w:t>with</w:t>
      </w:r>
      <w:r w:rsidR="006E2CD6" w:rsidRPr="006E2CD6">
        <w:rPr>
          <w:rFonts w:asciiTheme="minorHAnsi" w:hAnsiTheme="minorHAnsi" w:cstheme="minorHAnsi"/>
          <w:sz w:val="22"/>
          <w:szCs w:val="22"/>
          <w:lang w:val="en-US"/>
        </w:rPr>
        <w:t xml:space="preserve"> repeated measures for the same individual run in the same plate.</w:t>
      </w:r>
      <w:r w:rsidR="006E2CD6">
        <w:rPr>
          <w:rFonts w:asciiTheme="minorHAnsi" w:hAnsiTheme="minorHAnsi" w:cstheme="minorHAnsi"/>
          <w:sz w:val="22"/>
          <w:szCs w:val="22"/>
          <w:lang w:val="en-US"/>
        </w:rPr>
        <w:t xml:space="preserve"> </w:t>
      </w:r>
      <w:r w:rsidRPr="00BB1D17">
        <w:rPr>
          <w:rFonts w:asciiTheme="minorHAnsi" w:hAnsiTheme="minorHAnsi" w:cstheme="minorHAnsi"/>
          <w:sz w:val="22"/>
          <w:szCs w:val="22"/>
          <w:lang w:val="en-US"/>
        </w:rPr>
        <w:t>The inter-plate coefficient of variation (CV) was calculated as the average concentrations of the four controls (for both high and low concentrations) of the 6 plates and was 8.73±0.41%.</w:t>
      </w:r>
      <w:r w:rsidRPr="00BB1D17">
        <w:rPr>
          <w:rFonts w:asciiTheme="minorHAnsi" w:hAnsiTheme="minorHAnsi" w:cstheme="minorHAnsi"/>
          <w:sz w:val="22"/>
          <w:szCs w:val="22"/>
        </w:rPr>
        <w:t xml:space="preserve"> </w:t>
      </w:r>
      <w:r w:rsidRPr="00BB1D17">
        <w:rPr>
          <w:rFonts w:asciiTheme="minorHAnsi" w:hAnsiTheme="minorHAnsi" w:cstheme="minorHAnsi"/>
          <w:sz w:val="22"/>
          <w:szCs w:val="22"/>
          <w:lang w:val="en-US"/>
        </w:rPr>
        <w:t xml:space="preserve">The intra-plate </w:t>
      </w:r>
      <w:r>
        <w:rPr>
          <w:rFonts w:asciiTheme="minorHAnsi" w:hAnsiTheme="minorHAnsi" w:cstheme="minorHAnsi"/>
          <w:sz w:val="22"/>
          <w:szCs w:val="22"/>
          <w:lang w:val="en-US"/>
        </w:rPr>
        <w:t xml:space="preserve">CV </w:t>
      </w:r>
      <w:r w:rsidRPr="00BB1D17">
        <w:rPr>
          <w:rFonts w:asciiTheme="minorHAnsi" w:hAnsiTheme="minorHAnsi" w:cstheme="minorHAnsi"/>
          <w:sz w:val="22"/>
          <w:szCs w:val="22"/>
          <w:lang w:val="en-US"/>
        </w:rPr>
        <w:t>was calculated as the average CV of the concentrations of all the unknown samples run on 6 plates and was 4.36±0.24%.</w:t>
      </w:r>
    </w:p>
    <w:p w14:paraId="0341BBAB" w14:textId="77777777" w:rsidR="00E9289C" w:rsidRDefault="00E9289C" w:rsidP="00E9289C">
      <w:pPr>
        <w:rPr>
          <w:rFonts w:asciiTheme="minorHAnsi" w:hAnsiTheme="minorHAnsi" w:cstheme="minorHAnsi"/>
          <w:lang w:val="en-US"/>
        </w:rPr>
      </w:pPr>
    </w:p>
    <w:p w14:paraId="0BC9545C" w14:textId="77777777" w:rsidR="000D1FFB" w:rsidRDefault="000D1FFB" w:rsidP="00E9289C">
      <w:pPr>
        <w:rPr>
          <w:rFonts w:asciiTheme="minorHAnsi" w:hAnsiTheme="minorHAnsi" w:cstheme="minorHAnsi"/>
          <w:lang w:val="en-US"/>
        </w:rPr>
      </w:pPr>
      <w:r>
        <w:rPr>
          <w:rFonts w:asciiTheme="minorHAnsi" w:hAnsiTheme="minorHAnsi" w:cstheme="minorHAnsi"/>
          <w:lang w:val="en-US"/>
        </w:rPr>
        <w:t>Results</w:t>
      </w:r>
      <w:bookmarkStart w:id="2" w:name="_GoBack"/>
      <w:bookmarkEnd w:id="2"/>
    </w:p>
    <w:p w14:paraId="45B5FA9B" w14:textId="77777777" w:rsidR="000D1FFB" w:rsidRDefault="000D1FFB" w:rsidP="000D1FFB">
      <w:pPr>
        <w:widowControl/>
        <w:suppressAutoHyphens w:val="0"/>
        <w:autoSpaceDN/>
        <w:spacing w:after="160" w:line="360" w:lineRule="auto"/>
        <w:textAlignment w:val="auto"/>
        <w:rPr>
          <w:rFonts w:asciiTheme="minorHAnsi" w:hAnsiTheme="minorHAnsi" w:cstheme="minorHAnsi"/>
        </w:rPr>
      </w:pPr>
      <w:r>
        <w:rPr>
          <w:rFonts w:asciiTheme="minorHAnsi" w:hAnsiTheme="minorHAnsi" w:cstheme="minorHAnsi"/>
        </w:rPr>
        <w:t xml:space="preserve">Table S1. Means (± s.e.) of the considered variables.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1584"/>
        <w:gridCol w:w="1510"/>
        <w:gridCol w:w="1584"/>
        <w:gridCol w:w="1510"/>
      </w:tblGrid>
      <w:tr w:rsidR="000D1FFB" w14:paraId="32012611" w14:textId="77777777" w:rsidTr="00526FAE">
        <w:trPr>
          <w:trHeight w:hRule="exact" w:val="432"/>
        </w:trPr>
        <w:tc>
          <w:tcPr>
            <w:tcW w:w="2590" w:type="dxa"/>
            <w:tcBorders>
              <w:top w:val="single" w:sz="4" w:space="0" w:color="auto"/>
              <w:bottom w:val="single" w:sz="4" w:space="0" w:color="auto"/>
            </w:tcBorders>
            <w:vAlign w:val="center"/>
          </w:tcPr>
          <w:p w14:paraId="715BEB15" w14:textId="77777777" w:rsidR="000D1FFB" w:rsidRDefault="000D1FFB" w:rsidP="00526FAE">
            <w:pPr>
              <w:widowControl/>
              <w:suppressAutoHyphens w:val="0"/>
              <w:autoSpaceDN/>
              <w:spacing w:after="160" w:line="360" w:lineRule="auto"/>
              <w:textAlignment w:val="auto"/>
              <w:rPr>
                <w:rFonts w:asciiTheme="minorHAnsi" w:hAnsiTheme="minorHAnsi" w:cstheme="minorHAnsi"/>
              </w:rPr>
            </w:pPr>
          </w:p>
        </w:tc>
        <w:tc>
          <w:tcPr>
            <w:tcW w:w="3094" w:type="dxa"/>
            <w:gridSpan w:val="2"/>
            <w:tcBorders>
              <w:top w:val="single" w:sz="4" w:space="0" w:color="auto"/>
              <w:bottom w:val="single" w:sz="4" w:space="0" w:color="auto"/>
            </w:tcBorders>
            <w:vAlign w:val="center"/>
          </w:tcPr>
          <w:p w14:paraId="6E566CED"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Flight</w:t>
            </w:r>
          </w:p>
        </w:tc>
        <w:tc>
          <w:tcPr>
            <w:tcW w:w="3094" w:type="dxa"/>
            <w:gridSpan w:val="2"/>
            <w:tcBorders>
              <w:top w:val="single" w:sz="4" w:space="0" w:color="auto"/>
              <w:bottom w:val="single" w:sz="4" w:space="0" w:color="auto"/>
            </w:tcBorders>
            <w:vAlign w:val="center"/>
          </w:tcPr>
          <w:p w14:paraId="049DBA4F"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Rest</w:t>
            </w:r>
          </w:p>
        </w:tc>
      </w:tr>
      <w:tr w:rsidR="000D1FFB" w14:paraId="6E33BD3B" w14:textId="77777777" w:rsidTr="00526FAE">
        <w:trPr>
          <w:trHeight w:hRule="exact" w:val="432"/>
        </w:trPr>
        <w:tc>
          <w:tcPr>
            <w:tcW w:w="2590" w:type="dxa"/>
            <w:tcBorders>
              <w:top w:val="single" w:sz="4" w:space="0" w:color="auto"/>
              <w:bottom w:val="single" w:sz="4" w:space="0" w:color="auto"/>
            </w:tcBorders>
            <w:vAlign w:val="center"/>
          </w:tcPr>
          <w:p w14:paraId="711E2AF2" w14:textId="77777777" w:rsidR="000D1FFB" w:rsidRDefault="000D1FFB" w:rsidP="00526FAE">
            <w:pPr>
              <w:widowControl/>
              <w:suppressAutoHyphens w:val="0"/>
              <w:autoSpaceDN/>
              <w:spacing w:after="160" w:line="360" w:lineRule="auto"/>
              <w:textAlignment w:val="auto"/>
              <w:rPr>
                <w:rFonts w:asciiTheme="minorHAnsi" w:hAnsiTheme="minorHAnsi" w:cstheme="minorHAnsi"/>
              </w:rPr>
            </w:pPr>
            <w:r>
              <w:rPr>
                <w:rFonts w:asciiTheme="minorHAnsi" w:hAnsiTheme="minorHAnsi" w:cstheme="minorHAnsi"/>
              </w:rPr>
              <w:t>Variable</w:t>
            </w:r>
          </w:p>
        </w:tc>
        <w:tc>
          <w:tcPr>
            <w:tcW w:w="1584" w:type="dxa"/>
            <w:tcBorders>
              <w:top w:val="single" w:sz="4" w:space="0" w:color="auto"/>
              <w:bottom w:val="single" w:sz="4" w:space="0" w:color="auto"/>
            </w:tcBorders>
            <w:vAlign w:val="center"/>
          </w:tcPr>
          <w:p w14:paraId="2D627EC6"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Anthocyanins</w:t>
            </w:r>
          </w:p>
        </w:tc>
        <w:tc>
          <w:tcPr>
            <w:tcW w:w="1510" w:type="dxa"/>
            <w:tcBorders>
              <w:top w:val="single" w:sz="4" w:space="0" w:color="auto"/>
              <w:bottom w:val="single" w:sz="4" w:space="0" w:color="auto"/>
            </w:tcBorders>
            <w:vAlign w:val="center"/>
          </w:tcPr>
          <w:p w14:paraId="36A64B52"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Controls</w:t>
            </w:r>
          </w:p>
        </w:tc>
        <w:tc>
          <w:tcPr>
            <w:tcW w:w="1584" w:type="dxa"/>
            <w:tcBorders>
              <w:top w:val="single" w:sz="4" w:space="0" w:color="auto"/>
              <w:bottom w:val="single" w:sz="4" w:space="0" w:color="auto"/>
            </w:tcBorders>
            <w:vAlign w:val="center"/>
          </w:tcPr>
          <w:p w14:paraId="24A45704"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Anthocyanins</w:t>
            </w:r>
          </w:p>
        </w:tc>
        <w:tc>
          <w:tcPr>
            <w:tcW w:w="1510" w:type="dxa"/>
            <w:tcBorders>
              <w:top w:val="single" w:sz="4" w:space="0" w:color="auto"/>
              <w:bottom w:val="single" w:sz="4" w:space="0" w:color="auto"/>
            </w:tcBorders>
            <w:vAlign w:val="center"/>
          </w:tcPr>
          <w:p w14:paraId="4FAB0034"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Controls</w:t>
            </w:r>
          </w:p>
        </w:tc>
      </w:tr>
      <w:tr w:rsidR="000D1FFB" w14:paraId="3BFF5862" w14:textId="77777777" w:rsidTr="00526FAE">
        <w:trPr>
          <w:trHeight w:hRule="exact" w:val="432"/>
        </w:trPr>
        <w:tc>
          <w:tcPr>
            <w:tcW w:w="2590" w:type="dxa"/>
            <w:tcBorders>
              <w:top w:val="single" w:sz="4" w:space="0" w:color="auto"/>
            </w:tcBorders>
            <w:vAlign w:val="center"/>
          </w:tcPr>
          <w:p w14:paraId="51EF6151" w14:textId="77777777" w:rsidR="000D1FFB" w:rsidRDefault="000D1FFB" w:rsidP="00526FAE">
            <w:pPr>
              <w:widowControl/>
              <w:suppressAutoHyphens w:val="0"/>
              <w:autoSpaceDN/>
              <w:spacing w:after="160" w:line="360" w:lineRule="auto"/>
              <w:textAlignment w:val="auto"/>
              <w:rPr>
                <w:rFonts w:asciiTheme="minorHAnsi" w:hAnsiTheme="minorHAnsi" w:cstheme="minorHAnsi"/>
              </w:rPr>
            </w:pPr>
            <w:r>
              <w:rPr>
                <w:rFonts w:asciiTheme="minorHAnsi" w:hAnsiTheme="minorHAnsi" w:cstheme="minorHAnsi"/>
              </w:rPr>
              <w:t>Corticosterone (ng/mL)</w:t>
            </w:r>
          </w:p>
        </w:tc>
        <w:tc>
          <w:tcPr>
            <w:tcW w:w="1584" w:type="dxa"/>
            <w:tcBorders>
              <w:top w:val="single" w:sz="4" w:space="0" w:color="auto"/>
            </w:tcBorders>
            <w:vAlign w:val="center"/>
          </w:tcPr>
          <w:p w14:paraId="67753505"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39.33 (±5.40)</w:t>
            </w:r>
          </w:p>
        </w:tc>
        <w:tc>
          <w:tcPr>
            <w:tcW w:w="1510" w:type="dxa"/>
            <w:tcBorders>
              <w:top w:val="single" w:sz="4" w:space="0" w:color="auto"/>
            </w:tcBorders>
            <w:vAlign w:val="center"/>
          </w:tcPr>
          <w:p w14:paraId="167FDD6E"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62.18 (±7.41)</w:t>
            </w:r>
          </w:p>
        </w:tc>
        <w:tc>
          <w:tcPr>
            <w:tcW w:w="1584" w:type="dxa"/>
            <w:tcBorders>
              <w:top w:val="single" w:sz="4" w:space="0" w:color="auto"/>
            </w:tcBorders>
            <w:vAlign w:val="center"/>
          </w:tcPr>
          <w:p w14:paraId="425E8BEB"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15.22 (±4.07)</w:t>
            </w:r>
          </w:p>
        </w:tc>
        <w:tc>
          <w:tcPr>
            <w:tcW w:w="1510" w:type="dxa"/>
            <w:tcBorders>
              <w:top w:val="single" w:sz="4" w:space="0" w:color="auto"/>
            </w:tcBorders>
            <w:vAlign w:val="center"/>
          </w:tcPr>
          <w:p w14:paraId="402A90BC"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13.35 (±1.53)</w:t>
            </w:r>
          </w:p>
        </w:tc>
      </w:tr>
      <w:tr w:rsidR="000D1FFB" w14:paraId="0E5C7D4E" w14:textId="77777777" w:rsidTr="00526FAE">
        <w:trPr>
          <w:trHeight w:hRule="exact" w:val="432"/>
        </w:trPr>
        <w:tc>
          <w:tcPr>
            <w:tcW w:w="2590" w:type="dxa"/>
            <w:vAlign w:val="center"/>
          </w:tcPr>
          <w:p w14:paraId="4DEE8A82" w14:textId="77777777" w:rsidR="000D1FFB" w:rsidRDefault="000D1FFB" w:rsidP="00526FAE">
            <w:pPr>
              <w:widowControl/>
              <w:suppressAutoHyphens w:val="0"/>
              <w:autoSpaceDN/>
              <w:spacing w:after="160" w:line="360" w:lineRule="auto"/>
              <w:textAlignment w:val="auto"/>
              <w:rPr>
                <w:rFonts w:asciiTheme="minorHAnsi" w:hAnsiTheme="minorHAnsi" w:cstheme="minorHAnsi"/>
              </w:rPr>
            </w:pPr>
            <w:r>
              <w:rPr>
                <w:rFonts w:asciiTheme="minorHAnsi" w:hAnsiTheme="minorHAnsi" w:cstheme="minorHAnsi"/>
              </w:rPr>
              <w:t>Body mass (g)</w:t>
            </w:r>
          </w:p>
        </w:tc>
        <w:tc>
          <w:tcPr>
            <w:tcW w:w="1584" w:type="dxa"/>
            <w:vAlign w:val="center"/>
          </w:tcPr>
          <w:p w14:paraId="53446E13"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66.09 (±1.01)</w:t>
            </w:r>
          </w:p>
        </w:tc>
        <w:tc>
          <w:tcPr>
            <w:tcW w:w="1510" w:type="dxa"/>
            <w:vAlign w:val="center"/>
          </w:tcPr>
          <w:p w14:paraId="033FA85F"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66.38 (±0.82)</w:t>
            </w:r>
          </w:p>
        </w:tc>
        <w:tc>
          <w:tcPr>
            <w:tcW w:w="1584" w:type="dxa"/>
            <w:vAlign w:val="center"/>
          </w:tcPr>
          <w:p w14:paraId="3C2AF358"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67.40 (±0.93)</w:t>
            </w:r>
          </w:p>
        </w:tc>
        <w:tc>
          <w:tcPr>
            <w:tcW w:w="1510" w:type="dxa"/>
            <w:vAlign w:val="center"/>
          </w:tcPr>
          <w:p w14:paraId="56C63E9A"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67.34 (±0.71)</w:t>
            </w:r>
          </w:p>
        </w:tc>
      </w:tr>
      <w:tr w:rsidR="000D1FFB" w14:paraId="13A5FA7E" w14:textId="77777777" w:rsidTr="00526FAE">
        <w:trPr>
          <w:trHeight w:hRule="exact" w:val="432"/>
        </w:trPr>
        <w:tc>
          <w:tcPr>
            <w:tcW w:w="2590" w:type="dxa"/>
            <w:vAlign w:val="center"/>
          </w:tcPr>
          <w:p w14:paraId="0D3FC745" w14:textId="77777777" w:rsidR="000D1FFB" w:rsidRDefault="000D1FFB" w:rsidP="00526FAE">
            <w:pPr>
              <w:widowControl/>
              <w:suppressAutoHyphens w:val="0"/>
              <w:autoSpaceDN/>
              <w:spacing w:after="160" w:line="360" w:lineRule="auto"/>
              <w:textAlignment w:val="auto"/>
              <w:rPr>
                <w:rFonts w:asciiTheme="minorHAnsi" w:hAnsiTheme="minorHAnsi" w:cstheme="minorHAnsi"/>
              </w:rPr>
            </w:pPr>
            <w:r>
              <w:rPr>
                <w:rFonts w:asciiTheme="minorHAnsi" w:hAnsiTheme="minorHAnsi" w:cstheme="minorHAnsi"/>
              </w:rPr>
              <w:t xml:space="preserve">Fat store (score) </w:t>
            </w:r>
          </w:p>
        </w:tc>
        <w:tc>
          <w:tcPr>
            <w:tcW w:w="1584" w:type="dxa"/>
            <w:vAlign w:val="center"/>
          </w:tcPr>
          <w:p w14:paraId="62CC62CD"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1.75 (±0.12)</w:t>
            </w:r>
          </w:p>
        </w:tc>
        <w:tc>
          <w:tcPr>
            <w:tcW w:w="1510" w:type="dxa"/>
            <w:vAlign w:val="center"/>
          </w:tcPr>
          <w:p w14:paraId="55F75047"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1.76 (±0.15)</w:t>
            </w:r>
          </w:p>
        </w:tc>
        <w:tc>
          <w:tcPr>
            <w:tcW w:w="1584" w:type="dxa"/>
            <w:vAlign w:val="center"/>
          </w:tcPr>
          <w:p w14:paraId="0BCF8CA9"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2.18 (±0.13)</w:t>
            </w:r>
          </w:p>
        </w:tc>
        <w:tc>
          <w:tcPr>
            <w:tcW w:w="1510" w:type="dxa"/>
            <w:vAlign w:val="center"/>
          </w:tcPr>
          <w:p w14:paraId="3453F335"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2.12 (±0.11)</w:t>
            </w:r>
          </w:p>
        </w:tc>
      </w:tr>
      <w:tr w:rsidR="000D1FFB" w14:paraId="19ADDBF0" w14:textId="77777777" w:rsidTr="00526FAE">
        <w:trPr>
          <w:trHeight w:hRule="exact" w:val="432"/>
        </w:trPr>
        <w:tc>
          <w:tcPr>
            <w:tcW w:w="2590" w:type="dxa"/>
            <w:vAlign w:val="center"/>
          </w:tcPr>
          <w:p w14:paraId="61877D20" w14:textId="77777777" w:rsidR="000D1FFB" w:rsidRDefault="000D1FFB" w:rsidP="00526FAE">
            <w:pPr>
              <w:widowControl/>
              <w:suppressAutoHyphens w:val="0"/>
              <w:autoSpaceDN/>
              <w:spacing w:after="160" w:line="360" w:lineRule="auto"/>
              <w:textAlignment w:val="auto"/>
              <w:rPr>
                <w:rFonts w:asciiTheme="minorHAnsi" w:hAnsiTheme="minorHAnsi" w:cstheme="minorHAnsi"/>
              </w:rPr>
            </w:pPr>
            <w:r>
              <w:rPr>
                <w:rFonts w:asciiTheme="minorHAnsi" w:hAnsiTheme="minorHAnsi" w:cstheme="minorHAnsi"/>
              </w:rPr>
              <w:t>Muscle size (score)</w:t>
            </w:r>
          </w:p>
        </w:tc>
        <w:tc>
          <w:tcPr>
            <w:tcW w:w="1584" w:type="dxa"/>
            <w:vAlign w:val="center"/>
          </w:tcPr>
          <w:p w14:paraId="25D82E29"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21.2 (±0.19)</w:t>
            </w:r>
          </w:p>
        </w:tc>
        <w:tc>
          <w:tcPr>
            <w:tcW w:w="1510" w:type="dxa"/>
            <w:vAlign w:val="center"/>
          </w:tcPr>
          <w:p w14:paraId="716FA632"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21.19 (±0.16)</w:t>
            </w:r>
          </w:p>
        </w:tc>
        <w:tc>
          <w:tcPr>
            <w:tcW w:w="1584" w:type="dxa"/>
            <w:vAlign w:val="center"/>
          </w:tcPr>
          <w:p w14:paraId="6347BB0E"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21.25 (±0.16)</w:t>
            </w:r>
          </w:p>
        </w:tc>
        <w:tc>
          <w:tcPr>
            <w:tcW w:w="1510" w:type="dxa"/>
            <w:vAlign w:val="center"/>
          </w:tcPr>
          <w:p w14:paraId="51E001B2" w14:textId="77777777" w:rsidR="000D1FFB" w:rsidRDefault="000D1FFB" w:rsidP="00526FAE">
            <w:pPr>
              <w:widowControl/>
              <w:suppressAutoHyphens w:val="0"/>
              <w:autoSpaceDN/>
              <w:spacing w:after="160" w:line="360" w:lineRule="auto"/>
              <w:jc w:val="center"/>
              <w:textAlignment w:val="auto"/>
              <w:rPr>
                <w:rFonts w:asciiTheme="minorHAnsi" w:hAnsiTheme="minorHAnsi" w:cstheme="minorHAnsi"/>
              </w:rPr>
            </w:pPr>
            <w:r>
              <w:rPr>
                <w:rFonts w:asciiTheme="minorHAnsi" w:hAnsiTheme="minorHAnsi" w:cstheme="minorHAnsi"/>
              </w:rPr>
              <w:t>21.34 (±0.15)</w:t>
            </w:r>
          </w:p>
        </w:tc>
      </w:tr>
    </w:tbl>
    <w:p w14:paraId="3DDB4A99" w14:textId="77777777" w:rsidR="000D1FFB" w:rsidRPr="00BB1D17" w:rsidRDefault="000D1FFB" w:rsidP="000D1FFB">
      <w:pPr>
        <w:widowControl/>
        <w:suppressAutoHyphens w:val="0"/>
        <w:autoSpaceDN/>
        <w:spacing w:after="160" w:line="360" w:lineRule="auto"/>
        <w:textAlignment w:val="auto"/>
        <w:rPr>
          <w:rFonts w:asciiTheme="minorHAnsi" w:hAnsiTheme="minorHAnsi" w:cstheme="minorHAnsi"/>
        </w:rPr>
      </w:pPr>
    </w:p>
    <w:p w14:paraId="20C9A334" w14:textId="77777777" w:rsidR="000D1FFB" w:rsidRPr="00F97588" w:rsidRDefault="000D1FFB" w:rsidP="00E9289C">
      <w:pPr>
        <w:rPr>
          <w:rFonts w:asciiTheme="minorHAnsi" w:hAnsiTheme="minorHAnsi" w:cstheme="minorHAnsi"/>
          <w:lang w:val="en-US"/>
        </w:rPr>
      </w:pPr>
    </w:p>
    <w:p w14:paraId="7286D0A3" w14:textId="77777777" w:rsidR="00A40B93" w:rsidRPr="00E9289C" w:rsidRDefault="00A40B93">
      <w:pPr>
        <w:rPr>
          <w:lang w:val="en-US"/>
        </w:rPr>
      </w:pPr>
    </w:p>
    <w:sectPr w:rsidR="00A40B93" w:rsidRPr="00E9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9C"/>
    <w:rsid w:val="000D1FFB"/>
    <w:rsid w:val="006E2CD6"/>
    <w:rsid w:val="0096421F"/>
    <w:rsid w:val="00A40B93"/>
    <w:rsid w:val="00E9289C"/>
    <w:rsid w:val="00FB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55E4"/>
  <w15:chartTrackingRefBased/>
  <w15:docId w15:val="{C0718C39-FBF0-454D-84EE-C7792BA5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89C"/>
    <w:pPr>
      <w:widowControl w:val="0"/>
      <w:suppressAutoHyphens/>
      <w:autoSpaceDN w:val="0"/>
      <w:spacing w:after="200" w:line="276" w:lineRule="auto"/>
      <w:textAlignment w:val="baseline"/>
    </w:pPr>
    <w:rPr>
      <w:rFonts w:ascii="Calibri" w:eastAsia="SimSun" w:hAnsi="Calibri" w:cs="F1"/>
      <w:kern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9289C"/>
    <w:pPr>
      <w:suppressAutoHyphens/>
      <w:autoSpaceDN w:val="0"/>
      <w:spacing w:after="0" w:line="240" w:lineRule="auto"/>
      <w:textAlignment w:val="baseline"/>
    </w:pPr>
    <w:rPr>
      <w:rFonts w:ascii="Calibri" w:eastAsia="SimSun" w:hAnsi="Calibri" w:cs="Calibri"/>
      <w:color w:val="000000"/>
      <w:kern w:val="3"/>
      <w:sz w:val="24"/>
      <w:szCs w:val="24"/>
      <w:lang w:val="en-GB"/>
    </w:rPr>
  </w:style>
  <w:style w:type="character" w:styleId="CommentReference">
    <w:name w:val="annotation reference"/>
    <w:basedOn w:val="DefaultParagraphFont"/>
    <w:uiPriority w:val="99"/>
    <w:semiHidden/>
    <w:unhideWhenUsed/>
    <w:rsid w:val="00E9289C"/>
    <w:rPr>
      <w:sz w:val="16"/>
      <w:szCs w:val="16"/>
    </w:rPr>
  </w:style>
  <w:style w:type="paragraph" w:styleId="CommentText">
    <w:name w:val="annotation text"/>
    <w:basedOn w:val="Normal"/>
    <w:link w:val="CommentTextChar"/>
    <w:uiPriority w:val="99"/>
    <w:unhideWhenUsed/>
    <w:rsid w:val="00E9289C"/>
    <w:pPr>
      <w:spacing w:line="240" w:lineRule="auto"/>
    </w:pPr>
    <w:rPr>
      <w:sz w:val="20"/>
      <w:szCs w:val="20"/>
    </w:rPr>
  </w:style>
  <w:style w:type="character" w:customStyle="1" w:styleId="CommentTextChar">
    <w:name w:val="Comment Text Char"/>
    <w:basedOn w:val="DefaultParagraphFont"/>
    <w:link w:val="CommentText"/>
    <w:uiPriority w:val="99"/>
    <w:rsid w:val="00E9289C"/>
    <w:rPr>
      <w:rFonts w:ascii="Calibri" w:eastAsia="SimSun" w:hAnsi="Calibri" w:cs="F1"/>
      <w:kern w:val="3"/>
      <w:sz w:val="20"/>
      <w:szCs w:val="20"/>
      <w:lang w:val="en-GB"/>
    </w:rPr>
  </w:style>
  <w:style w:type="paragraph" w:styleId="BalloonText">
    <w:name w:val="Balloon Text"/>
    <w:basedOn w:val="Normal"/>
    <w:link w:val="BalloonTextChar"/>
    <w:uiPriority w:val="99"/>
    <w:semiHidden/>
    <w:unhideWhenUsed/>
    <w:rsid w:val="00E92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9C"/>
    <w:rPr>
      <w:rFonts w:ascii="Segoe UI" w:eastAsia="SimSun" w:hAnsi="Segoe UI" w:cs="Segoe UI"/>
      <w:kern w:val="3"/>
      <w:sz w:val="18"/>
      <w:szCs w:val="18"/>
      <w:lang w:val="en-GB"/>
    </w:rPr>
  </w:style>
  <w:style w:type="table" w:styleId="TableGrid">
    <w:name w:val="Table Grid"/>
    <w:basedOn w:val="TableNormal"/>
    <w:uiPriority w:val="59"/>
    <w:rsid w:val="000D1F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Casagrande</dc:creator>
  <cp:keywords/>
  <dc:description/>
  <cp:lastModifiedBy>Stefania Casagrande</cp:lastModifiedBy>
  <cp:revision>2</cp:revision>
  <dcterms:created xsi:type="dcterms:W3CDTF">2020-05-20T13:38:00Z</dcterms:created>
  <dcterms:modified xsi:type="dcterms:W3CDTF">2020-05-20T13:38:00Z</dcterms:modified>
</cp:coreProperties>
</file>