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9DE4" w14:textId="77777777" w:rsidR="005B68CE" w:rsidRPr="002D542D" w:rsidRDefault="005B68CE" w:rsidP="005B68CE">
      <w:pPr>
        <w:rPr>
          <w:rFonts w:eastAsia="Times New Roman"/>
        </w:rPr>
      </w:pPr>
    </w:p>
    <w:tbl>
      <w:tblPr>
        <w:tblStyle w:val="PlainTable4"/>
        <w:tblW w:w="5993" w:type="dxa"/>
        <w:tblLook w:val="04A0" w:firstRow="1" w:lastRow="0" w:firstColumn="1" w:lastColumn="0" w:noHBand="0" w:noVBand="1"/>
      </w:tblPr>
      <w:tblGrid>
        <w:gridCol w:w="1564"/>
        <w:gridCol w:w="1145"/>
        <w:gridCol w:w="1303"/>
        <w:gridCol w:w="925"/>
        <w:gridCol w:w="1056"/>
      </w:tblGrid>
      <w:tr w:rsidR="005B68CE" w:rsidRPr="002D542D" w14:paraId="37981A52" w14:textId="77777777" w:rsidTr="005D297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64" w:type="dxa"/>
            <w:hideMark/>
          </w:tcPr>
          <w:p w14:paraId="08FD0A60" w14:textId="77777777" w:rsidR="005B68CE" w:rsidRPr="006406B4" w:rsidRDefault="005B68CE" w:rsidP="005D297F">
            <w:r w:rsidRPr="006406B4">
              <w:rPr>
                <w:rFonts w:ascii="Palatino Linotype" w:hAnsi="Palatino Linotype"/>
                <w:color w:val="000000"/>
                <w:sz w:val="22"/>
                <w:szCs w:val="22"/>
              </w:rPr>
              <w:t>Toxin family</w:t>
            </w:r>
          </w:p>
        </w:tc>
        <w:tc>
          <w:tcPr>
            <w:tcW w:w="1145" w:type="dxa"/>
            <w:hideMark/>
          </w:tcPr>
          <w:p w14:paraId="6E83B07B" w14:textId="77777777" w:rsidR="005B68CE" w:rsidRPr="006406B4" w:rsidRDefault="005B68CE" w:rsidP="005D297F">
            <w:pPr>
              <w:cnfStyle w:val="100000000000" w:firstRow="1" w:lastRow="0" w:firstColumn="0" w:lastColumn="0" w:oddVBand="0" w:evenVBand="0" w:oddHBand="0" w:evenHBand="0" w:firstRowFirstColumn="0" w:firstRowLastColumn="0" w:lastRowFirstColumn="0" w:lastRowLastColumn="0"/>
            </w:pPr>
            <w:r w:rsidRPr="006406B4">
              <w:rPr>
                <w:rFonts w:ascii="Palatino Linotype" w:hAnsi="Palatino Linotype"/>
                <w:color w:val="000000"/>
                <w:sz w:val="22"/>
                <w:szCs w:val="22"/>
              </w:rPr>
              <w:t>BM</w:t>
            </w:r>
          </w:p>
        </w:tc>
        <w:tc>
          <w:tcPr>
            <w:tcW w:w="1303" w:type="dxa"/>
            <w:hideMark/>
          </w:tcPr>
          <w:p w14:paraId="4D1653F2" w14:textId="77777777" w:rsidR="005B68CE" w:rsidRPr="006406B4" w:rsidRDefault="005B68CE" w:rsidP="005D297F">
            <w:pPr>
              <w:cnfStyle w:val="100000000000" w:firstRow="1" w:lastRow="0" w:firstColumn="0" w:lastColumn="0" w:oddVBand="0" w:evenVBand="0" w:oddHBand="0" w:evenHBand="0" w:firstRowFirstColumn="0" w:firstRowLastColumn="0" w:lastRowFirstColumn="0" w:lastRowLastColumn="0"/>
            </w:pPr>
            <w:r w:rsidRPr="006406B4">
              <w:rPr>
                <w:rFonts w:ascii="Palatino Linotype" w:hAnsi="Palatino Linotype"/>
                <w:color w:val="000000"/>
                <w:sz w:val="22"/>
                <w:szCs w:val="22"/>
              </w:rPr>
              <w:t>OU</w:t>
            </w:r>
          </w:p>
        </w:tc>
        <w:tc>
          <w:tcPr>
            <w:tcW w:w="925" w:type="dxa"/>
            <w:hideMark/>
          </w:tcPr>
          <w:p w14:paraId="6C9F4F17" w14:textId="77777777" w:rsidR="005B68CE" w:rsidRPr="006406B4" w:rsidRDefault="005B68CE" w:rsidP="005D297F">
            <w:pPr>
              <w:cnfStyle w:val="100000000000" w:firstRow="1" w:lastRow="0" w:firstColumn="0" w:lastColumn="0" w:oddVBand="0" w:evenVBand="0" w:oddHBand="0" w:evenHBand="0" w:firstRowFirstColumn="0" w:firstRowLastColumn="0" w:lastRowFirstColumn="0" w:lastRowLastColumn="0"/>
            </w:pPr>
            <w:r w:rsidRPr="006406B4">
              <w:rPr>
                <w:rFonts w:ascii="Palatino Linotype" w:hAnsi="Palatino Linotype"/>
                <w:color w:val="000000"/>
                <w:sz w:val="22"/>
                <w:szCs w:val="22"/>
              </w:rPr>
              <w:t>EB</w:t>
            </w:r>
          </w:p>
        </w:tc>
        <w:tc>
          <w:tcPr>
            <w:tcW w:w="1056" w:type="dxa"/>
            <w:hideMark/>
          </w:tcPr>
          <w:p w14:paraId="36AA1FF0" w14:textId="77777777" w:rsidR="005B68CE" w:rsidRPr="006406B4" w:rsidRDefault="005B68CE" w:rsidP="005D297F">
            <w:pPr>
              <w:cnfStyle w:val="100000000000" w:firstRow="1" w:lastRow="0" w:firstColumn="0" w:lastColumn="0" w:oddVBand="0" w:evenVBand="0" w:oddHBand="0" w:evenHBand="0" w:firstRowFirstColumn="0" w:firstRowLastColumn="0" w:lastRowFirstColumn="0" w:lastRowLastColumn="0"/>
            </w:pPr>
            <w:r w:rsidRPr="006406B4">
              <w:rPr>
                <w:rFonts w:ascii="Palatino Linotype" w:hAnsi="Palatino Linotype"/>
                <w:color w:val="CC0000"/>
                <w:sz w:val="22"/>
                <w:szCs w:val="22"/>
              </w:rPr>
              <w:t>Pulsed</w:t>
            </w:r>
          </w:p>
        </w:tc>
      </w:tr>
      <w:tr w:rsidR="005B68CE" w:rsidRPr="002D542D" w14:paraId="0864B9E8" w14:textId="77777777" w:rsidTr="005D297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4" w:type="dxa"/>
            <w:hideMark/>
          </w:tcPr>
          <w:p w14:paraId="6136975A" w14:textId="77777777" w:rsidR="005B68CE" w:rsidRPr="006406B4" w:rsidRDefault="005B68CE" w:rsidP="005D297F">
            <w:pPr>
              <w:rPr>
                <w:i/>
              </w:rPr>
            </w:pPr>
            <w:r w:rsidRPr="006406B4">
              <w:rPr>
                <w:rFonts w:ascii="Palatino Linotype" w:hAnsi="Palatino Linotype"/>
                <w:i/>
                <w:color w:val="000000"/>
                <w:sz w:val="22"/>
                <w:szCs w:val="22"/>
              </w:rPr>
              <w:t>BPP</w:t>
            </w:r>
          </w:p>
        </w:tc>
        <w:tc>
          <w:tcPr>
            <w:tcW w:w="1145" w:type="dxa"/>
            <w:hideMark/>
          </w:tcPr>
          <w:p w14:paraId="06593031"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sidRPr="002D542D">
              <w:rPr>
                <w:rFonts w:ascii="Palatino Linotype" w:hAnsi="Palatino Linotype"/>
                <w:color w:val="000000"/>
                <w:sz w:val="22"/>
                <w:szCs w:val="22"/>
              </w:rPr>
              <w:t>0</w:t>
            </w:r>
            <w:r>
              <w:rPr>
                <w:rFonts w:ascii="Palatino Linotype" w:hAnsi="Palatino Linotype"/>
                <w:color w:val="000000"/>
                <w:sz w:val="22"/>
                <w:szCs w:val="22"/>
              </w:rPr>
              <w:t>.039</w:t>
            </w:r>
          </w:p>
        </w:tc>
        <w:tc>
          <w:tcPr>
            <w:tcW w:w="1303" w:type="dxa"/>
            <w:hideMark/>
          </w:tcPr>
          <w:p w14:paraId="269A68C5"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t>0.014</w:t>
            </w:r>
          </w:p>
        </w:tc>
        <w:tc>
          <w:tcPr>
            <w:tcW w:w="925" w:type="dxa"/>
            <w:hideMark/>
          </w:tcPr>
          <w:p w14:paraId="0CB22469"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0.051</w:t>
            </w:r>
          </w:p>
        </w:tc>
        <w:tc>
          <w:tcPr>
            <w:tcW w:w="1056" w:type="dxa"/>
            <w:hideMark/>
          </w:tcPr>
          <w:p w14:paraId="292B97A1"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0.377</w:t>
            </w:r>
          </w:p>
        </w:tc>
      </w:tr>
      <w:tr w:rsidR="005B68CE" w:rsidRPr="002D542D" w14:paraId="37F964EB" w14:textId="77777777" w:rsidTr="005D297F">
        <w:trPr>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1B3CB886" w14:textId="77777777" w:rsidR="005B68CE" w:rsidRPr="006406B4" w:rsidRDefault="005B68CE" w:rsidP="005D297F">
            <w:pPr>
              <w:rPr>
                <w:i/>
              </w:rPr>
            </w:pPr>
            <w:r w:rsidRPr="006406B4">
              <w:rPr>
                <w:rFonts w:ascii="Palatino Linotype" w:hAnsi="Palatino Linotype"/>
                <w:i/>
                <w:color w:val="000000"/>
                <w:sz w:val="22"/>
                <w:szCs w:val="22"/>
              </w:rPr>
              <w:t>CRISP</w:t>
            </w:r>
          </w:p>
        </w:tc>
        <w:tc>
          <w:tcPr>
            <w:tcW w:w="1145" w:type="dxa"/>
            <w:hideMark/>
          </w:tcPr>
          <w:p w14:paraId="037FABD9"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0.031</w:t>
            </w:r>
          </w:p>
        </w:tc>
        <w:tc>
          <w:tcPr>
            <w:tcW w:w="1303" w:type="dxa"/>
            <w:hideMark/>
          </w:tcPr>
          <w:p w14:paraId="53F05C07"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0.011</w:t>
            </w:r>
          </w:p>
        </w:tc>
        <w:tc>
          <w:tcPr>
            <w:tcW w:w="925" w:type="dxa"/>
            <w:hideMark/>
          </w:tcPr>
          <w:p w14:paraId="47075B39"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0.011</w:t>
            </w:r>
          </w:p>
        </w:tc>
        <w:tc>
          <w:tcPr>
            <w:tcW w:w="1056" w:type="dxa"/>
            <w:hideMark/>
          </w:tcPr>
          <w:p w14:paraId="00437C04"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CC0000"/>
                <w:sz w:val="22"/>
                <w:szCs w:val="22"/>
              </w:rPr>
              <w:t>0.455</w:t>
            </w:r>
          </w:p>
        </w:tc>
      </w:tr>
      <w:tr w:rsidR="005B68CE" w:rsidRPr="002D542D" w14:paraId="7FFA073F" w14:textId="77777777" w:rsidTr="005D29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75A15F70" w14:textId="77777777" w:rsidR="005B68CE" w:rsidRPr="006406B4" w:rsidRDefault="005B68CE" w:rsidP="005D297F">
            <w:pPr>
              <w:rPr>
                <w:i/>
              </w:rPr>
            </w:pPr>
            <w:r w:rsidRPr="006406B4">
              <w:rPr>
                <w:rFonts w:ascii="Palatino Linotype" w:hAnsi="Palatino Linotype"/>
                <w:i/>
                <w:color w:val="000000"/>
                <w:sz w:val="22"/>
                <w:szCs w:val="22"/>
              </w:rPr>
              <w:t>CTL</w:t>
            </w:r>
          </w:p>
        </w:tc>
        <w:tc>
          <w:tcPr>
            <w:tcW w:w="1145" w:type="dxa"/>
            <w:hideMark/>
          </w:tcPr>
          <w:p w14:paraId="4AD752A2"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0.002</w:t>
            </w:r>
          </w:p>
        </w:tc>
        <w:tc>
          <w:tcPr>
            <w:tcW w:w="1303" w:type="dxa"/>
            <w:hideMark/>
          </w:tcPr>
          <w:p w14:paraId="4189EFF0"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63C690EB"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056" w:type="dxa"/>
            <w:hideMark/>
          </w:tcPr>
          <w:p w14:paraId="53B27331"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0.979</w:t>
            </w:r>
          </w:p>
        </w:tc>
      </w:tr>
      <w:tr w:rsidR="005B68CE" w:rsidRPr="002D542D" w14:paraId="69E4C5E6" w14:textId="77777777" w:rsidTr="005D297F">
        <w:trPr>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35F50408" w14:textId="77777777" w:rsidR="005B68CE" w:rsidRPr="006406B4" w:rsidRDefault="005B68CE" w:rsidP="005D297F">
            <w:pPr>
              <w:rPr>
                <w:i/>
              </w:rPr>
            </w:pPr>
            <w:r w:rsidRPr="006406B4">
              <w:rPr>
                <w:rFonts w:ascii="Palatino Linotype" w:hAnsi="Palatino Linotype"/>
                <w:i/>
                <w:color w:val="000000"/>
                <w:sz w:val="22"/>
                <w:szCs w:val="22"/>
              </w:rPr>
              <w:t>GF</w:t>
            </w:r>
          </w:p>
        </w:tc>
        <w:tc>
          <w:tcPr>
            <w:tcW w:w="1145" w:type="dxa"/>
            <w:hideMark/>
          </w:tcPr>
          <w:p w14:paraId="13A88266"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0.171</w:t>
            </w:r>
          </w:p>
        </w:tc>
        <w:tc>
          <w:tcPr>
            <w:tcW w:w="1303" w:type="dxa"/>
            <w:hideMark/>
          </w:tcPr>
          <w:p w14:paraId="429F2E37"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0.062</w:t>
            </w:r>
          </w:p>
        </w:tc>
        <w:tc>
          <w:tcPr>
            <w:tcW w:w="925" w:type="dxa"/>
            <w:hideMark/>
          </w:tcPr>
          <w:p w14:paraId="6FBCBF6E"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0.062</w:t>
            </w:r>
          </w:p>
        </w:tc>
        <w:tc>
          <w:tcPr>
            <w:tcW w:w="1056" w:type="dxa"/>
            <w:hideMark/>
          </w:tcPr>
          <w:p w14:paraId="3708DBCB"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CC0000"/>
                <w:sz w:val="22"/>
                <w:szCs w:val="22"/>
              </w:rPr>
              <w:t>0.465</w:t>
            </w:r>
          </w:p>
        </w:tc>
      </w:tr>
      <w:tr w:rsidR="005B68CE" w:rsidRPr="002D542D" w14:paraId="2DF08CA0" w14:textId="77777777" w:rsidTr="005D29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0888E984" w14:textId="77777777" w:rsidR="005B68CE" w:rsidRPr="006406B4" w:rsidRDefault="005B68CE" w:rsidP="005D297F">
            <w:pPr>
              <w:rPr>
                <w:i/>
              </w:rPr>
            </w:pPr>
            <w:r w:rsidRPr="006406B4">
              <w:rPr>
                <w:rFonts w:ascii="Palatino Linotype" w:hAnsi="Palatino Linotype"/>
                <w:i/>
                <w:color w:val="000000"/>
                <w:sz w:val="22"/>
                <w:szCs w:val="22"/>
              </w:rPr>
              <w:t>KSPI</w:t>
            </w:r>
          </w:p>
        </w:tc>
        <w:tc>
          <w:tcPr>
            <w:tcW w:w="1145" w:type="dxa"/>
            <w:hideMark/>
          </w:tcPr>
          <w:p w14:paraId="07732215"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303" w:type="dxa"/>
            <w:hideMark/>
          </w:tcPr>
          <w:p w14:paraId="66EF2AC9"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004952D7"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056" w:type="dxa"/>
            <w:hideMark/>
          </w:tcPr>
          <w:p w14:paraId="17FBB236"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0.711</w:t>
            </w:r>
          </w:p>
        </w:tc>
      </w:tr>
      <w:tr w:rsidR="005B68CE" w:rsidRPr="002D542D" w14:paraId="57A4050F" w14:textId="77777777" w:rsidTr="005D297F">
        <w:trPr>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004F9127" w14:textId="77777777" w:rsidR="005B68CE" w:rsidRPr="006406B4" w:rsidRDefault="005B68CE" w:rsidP="005D297F">
            <w:pPr>
              <w:rPr>
                <w:i/>
              </w:rPr>
            </w:pPr>
            <w:r w:rsidRPr="006406B4">
              <w:rPr>
                <w:rFonts w:ascii="Palatino Linotype" w:hAnsi="Palatino Linotype"/>
                <w:i/>
                <w:color w:val="000000"/>
                <w:sz w:val="22"/>
                <w:szCs w:val="22"/>
              </w:rPr>
              <w:t>LAAO</w:t>
            </w:r>
          </w:p>
        </w:tc>
        <w:tc>
          <w:tcPr>
            <w:tcW w:w="1145" w:type="dxa"/>
            <w:hideMark/>
          </w:tcPr>
          <w:p w14:paraId="0780459C"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0.123</w:t>
            </w:r>
          </w:p>
        </w:tc>
        <w:tc>
          <w:tcPr>
            <w:tcW w:w="1303" w:type="dxa"/>
            <w:hideMark/>
          </w:tcPr>
          <w:p w14:paraId="5EFB2D3D"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0.021</w:t>
            </w:r>
          </w:p>
        </w:tc>
        <w:tc>
          <w:tcPr>
            <w:tcW w:w="925" w:type="dxa"/>
            <w:hideMark/>
          </w:tcPr>
          <w:p w14:paraId="650374E2"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0.122</w:t>
            </w:r>
          </w:p>
        </w:tc>
        <w:tc>
          <w:tcPr>
            <w:tcW w:w="1056" w:type="dxa"/>
            <w:hideMark/>
          </w:tcPr>
          <w:p w14:paraId="50A7FD0F"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CC0000"/>
                <w:sz w:val="22"/>
                <w:szCs w:val="22"/>
              </w:rPr>
              <w:t>0.335</w:t>
            </w:r>
          </w:p>
        </w:tc>
      </w:tr>
      <w:tr w:rsidR="005B68CE" w:rsidRPr="002D542D" w14:paraId="6F253E30" w14:textId="77777777" w:rsidTr="005D29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4A62FDC5" w14:textId="77777777" w:rsidR="005B68CE" w:rsidRPr="006406B4" w:rsidRDefault="005B68CE" w:rsidP="005D297F">
            <w:pPr>
              <w:rPr>
                <w:i/>
              </w:rPr>
            </w:pPr>
            <w:r w:rsidRPr="006406B4">
              <w:rPr>
                <w:rFonts w:ascii="Palatino Linotype" w:hAnsi="Palatino Linotype"/>
                <w:i/>
                <w:color w:val="000000"/>
                <w:sz w:val="22"/>
                <w:szCs w:val="22"/>
              </w:rPr>
              <w:t>SVMP</w:t>
            </w:r>
          </w:p>
        </w:tc>
        <w:tc>
          <w:tcPr>
            <w:tcW w:w="1145" w:type="dxa"/>
            <w:hideMark/>
          </w:tcPr>
          <w:p w14:paraId="52AE48EE"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0.002</w:t>
            </w:r>
          </w:p>
        </w:tc>
        <w:tc>
          <w:tcPr>
            <w:tcW w:w="1303" w:type="dxa"/>
            <w:hideMark/>
          </w:tcPr>
          <w:p w14:paraId="0330AE8D"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7DA513C3"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056" w:type="dxa"/>
            <w:hideMark/>
          </w:tcPr>
          <w:p w14:paraId="40F4170E"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0.678</w:t>
            </w:r>
          </w:p>
        </w:tc>
      </w:tr>
      <w:tr w:rsidR="005B68CE" w:rsidRPr="002D542D" w14:paraId="639AFA47" w14:textId="77777777" w:rsidTr="005D297F">
        <w:trPr>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02CFA9EF" w14:textId="77777777" w:rsidR="005B68CE" w:rsidRPr="006406B4" w:rsidRDefault="005B68CE" w:rsidP="005D297F">
            <w:pPr>
              <w:rPr>
                <w:i/>
              </w:rPr>
            </w:pPr>
            <w:r w:rsidRPr="006406B4">
              <w:rPr>
                <w:rFonts w:ascii="Palatino Linotype" w:hAnsi="Palatino Linotype"/>
                <w:i/>
                <w:color w:val="000000"/>
                <w:sz w:val="22"/>
                <w:szCs w:val="22"/>
              </w:rPr>
              <w:t>SVSP</w:t>
            </w:r>
          </w:p>
        </w:tc>
        <w:tc>
          <w:tcPr>
            <w:tcW w:w="1145" w:type="dxa"/>
            <w:hideMark/>
          </w:tcPr>
          <w:p w14:paraId="73B6D7EA"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sidRPr="002D542D">
              <w:rPr>
                <w:rFonts w:ascii="Palatino Linotype" w:hAnsi="Palatino Linotype"/>
                <w:color w:val="000000"/>
                <w:sz w:val="22"/>
                <w:szCs w:val="22"/>
              </w:rPr>
              <w:t>0</w:t>
            </w:r>
            <w:r>
              <w:rPr>
                <w:rFonts w:ascii="Palatino Linotype" w:hAnsi="Palatino Linotype"/>
                <w:color w:val="000000"/>
                <w:sz w:val="22"/>
                <w:szCs w:val="22"/>
              </w:rPr>
              <w:t>.127</w:t>
            </w:r>
          </w:p>
        </w:tc>
        <w:tc>
          <w:tcPr>
            <w:tcW w:w="1303" w:type="dxa"/>
            <w:hideMark/>
          </w:tcPr>
          <w:p w14:paraId="48861EA6"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5C52B3C6"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0.046</w:t>
            </w:r>
          </w:p>
        </w:tc>
        <w:tc>
          <w:tcPr>
            <w:tcW w:w="1056" w:type="dxa"/>
            <w:hideMark/>
          </w:tcPr>
          <w:p w14:paraId="6BC79B3A"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CC0000"/>
                <w:sz w:val="22"/>
                <w:szCs w:val="22"/>
              </w:rPr>
              <w:t>0.349</w:t>
            </w:r>
          </w:p>
        </w:tc>
      </w:tr>
      <w:tr w:rsidR="005B68CE" w:rsidRPr="002D542D" w14:paraId="147725B6" w14:textId="77777777" w:rsidTr="005D29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4B805986" w14:textId="77777777" w:rsidR="005B68CE" w:rsidRPr="006406B4" w:rsidRDefault="005B68CE" w:rsidP="005D297F">
            <w:pPr>
              <w:rPr>
                <w:i/>
              </w:rPr>
            </w:pPr>
            <w:proofErr w:type="spellStart"/>
            <w:r w:rsidRPr="006406B4">
              <w:rPr>
                <w:rFonts w:ascii="Palatino Linotype" w:hAnsi="Palatino Linotype"/>
                <w:i/>
                <w:color w:val="000000"/>
                <w:sz w:val="22"/>
                <w:szCs w:val="22"/>
              </w:rPr>
              <w:t>TFTx</w:t>
            </w:r>
            <w:proofErr w:type="spellEnd"/>
          </w:p>
        </w:tc>
        <w:tc>
          <w:tcPr>
            <w:tcW w:w="1145" w:type="dxa"/>
            <w:hideMark/>
          </w:tcPr>
          <w:p w14:paraId="15F73A75"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303" w:type="dxa"/>
            <w:hideMark/>
          </w:tcPr>
          <w:p w14:paraId="488A46A3"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7BC4B487"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056" w:type="dxa"/>
            <w:hideMark/>
          </w:tcPr>
          <w:p w14:paraId="444E8CAA"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0.976</w:t>
            </w:r>
          </w:p>
        </w:tc>
      </w:tr>
      <w:tr w:rsidR="005B68CE" w:rsidRPr="002D542D" w14:paraId="31ECE9F3" w14:textId="77777777" w:rsidTr="005D297F">
        <w:trPr>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39EE6353" w14:textId="77777777" w:rsidR="005B68CE" w:rsidRPr="006406B4" w:rsidRDefault="005B68CE" w:rsidP="005D297F">
            <w:pPr>
              <w:rPr>
                <w:i/>
              </w:rPr>
            </w:pPr>
            <w:r w:rsidRPr="006406B4">
              <w:rPr>
                <w:rFonts w:ascii="Palatino Linotype" w:hAnsi="Palatino Linotype"/>
                <w:i/>
                <w:color w:val="000000"/>
                <w:sz w:val="22"/>
                <w:szCs w:val="22"/>
              </w:rPr>
              <w:t>vPLA2</w:t>
            </w:r>
          </w:p>
        </w:tc>
        <w:tc>
          <w:tcPr>
            <w:tcW w:w="1145" w:type="dxa"/>
            <w:hideMark/>
          </w:tcPr>
          <w:p w14:paraId="09654770"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0.089</w:t>
            </w:r>
          </w:p>
        </w:tc>
        <w:tc>
          <w:tcPr>
            <w:tcW w:w="1303" w:type="dxa"/>
            <w:hideMark/>
          </w:tcPr>
          <w:p w14:paraId="0D7256D4"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0.033</w:t>
            </w:r>
          </w:p>
        </w:tc>
        <w:tc>
          <w:tcPr>
            <w:tcW w:w="925" w:type="dxa"/>
            <w:hideMark/>
          </w:tcPr>
          <w:p w14:paraId="7679ACE6"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000000"/>
                <w:sz w:val="22"/>
                <w:szCs w:val="22"/>
              </w:rPr>
              <w:t>0.032</w:t>
            </w:r>
          </w:p>
        </w:tc>
        <w:tc>
          <w:tcPr>
            <w:tcW w:w="1056" w:type="dxa"/>
            <w:hideMark/>
          </w:tcPr>
          <w:p w14:paraId="34EAE200" w14:textId="77777777" w:rsidR="005B68CE" w:rsidRPr="002D542D" w:rsidRDefault="005B68CE" w:rsidP="005D297F">
            <w:pPr>
              <w:cnfStyle w:val="000000000000" w:firstRow="0" w:lastRow="0" w:firstColumn="0" w:lastColumn="0" w:oddVBand="0" w:evenVBand="0" w:oddHBand="0" w:evenHBand="0" w:firstRowFirstColumn="0" w:firstRowLastColumn="0" w:lastRowFirstColumn="0" w:lastRowLastColumn="0"/>
            </w:pPr>
            <w:r>
              <w:rPr>
                <w:rFonts w:ascii="Palatino Linotype" w:hAnsi="Palatino Linotype"/>
                <w:color w:val="CC0000"/>
                <w:sz w:val="22"/>
                <w:szCs w:val="22"/>
              </w:rPr>
              <w:t>0.363</w:t>
            </w:r>
          </w:p>
        </w:tc>
      </w:tr>
      <w:tr w:rsidR="005B68CE" w:rsidRPr="002D542D" w14:paraId="1E1573DB" w14:textId="77777777" w:rsidTr="005D29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4" w:type="dxa"/>
            <w:hideMark/>
          </w:tcPr>
          <w:p w14:paraId="68D7E1D9" w14:textId="77777777" w:rsidR="005B68CE" w:rsidRPr="006406B4" w:rsidRDefault="005B68CE" w:rsidP="005D297F">
            <w:pPr>
              <w:rPr>
                <w:i/>
              </w:rPr>
            </w:pPr>
            <w:r w:rsidRPr="006406B4">
              <w:rPr>
                <w:rFonts w:ascii="Palatino Linotype" w:hAnsi="Palatino Linotype"/>
                <w:i/>
                <w:color w:val="000000"/>
                <w:sz w:val="22"/>
                <w:szCs w:val="22"/>
              </w:rPr>
              <w:t>ePLA2</w:t>
            </w:r>
          </w:p>
        </w:tc>
        <w:tc>
          <w:tcPr>
            <w:tcW w:w="1145" w:type="dxa"/>
            <w:hideMark/>
          </w:tcPr>
          <w:p w14:paraId="3D00221E"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303" w:type="dxa"/>
            <w:hideMark/>
          </w:tcPr>
          <w:p w14:paraId="49299C09"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925" w:type="dxa"/>
            <w:hideMark/>
          </w:tcPr>
          <w:p w14:paraId="5C53D584"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000000"/>
                <w:sz w:val="22"/>
                <w:szCs w:val="22"/>
              </w:rPr>
              <w:t>0</w:t>
            </w:r>
          </w:p>
        </w:tc>
        <w:tc>
          <w:tcPr>
            <w:tcW w:w="1056" w:type="dxa"/>
            <w:hideMark/>
          </w:tcPr>
          <w:p w14:paraId="17331766" w14:textId="77777777" w:rsidR="005B68CE" w:rsidRPr="002D542D" w:rsidRDefault="005B68CE" w:rsidP="005D297F">
            <w:pPr>
              <w:cnfStyle w:val="000000100000" w:firstRow="0" w:lastRow="0" w:firstColumn="0" w:lastColumn="0" w:oddVBand="0" w:evenVBand="0" w:oddHBand="1" w:evenHBand="0" w:firstRowFirstColumn="0" w:firstRowLastColumn="0" w:lastRowFirstColumn="0" w:lastRowLastColumn="0"/>
            </w:pPr>
            <w:r>
              <w:rPr>
                <w:rFonts w:ascii="Palatino Linotype" w:hAnsi="Palatino Linotype"/>
                <w:color w:val="CC0000"/>
                <w:sz w:val="22"/>
                <w:szCs w:val="22"/>
              </w:rPr>
              <w:t>0.900</w:t>
            </w:r>
          </w:p>
        </w:tc>
      </w:tr>
    </w:tbl>
    <w:p w14:paraId="380A5D32" w14:textId="77777777" w:rsidR="001364C3" w:rsidRDefault="001364C3"/>
    <w:p w14:paraId="00A60954" w14:textId="77777777" w:rsidR="005B68CE" w:rsidRDefault="005B68CE"/>
    <w:p w14:paraId="75C902A5" w14:textId="1227C1E2" w:rsidR="00AC4ED4" w:rsidRPr="00EC1E60" w:rsidRDefault="005B68CE" w:rsidP="00AC4ED4">
      <w:pPr>
        <w:pStyle w:val="NormalWeb"/>
        <w:spacing w:before="0" w:beforeAutospacing="0" w:after="0" w:afterAutospacing="0"/>
        <w:jc w:val="both"/>
        <w:rPr>
          <w:color w:val="000000" w:themeColor="text1"/>
        </w:rPr>
      </w:pPr>
      <w:r>
        <w:rPr>
          <w:rFonts w:ascii="Palatino Linotype" w:hAnsi="Palatino Linotype"/>
          <w:b/>
          <w:bCs/>
          <w:color w:val="000000"/>
          <w:sz w:val="22"/>
          <w:szCs w:val="22"/>
        </w:rPr>
        <w:t>Table 1: Rapid pulsed evolution modelled as a </w:t>
      </w:r>
      <w:proofErr w:type="spellStart"/>
      <w:r>
        <w:rPr>
          <w:rFonts w:ascii="Palatino Linotype" w:hAnsi="Palatino Linotype"/>
          <w:b/>
          <w:bCs/>
          <w:color w:val="000000"/>
          <w:sz w:val="22"/>
          <w:szCs w:val="22"/>
        </w:rPr>
        <w:t>Lévy</w:t>
      </w:r>
      <w:proofErr w:type="spellEnd"/>
      <w:r>
        <w:rPr>
          <w:rFonts w:ascii="Palatino Linotype" w:hAnsi="Palatino Linotype"/>
          <w:b/>
          <w:bCs/>
          <w:color w:val="000000"/>
          <w:sz w:val="22"/>
          <w:szCs w:val="22"/>
        </w:rPr>
        <w:t xml:space="preserve"> process explain toxin expression evolution in snake venom better than conventional BM, OU, and EB models. Model fits (weighted AIC) for BM, OU, EB, and Pulsed model of phenotypic evolution computed in </w:t>
      </w:r>
      <w:proofErr w:type="spellStart"/>
      <w:r>
        <w:rPr>
          <w:rFonts w:ascii="Palatino Linotype" w:hAnsi="Palatino Linotype"/>
          <w:b/>
          <w:bCs/>
          <w:i/>
          <w:iCs/>
          <w:color w:val="000000"/>
          <w:sz w:val="22"/>
          <w:szCs w:val="22"/>
        </w:rPr>
        <w:t>pulsR</w:t>
      </w:r>
      <w:proofErr w:type="spellEnd"/>
      <w:r>
        <w:rPr>
          <w:rFonts w:ascii="Palatino Linotype" w:hAnsi="Palatino Linotype"/>
          <w:b/>
          <w:bCs/>
          <w:i/>
          <w:iCs/>
          <w:color w:val="000000"/>
          <w:sz w:val="22"/>
          <w:szCs w:val="22"/>
        </w:rPr>
        <w:t xml:space="preserve"> </w:t>
      </w:r>
      <w:r w:rsidRPr="00B90EA9">
        <w:rPr>
          <w:rFonts w:ascii="Palatino Linotype" w:hAnsi="Palatino Linotype"/>
          <w:iCs/>
          <w:sz w:val="22"/>
          <w:szCs w:val="22"/>
        </w:rPr>
        <w:t>(13)</w:t>
      </w:r>
      <w:r>
        <w:rPr>
          <w:rFonts w:ascii="Palatino Linotype" w:hAnsi="Palatino Linotype"/>
          <w:b/>
          <w:bCs/>
          <w:color w:val="000000"/>
          <w:sz w:val="22"/>
          <w:szCs w:val="22"/>
        </w:rPr>
        <w:t>. Red indicates best fit.</w:t>
      </w:r>
      <w:r w:rsidR="00AC4ED4" w:rsidRPr="00AC4ED4">
        <w:rPr>
          <w:rFonts w:ascii="Helvetica" w:hAnsi="Helvetica"/>
          <w:i/>
          <w:iCs/>
          <w:color w:val="3D85C6"/>
          <w:sz w:val="22"/>
          <w:szCs w:val="22"/>
          <w:shd w:val="clear" w:color="auto" w:fill="FFFFFF"/>
        </w:rPr>
        <w:t xml:space="preserve"> </w:t>
      </w:r>
      <w:r w:rsidR="00AC4ED4" w:rsidRPr="00EC1E60">
        <w:rPr>
          <w:rFonts w:ascii="Palatino Linotype" w:hAnsi="Palatino Linotype"/>
          <w:b/>
          <w:iCs/>
          <w:color w:val="000000" w:themeColor="text1"/>
          <w:sz w:val="22"/>
          <w:szCs w:val="22"/>
          <w:shd w:val="clear" w:color="auto" w:fill="FFFFFF"/>
        </w:rPr>
        <w:t xml:space="preserve">We use the AIC weight to determine which model best suits our data. The values in our table represent AIC weights for each of the 9 models we tested (BM, OU, EB, and 6 pulsed models). In all cases the pulsed models were favoured as compared to the </w:t>
      </w:r>
      <w:r w:rsidR="0064685B" w:rsidRPr="00EC1E60">
        <w:rPr>
          <w:rFonts w:ascii="Palatino Linotype" w:hAnsi="Palatino Linotype"/>
          <w:b/>
          <w:iCs/>
          <w:color w:val="000000" w:themeColor="text1"/>
          <w:sz w:val="22"/>
          <w:szCs w:val="22"/>
          <w:shd w:val="clear" w:color="auto" w:fill="FFFFFF"/>
        </w:rPr>
        <w:t>non-pulsed</w:t>
      </w:r>
      <w:r w:rsidR="00AC4ED4" w:rsidRPr="00EC1E60">
        <w:rPr>
          <w:rFonts w:ascii="Palatino Linotype" w:hAnsi="Palatino Linotype"/>
          <w:b/>
          <w:iCs/>
          <w:color w:val="000000" w:themeColor="text1"/>
          <w:sz w:val="22"/>
          <w:szCs w:val="22"/>
          <w:shd w:val="clear" w:color="auto" w:fill="FFFFFF"/>
        </w:rPr>
        <w:t xml:space="preserve"> models. However, each pulsed model had very similar weights, which make it difficult to determine which pulsed model is better. For that </w:t>
      </w:r>
      <w:r w:rsidR="0064685B" w:rsidRPr="00EC1E60">
        <w:rPr>
          <w:rFonts w:ascii="Palatino Linotype" w:hAnsi="Palatino Linotype"/>
          <w:b/>
          <w:iCs/>
          <w:color w:val="000000" w:themeColor="text1"/>
          <w:sz w:val="22"/>
          <w:szCs w:val="22"/>
          <w:shd w:val="clear" w:color="auto" w:fill="FFFFFF"/>
        </w:rPr>
        <w:t>reason,</w:t>
      </w:r>
      <w:r w:rsidR="00AC4ED4" w:rsidRPr="00EC1E60">
        <w:rPr>
          <w:rFonts w:ascii="Palatino Linotype" w:hAnsi="Palatino Linotype"/>
          <w:b/>
          <w:iCs/>
          <w:color w:val="000000" w:themeColor="text1"/>
          <w:sz w:val="22"/>
          <w:szCs w:val="22"/>
          <w:shd w:val="clear" w:color="auto" w:fill="FFFFFF"/>
        </w:rPr>
        <w:t xml:space="preserve"> we club </w:t>
      </w:r>
      <w:bookmarkStart w:id="0" w:name="_GoBack"/>
      <w:bookmarkEnd w:id="0"/>
      <w:r w:rsidR="00AC4ED4" w:rsidRPr="00EC1E60">
        <w:rPr>
          <w:rFonts w:ascii="Palatino Linotype" w:hAnsi="Palatino Linotype"/>
          <w:b/>
          <w:iCs/>
          <w:color w:val="000000" w:themeColor="text1"/>
          <w:sz w:val="22"/>
          <w:szCs w:val="22"/>
          <w:shd w:val="clear" w:color="auto" w:fill="FFFFFF"/>
        </w:rPr>
        <w:t>them together and report the highest AIC weight</w:t>
      </w:r>
      <w:r w:rsidR="00AC4ED4" w:rsidRPr="00EC1E60">
        <w:rPr>
          <w:rFonts w:ascii="Helvetica" w:hAnsi="Helvetica"/>
          <w:b/>
          <w:i/>
          <w:iCs/>
          <w:color w:val="000000" w:themeColor="text1"/>
          <w:sz w:val="22"/>
          <w:szCs w:val="22"/>
          <w:shd w:val="clear" w:color="auto" w:fill="FFFFFF"/>
        </w:rPr>
        <w:t>. </w:t>
      </w:r>
    </w:p>
    <w:p w14:paraId="3B776083" w14:textId="77777777" w:rsidR="00AC4ED4" w:rsidRDefault="00AC4ED4" w:rsidP="00AC4ED4">
      <w:pPr>
        <w:rPr>
          <w:rFonts w:eastAsia="Times New Roman"/>
        </w:rPr>
      </w:pPr>
    </w:p>
    <w:p w14:paraId="7CC09DE6" w14:textId="77777777" w:rsidR="005B68CE" w:rsidRDefault="005B68CE" w:rsidP="005B68CE">
      <w:pPr>
        <w:pStyle w:val="NormalWeb"/>
        <w:spacing w:before="0" w:beforeAutospacing="0" w:after="0" w:afterAutospacing="0"/>
        <w:jc w:val="both"/>
      </w:pPr>
    </w:p>
    <w:p w14:paraId="04767E37" w14:textId="77777777" w:rsidR="005B68CE" w:rsidRDefault="005B68CE"/>
    <w:sectPr w:rsidR="005B68CE" w:rsidSect="00711EAD">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C3"/>
    <w:rsid w:val="001364C3"/>
    <w:rsid w:val="003153A3"/>
    <w:rsid w:val="005B68CE"/>
    <w:rsid w:val="0064685B"/>
    <w:rsid w:val="00711EAD"/>
    <w:rsid w:val="0091323B"/>
    <w:rsid w:val="00AC4ED4"/>
    <w:rsid w:val="00C73B56"/>
    <w:rsid w:val="00EC1E6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2A5E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8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4C3"/>
    <w:pPr>
      <w:spacing w:before="100" w:beforeAutospacing="1" w:after="100" w:afterAutospacing="1"/>
    </w:pPr>
  </w:style>
  <w:style w:type="table" w:styleId="PlainTable4">
    <w:name w:val="Plain Table 4"/>
    <w:basedOn w:val="TableNormal"/>
    <w:uiPriority w:val="44"/>
    <w:rsid w:val="005B68C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Agneesh Barua</dc:creator>
  <cp:keywords/>
  <dc:description/>
  <cp:lastModifiedBy>Agneesh Barua</cp:lastModifiedBy>
  <cp:revision>3</cp:revision>
  <dcterms:created xsi:type="dcterms:W3CDTF">2020-01-21T01:37:00Z</dcterms:created>
  <dcterms:modified xsi:type="dcterms:W3CDTF">2020-03-30T07:20:00Z</dcterms:modified>
</cp:coreProperties>
</file>