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B470B" w14:textId="4AD06856" w:rsidR="0066024D" w:rsidRPr="00BC6737" w:rsidRDefault="0066024D" w:rsidP="0066024D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Appendix 2.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Results from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Viterbi algorithm in E-SURGE</w:t>
      </w:r>
    </w:p>
    <w:p w14:paraId="46A14C8F" w14:textId="75BD724D" w:rsidR="0066024D" w:rsidRDefault="0066024D" w:rsidP="00660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sz w:val="22"/>
          <w:szCs w:val="22"/>
        </w:rPr>
        <w:t>We used the Viterbi algorithm in E-SURGE to reconstitute the 30 most probable life histories for each individual, and their probabilities, based on the highest-ranked model. For most records the cumulative probability of these 30 life histories was close to one (</w:t>
      </w: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ig</w:t>
      </w:r>
      <w:r>
        <w:rPr>
          <w:rFonts w:ascii="Times New Roman" w:eastAsia="Times New Roman" w:hAnsi="Times New Roman" w:cs="Times New Roman"/>
          <w:sz w:val="22"/>
          <w:szCs w:val="22"/>
        </w:rPr>
        <w:t>ure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S1.1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), indicating that this number of life histories was sufficient to capture most of the uncertainty in the estimates. For each record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we calculated the relative probability of each of the 30 suggested life histories and weighted the number of individuals by this probability. For example, if there was a 0.1 probability that an individual with a given record of observations was a breeder at age two, this individual would contribute 0.1 individuals to the count of two-year-old breeders in that year. From the output we estimated the AFR distribution in the population and the annual proportion of breeding two-year-old individuals. Comparing this estimated AFR distribution with the distribution of observed breeding events in the data, we 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found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that E-SURGE estimate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a higher rate of breeding in two-year-olds than would 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be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predict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from the observed data alone (</w:t>
      </w: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ig</w:t>
      </w:r>
      <w:r>
        <w:rPr>
          <w:rFonts w:ascii="Times New Roman" w:eastAsia="Times New Roman" w:hAnsi="Times New Roman" w:cs="Times New Roman"/>
          <w:sz w:val="22"/>
          <w:szCs w:val="22"/>
        </w:rPr>
        <w:t>ure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S1.2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). This demonstrates the usefulness of multi-event models in accounting for unobserved events. </w:t>
      </w:r>
    </w:p>
    <w:p w14:paraId="3502E271" w14:textId="77777777" w:rsidR="0066024D" w:rsidRPr="00BC6737" w:rsidRDefault="0066024D" w:rsidP="006602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84767F8" wp14:editId="166C7AB3">
            <wp:simplePos x="0" y="0"/>
            <wp:positionH relativeFrom="column">
              <wp:posOffset>1342390</wp:posOffset>
            </wp:positionH>
            <wp:positionV relativeFrom="paragraph">
              <wp:posOffset>321310</wp:posOffset>
            </wp:positionV>
            <wp:extent cx="2926080" cy="2926080"/>
            <wp:effectExtent l="0" t="0" r="7620" b="7620"/>
            <wp:wrapTopAndBottom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mp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B5D062" w14:textId="77777777" w:rsidR="0066024D" w:rsidRDefault="0066024D" w:rsidP="0066024D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Figure S1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.1</w:t>
      </w: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Histogram of the cumulative probabilities of the 30 most probable life histories for each recorded capture history. </w:t>
      </w:r>
    </w:p>
    <w:p w14:paraId="77758689" w14:textId="410AEA3C" w:rsidR="000317B0" w:rsidRPr="0066024D" w:rsidRDefault="0066024D" w:rsidP="0066024D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5AABE431" wp14:editId="4140C5C7">
            <wp:simplePos x="0" y="0"/>
            <wp:positionH relativeFrom="column">
              <wp:posOffset>-105410</wp:posOffset>
            </wp:positionH>
            <wp:positionV relativeFrom="paragraph">
              <wp:posOffset>404</wp:posOffset>
            </wp:positionV>
            <wp:extent cx="5867400" cy="2933700"/>
            <wp:effectExtent l="0" t="0" r="0" b="0"/>
            <wp:wrapTopAndBottom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plots_A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Figure S1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.2</w:t>
      </w: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Observed and estimated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proportions of ages at first reproduction.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Histogram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shows the proportions of each age class at which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female barnacle geese </w:t>
      </w:r>
      <w:r>
        <w:rPr>
          <w:rFonts w:ascii="Times New Roman" w:eastAsia="Times New Roman" w:hAnsi="Times New Roman" w:cs="Times New Roman"/>
          <w:sz w:val="22"/>
          <w:szCs w:val="22"/>
        </w:rPr>
        <w:t>produced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a gosling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for the first time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(a) based 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 xml:space="preserve"> observational data </w:t>
      </w:r>
      <w:r>
        <w:rPr>
          <w:rFonts w:ascii="Times New Roman" w:eastAsia="Times New Roman" w:hAnsi="Times New Roman" w:cs="Times New Roman"/>
          <w:sz w:val="22"/>
          <w:szCs w:val="22"/>
        </w:rPr>
        <w:t>(n</w:t>
      </w:r>
      <w:r w:rsidRPr="005360BC">
        <w:rPr>
          <w:rFonts w:ascii="Times New Roman" w:eastAsia="Times New Roman" w:hAnsi="Times New Roman" w:cs="Times New Roman"/>
          <w:sz w:val="22"/>
          <w:szCs w:val="22"/>
          <w:vertAlign w:val="subscript"/>
        </w:rPr>
        <w:t>individuals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,obs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Pr="005360BC">
        <w:rPr>
          <w:rFonts w:ascii="Times New Roman" w:eastAsia="Times New Roman" w:hAnsi="Times New Roman" w:cs="Times New Roman"/>
          <w:sz w:val="22"/>
          <w:szCs w:val="22"/>
        </w:rPr>
        <w:t>274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and (b) estimated from the highest-ranked model using the Viterbi algorithm in E-SURGE</w:t>
      </w:r>
      <w:r>
        <w:rPr>
          <w:rFonts w:ascii="Times New Roman" w:eastAsia="Times New Roman" w:hAnsi="Times New Roman" w:cs="Times New Roman"/>
          <w:sz w:val="22"/>
          <w:szCs w:val="22"/>
        </w:rPr>
        <w:t>, which estimated a larger proportion of 2-year-old individuals reproducing than were recorded in the data (n</w:t>
      </w:r>
      <w:r w:rsidRPr="005360BC">
        <w:rPr>
          <w:rFonts w:ascii="Times New Roman" w:eastAsia="Times New Roman" w:hAnsi="Times New Roman" w:cs="Times New Roman"/>
          <w:sz w:val="22"/>
          <w:szCs w:val="22"/>
          <w:vertAlign w:val="subscript"/>
        </w:rPr>
        <w:t>individuals</w:t>
      </w:r>
      <w:r>
        <w:rPr>
          <w:rFonts w:ascii="Times New Roman" w:eastAsia="Times New Roman" w:hAnsi="Times New Roman" w:cs="Times New Roman"/>
          <w:sz w:val="22"/>
          <w:szCs w:val="22"/>
          <w:vertAlign w:val="subscript"/>
        </w:rPr>
        <w:t>,est</w:t>
      </w:r>
      <w:r w:rsidR="000A27E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= 362)</w:t>
      </w:r>
      <w:r w:rsidRPr="00BC6737">
        <w:rPr>
          <w:rFonts w:ascii="Times New Roman" w:eastAsia="Times New Roman" w:hAnsi="Times New Roman" w:cs="Times New Roman"/>
          <w:sz w:val="22"/>
          <w:szCs w:val="22"/>
        </w:rPr>
        <w:t>.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 NB</w:t>
      </w:r>
      <w:r w:rsidR="00725F7D">
        <w:rPr>
          <w:rFonts w:ascii="Times New Roman" w:eastAsia="Times New Roman" w:hAnsi="Times New Roman" w:cs="Times New Roman"/>
          <w:sz w:val="22"/>
          <w:szCs w:val="22"/>
        </w:rPr>
        <w:t>: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 xml:space="preserve">estimated proportions for the highest age classes 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(i.e.,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>from 15 and above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 xml:space="preserve">are so low that they involve fewer than one individual in the data set starting to breed, and fewer than five 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individuals from ages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>10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 to </w:t>
      </w:r>
      <w:r w:rsidR="00E732FF" w:rsidRPr="00E732FF">
        <w:rPr>
          <w:rFonts w:ascii="Times New Roman" w:eastAsia="Times New Roman" w:hAnsi="Times New Roman" w:cs="Times New Roman"/>
          <w:sz w:val="22"/>
          <w:szCs w:val="22"/>
        </w:rPr>
        <w:t>15</w:t>
      </w:r>
      <w:r w:rsidR="00E732F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bookmarkStart w:id="0" w:name="_GoBack"/>
      <w:bookmarkEnd w:id="0"/>
    </w:p>
    <w:sectPr w:rsidR="000317B0" w:rsidRPr="0066024D" w:rsidSect="005D0408">
      <w:pgSz w:w="11900" w:h="16840"/>
      <w:pgMar w:top="1417" w:right="1417" w:bottom="1417" w:left="1417" w:header="708" w:footer="708" w:gutter="0"/>
      <w:lnNumType w:countBy="1" w:restart="continuous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64DF7" w14:textId="77777777" w:rsidR="00B14731" w:rsidRDefault="00B14731" w:rsidP="0066024D">
      <w:r>
        <w:separator/>
      </w:r>
    </w:p>
  </w:endnote>
  <w:endnote w:type="continuationSeparator" w:id="0">
    <w:p w14:paraId="193CA5C8" w14:textId="77777777" w:rsidR="00B14731" w:rsidRDefault="00B14731" w:rsidP="0066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5532A" w14:textId="77777777" w:rsidR="00B14731" w:rsidRDefault="00B14731" w:rsidP="0066024D">
      <w:r>
        <w:separator/>
      </w:r>
    </w:p>
  </w:footnote>
  <w:footnote w:type="continuationSeparator" w:id="0">
    <w:p w14:paraId="552B10E0" w14:textId="77777777" w:rsidR="00B14731" w:rsidRDefault="00B14731" w:rsidP="00660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4D"/>
    <w:rsid w:val="000317B0"/>
    <w:rsid w:val="000A27E9"/>
    <w:rsid w:val="0066024D"/>
    <w:rsid w:val="00725F7D"/>
    <w:rsid w:val="00A54127"/>
    <w:rsid w:val="00AB17F0"/>
    <w:rsid w:val="00B14731"/>
    <w:rsid w:val="00C84B25"/>
    <w:rsid w:val="00E732FF"/>
    <w:rsid w:val="00F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0C8E4"/>
  <w15:chartTrackingRefBased/>
  <w15:docId w15:val="{E15EE1BB-7B1A-4814-9688-52FCDA5E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24D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60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Layton-Matthews</dc:creator>
  <cp:keywords/>
  <dc:description/>
  <cp:lastModifiedBy>Kate Layton-Matthews</cp:lastModifiedBy>
  <cp:revision>6</cp:revision>
  <dcterms:created xsi:type="dcterms:W3CDTF">2020-03-08T14:04:00Z</dcterms:created>
  <dcterms:modified xsi:type="dcterms:W3CDTF">2020-03-12T12:45:00Z</dcterms:modified>
</cp:coreProperties>
</file>