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041551" w14:textId="58A1A97E" w:rsidR="00477D1E" w:rsidRDefault="00477D1E" w:rsidP="00477D1E">
      <w:pPr>
        <w:pStyle w:val="Normal1"/>
        <w:rPr>
          <w:b/>
          <w:bCs/>
        </w:rPr>
      </w:pPr>
      <w:r w:rsidRPr="00477D1E">
        <w:rPr>
          <w:b/>
          <w:bCs/>
        </w:rPr>
        <w:t>Supplemental material for “</w:t>
      </w:r>
      <w:r w:rsidR="005F5CAB" w:rsidRPr="005F5CAB">
        <w:rPr>
          <w:b/>
          <w:bCs/>
        </w:rPr>
        <w:t>Prehistoric baseline reveals substantial decline of oyster reef condition in a Gulf of Mexico conservation priority area</w:t>
      </w:r>
      <w:r w:rsidRPr="00477D1E">
        <w:rPr>
          <w:b/>
          <w:bCs/>
        </w:rPr>
        <w:t>”</w:t>
      </w:r>
    </w:p>
    <w:p w14:paraId="4CF01EF7" w14:textId="4D45EB7A" w:rsidR="005F5CAB" w:rsidRDefault="005F5CAB" w:rsidP="00477D1E">
      <w:pPr>
        <w:pStyle w:val="Normal1"/>
        <w:rPr>
          <w:b/>
          <w:bCs/>
        </w:rPr>
      </w:pPr>
    </w:p>
    <w:p w14:paraId="5C18D39A" w14:textId="4C984DBD" w:rsidR="005F5CAB" w:rsidRDefault="005F5CAB" w:rsidP="005F5CAB">
      <w:pPr>
        <w:pStyle w:val="Normal1"/>
      </w:pPr>
      <w:r>
        <w:t>Stephen G. Hesterberg</w:t>
      </w:r>
      <w:r>
        <w:rPr>
          <w:vertAlign w:val="superscript"/>
        </w:rPr>
        <w:footnoteReference w:id="1"/>
      </w:r>
      <w:r>
        <w:t xml:space="preserve">, Gregory S. </w:t>
      </w:r>
      <w:r w:rsidRPr="005F1877">
        <w:t>Herbert</w:t>
      </w:r>
      <w:r>
        <w:rPr>
          <w:vertAlign w:val="superscript"/>
        </w:rPr>
        <w:t>2</w:t>
      </w:r>
      <w:r>
        <w:t>, Thomas J. Pluckhahn</w:t>
      </w:r>
      <w:r>
        <w:rPr>
          <w:vertAlign w:val="superscript"/>
        </w:rPr>
        <w:t>3</w:t>
      </w:r>
      <w:r>
        <w:t>, Ryan M. Harke</w:t>
      </w:r>
      <w:r>
        <w:rPr>
          <w:vertAlign w:val="superscript"/>
        </w:rPr>
        <w:t>3</w:t>
      </w:r>
      <w:r>
        <w:t>, Nasser M. Al-</w:t>
      </w:r>
      <w:r w:rsidRPr="009B16D0">
        <w:t>Qattan</w:t>
      </w:r>
      <w:r w:rsidRPr="009B16D0">
        <w:rPr>
          <w:vertAlign w:val="superscript"/>
        </w:rPr>
        <w:t>2</w:t>
      </w:r>
      <w:r>
        <w:t xml:space="preserve">, </w:t>
      </w:r>
      <w:r w:rsidRPr="009B16D0">
        <w:t>C</w:t>
      </w:r>
      <w:r>
        <w:t>. Trevor Duke</w:t>
      </w:r>
      <w:r>
        <w:rPr>
          <w:vertAlign w:val="superscript"/>
        </w:rPr>
        <w:t>3,4</w:t>
      </w:r>
      <w:r>
        <w:t>, Evan</w:t>
      </w:r>
      <w:r>
        <w:t xml:space="preserve"> </w:t>
      </w:r>
      <w:r>
        <w:t>W. Moore</w:t>
      </w:r>
      <w:r>
        <w:rPr>
          <w:vertAlign w:val="superscript"/>
        </w:rPr>
        <w:t>2,</w:t>
      </w:r>
      <w:r w:rsidRPr="00A922E6">
        <w:rPr>
          <w:vertAlign w:val="superscript"/>
        </w:rPr>
        <w:t>5</w:t>
      </w:r>
      <w:r>
        <w:t>, Megan E. Smith</w:t>
      </w:r>
      <w:r w:rsidRPr="00C73B88">
        <w:rPr>
          <w:vertAlign w:val="superscript"/>
        </w:rPr>
        <w:t>2,5</w:t>
      </w:r>
      <w:r>
        <w:t>, Alexander C. Delgado</w:t>
      </w:r>
      <w:r>
        <w:rPr>
          <w:vertAlign w:val="superscript"/>
        </w:rPr>
        <w:t>3</w:t>
      </w:r>
      <w:r>
        <w:t>, Christina P. Sampson</w:t>
      </w:r>
      <w:r>
        <w:rPr>
          <w:vertAlign w:val="superscript"/>
        </w:rPr>
        <w:t>6</w:t>
      </w:r>
      <w:r>
        <w:t xml:space="preserve"> </w:t>
      </w:r>
    </w:p>
    <w:p w14:paraId="3F7AA51E" w14:textId="77777777" w:rsidR="005F5CAB" w:rsidRDefault="005F5CAB" w:rsidP="005F5CAB">
      <w:pPr>
        <w:pStyle w:val="Normal1"/>
      </w:pPr>
    </w:p>
    <w:p w14:paraId="0C2BDFFF" w14:textId="77777777" w:rsidR="005F5CAB" w:rsidRDefault="005F5CAB" w:rsidP="005F5CAB">
      <w:pPr>
        <w:pStyle w:val="Normal1"/>
      </w:pPr>
      <w:r w:rsidRPr="00C73B88">
        <w:rPr>
          <w:vertAlign w:val="superscript"/>
        </w:rPr>
        <w:t>1</w:t>
      </w:r>
      <w:r w:rsidRPr="00C73B88">
        <w:t>Department of Integrative Biology, University of South Florida, 4202 East Fowler Ave, SCA 110, Tampa, FL, 33620</w:t>
      </w:r>
    </w:p>
    <w:p w14:paraId="769D0533" w14:textId="77777777" w:rsidR="005F5CAB" w:rsidRDefault="005F5CAB" w:rsidP="005F5CAB">
      <w:pPr>
        <w:pStyle w:val="Normal1"/>
      </w:pPr>
      <w:r w:rsidRPr="00C73B88">
        <w:rPr>
          <w:vertAlign w:val="superscript"/>
        </w:rPr>
        <w:t>2</w:t>
      </w:r>
      <w:r w:rsidRPr="00C73B88">
        <w:t>School of Geosciences, University of South Florida, 4202 East Fowler Ave, NES 107, Tampa, FL, 33620</w:t>
      </w:r>
    </w:p>
    <w:p w14:paraId="738EC2FD" w14:textId="77777777" w:rsidR="005F5CAB" w:rsidRDefault="005F5CAB" w:rsidP="005F5CAB">
      <w:pPr>
        <w:pStyle w:val="Normal1"/>
      </w:pPr>
      <w:r w:rsidRPr="00C73B88">
        <w:rPr>
          <w:vertAlign w:val="superscript"/>
        </w:rPr>
        <w:t>3</w:t>
      </w:r>
      <w:r w:rsidRPr="00C73B88">
        <w:t>Department of Anthropology, University of South Florida, 4202 East Fowler Ave, SOC 107, Tampa, FL, 33620</w:t>
      </w:r>
    </w:p>
    <w:p w14:paraId="4D76012C" w14:textId="77777777" w:rsidR="005F5CAB" w:rsidRDefault="005F5CAB" w:rsidP="005F5CAB">
      <w:pPr>
        <w:pStyle w:val="Normal1"/>
      </w:pPr>
      <w:r w:rsidRPr="00C73B88">
        <w:rPr>
          <w:vertAlign w:val="superscript"/>
        </w:rPr>
        <w:t>4</w:t>
      </w:r>
      <w:r w:rsidRPr="00C73B88">
        <w:t>Department of Anthropology, University of Florida, PO Box 117305, Gainesville, FL, 32611</w:t>
      </w:r>
    </w:p>
    <w:p w14:paraId="38D0EF8C" w14:textId="77777777" w:rsidR="005F5CAB" w:rsidRDefault="005F5CAB" w:rsidP="005F5CAB">
      <w:pPr>
        <w:pStyle w:val="Normal1"/>
      </w:pPr>
      <w:r w:rsidRPr="00C73B88">
        <w:rPr>
          <w:vertAlign w:val="superscript"/>
        </w:rPr>
        <w:t>5</w:t>
      </w:r>
      <w:r w:rsidRPr="00C73B88">
        <w:t>Department of Marine Geosciences, University of Miami Ros</w:t>
      </w:r>
      <w:r>
        <w:t>enstiel</w:t>
      </w:r>
      <w:r w:rsidRPr="00C73B88">
        <w:t xml:space="preserve"> School of Marine and Atmospheric Science, 4600 Rickenbacker Causeway Miami, FL, 33149</w:t>
      </w:r>
    </w:p>
    <w:p w14:paraId="0E6786DB" w14:textId="661E708E" w:rsidR="005F5CAB" w:rsidRPr="00477D1E" w:rsidRDefault="005F5CAB" w:rsidP="005F5CAB">
      <w:pPr>
        <w:pStyle w:val="Normal1"/>
        <w:rPr>
          <w:b/>
          <w:bCs/>
        </w:rPr>
      </w:pPr>
      <w:r w:rsidRPr="00C73B88">
        <w:rPr>
          <w:vertAlign w:val="superscript"/>
        </w:rPr>
        <w:t>6</w:t>
      </w:r>
      <w:r w:rsidRPr="00C73B88">
        <w:t xml:space="preserve">The Department of Anthropology, University of Michigan, </w:t>
      </w:r>
      <w:r w:rsidRPr="00C73B88">
        <w:rPr>
          <w:rFonts w:eastAsia="Times"/>
        </w:rPr>
        <w:t>101 West Hall, 1085 S. University Ave, Ann Arbor, MI, 48109</w:t>
      </w:r>
    </w:p>
    <w:p w14:paraId="35A08650" w14:textId="77777777" w:rsidR="00477D1E" w:rsidRDefault="00477D1E" w:rsidP="006B38F9">
      <w:pPr>
        <w:pStyle w:val="Normal1"/>
        <w:rPr>
          <w:b/>
        </w:rPr>
      </w:pPr>
    </w:p>
    <w:p w14:paraId="283004D8" w14:textId="23E157E4" w:rsidR="005A5650" w:rsidRDefault="005A5650" w:rsidP="006B38F9">
      <w:pPr>
        <w:pStyle w:val="Normal1"/>
        <w:rPr>
          <w:b/>
        </w:rPr>
      </w:pPr>
      <w:r w:rsidRPr="005A5650">
        <w:rPr>
          <w:b/>
        </w:rPr>
        <w:t>Appendix S1</w:t>
      </w:r>
    </w:p>
    <w:p w14:paraId="33DFC684" w14:textId="36D402B6" w:rsidR="006B38F9" w:rsidRDefault="006B38F9" w:rsidP="006B38F9">
      <w:pPr>
        <w:pStyle w:val="Normal1"/>
        <w:rPr>
          <w:b/>
        </w:rPr>
      </w:pPr>
    </w:p>
    <w:p w14:paraId="7E78DB60" w14:textId="61BF5499" w:rsidR="006B38F9" w:rsidRDefault="006B38F9" w:rsidP="006B38F9">
      <w:pPr>
        <w:pStyle w:val="Normal1"/>
        <w:rPr>
          <w:i/>
        </w:rPr>
      </w:pPr>
      <w:r>
        <w:rPr>
          <w:i/>
        </w:rPr>
        <w:t>Description of study sites</w:t>
      </w:r>
    </w:p>
    <w:p w14:paraId="6B9EC52C" w14:textId="26BAFE1F" w:rsidR="006B38F9" w:rsidRPr="006B38F9" w:rsidRDefault="006B38F9" w:rsidP="006B38F9">
      <w:pPr>
        <w:pStyle w:val="Normal1"/>
      </w:pPr>
    </w:p>
    <w:p w14:paraId="29C9E5C1" w14:textId="7A938196" w:rsidR="005A5650" w:rsidRDefault="005A5650" w:rsidP="006B38F9">
      <w:pPr>
        <w:pStyle w:val="Normal1"/>
        <w:ind w:firstLine="720"/>
      </w:pPr>
      <w:r>
        <w:t>The Big Bend region stretches from Apalachee Bay to Anclote Key (</w:t>
      </w:r>
      <w:r w:rsidR="00D434FF">
        <w:t xml:space="preserve">figure </w:t>
      </w:r>
      <w:r>
        <w:t>S1</w:t>
      </w:r>
      <w:r w:rsidR="0032586A">
        <w:t>) and</w:t>
      </w:r>
      <w:r>
        <w:t xml:space="preserve"> is characterized by a low-wave-energy environment with siliciclastic sediments overtopping shallow, sometimes exposed, limestone bedrock </w:t>
      </w:r>
      <w:r w:rsidR="00E535F0">
        <w:t>[1]</w:t>
      </w:r>
      <w:r>
        <w:t xml:space="preserve">. Tidally dominated rivers interrupt the irregular marsh coastline and discharge freshwater to form low-salinity </w:t>
      </w:r>
      <w:proofErr w:type="spellStart"/>
      <w:r>
        <w:t>embayments</w:t>
      </w:r>
      <w:proofErr w:type="spellEnd"/>
      <w:r>
        <w:t xml:space="preserve"> active with intertidal reef formation </w:t>
      </w:r>
      <w:r w:rsidR="00E535F0">
        <w:t>[1]</w:t>
      </w:r>
      <w:r>
        <w:t xml:space="preserve">. Some of the larger oyster reefs within the Big Bend are estimated to be 2,800-4,000 years old </w:t>
      </w:r>
      <w:r w:rsidR="00E535F0">
        <w:t>[2,3</w:t>
      </w:r>
      <w:r w:rsidR="0032586A">
        <w:t>]</w:t>
      </w:r>
      <w:r>
        <w:t xml:space="preserve">, and numerous prehistoric shell features are scattered along the coastline </w:t>
      </w:r>
      <w:r w:rsidR="0032586A">
        <w:t>[</w:t>
      </w:r>
      <w:r w:rsidR="00E535F0">
        <w:t>2</w:t>
      </w:r>
      <w:r w:rsidR="0032586A">
        <w:t xml:space="preserve">,4] </w:t>
      </w:r>
      <w:r>
        <w:t>suggesting high oyster productivity in this region for millennia.</w:t>
      </w:r>
    </w:p>
    <w:p w14:paraId="68B34224" w14:textId="36CE75AE" w:rsidR="006B38F9" w:rsidRPr="006B38F9" w:rsidRDefault="009B599D" w:rsidP="006B38F9">
      <w:pPr>
        <w:pStyle w:val="Normal1"/>
        <w:ind w:firstLine="720"/>
      </w:pPr>
      <w:r>
        <w:t xml:space="preserve">The two well-studied archaeological sites used in this study (Crystal River and Roberts Island) were occupied sequentially by indigenous peoples from approximately </w:t>
      </w:r>
      <w:r w:rsidR="002C221B">
        <w:t xml:space="preserve">AD </w:t>
      </w:r>
      <w:r>
        <w:t>50</w:t>
      </w:r>
      <w:r w:rsidR="00F6006B">
        <w:t>-</w:t>
      </w:r>
      <w:r>
        <w:t>1050 (</w:t>
      </w:r>
      <w:r w:rsidR="0032586A">
        <w:t xml:space="preserve">figure </w:t>
      </w:r>
      <w:r>
        <w:t xml:space="preserve">S1) </w:t>
      </w:r>
      <w:r w:rsidR="0032586A">
        <w:t xml:space="preserve">[5]. </w:t>
      </w:r>
      <w:r w:rsidR="005A5650">
        <w:t xml:space="preserve">The Crystal River site extends 10 ha and consists of an extensive, comma-shaped midden and at least five mounds of shell and earth, one more than 8 m high </w:t>
      </w:r>
      <w:r w:rsidR="0032586A">
        <w:t>[6]</w:t>
      </w:r>
      <w:r w:rsidR="005A5650">
        <w:t xml:space="preserve">. The nearby Roberts Island site, the largest of several related sites that comprise a complex of the same name </w:t>
      </w:r>
      <w:r w:rsidR="0032586A">
        <w:t>[7]</w:t>
      </w:r>
      <w:r w:rsidR="005A5650">
        <w:t xml:space="preserve">, includes a broad shell midden totaling around 8 ha (15-20 ac), as well as one 4 m tall mound of shell </w:t>
      </w:r>
      <w:r w:rsidR="0032586A">
        <w:t>[5]</w:t>
      </w:r>
      <w:r w:rsidR="005A5650">
        <w:t>. Bayesian modeling of radiocarbon dates (</w:t>
      </w:r>
      <w:r w:rsidR="005A5650">
        <w:rPr>
          <w:i/>
        </w:rPr>
        <w:t>n</w:t>
      </w:r>
      <w:r w:rsidR="005A5650">
        <w:t xml:space="preserve"> = 50) suggests that settlement of the Crystal River site began between </w:t>
      </w:r>
      <w:proofErr w:type="spellStart"/>
      <w:r w:rsidR="005A5650">
        <w:t>cal</w:t>
      </w:r>
      <w:proofErr w:type="spellEnd"/>
      <w:r w:rsidR="005A5650">
        <w:t xml:space="preserve"> A.D. 65</w:t>
      </w:r>
      <w:r w:rsidR="00F6006B">
        <w:t>-</w:t>
      </w:r>
      <w:r w:rsidR="005A5650">
        <w:t xml:space="preserve">224 (95% probability) and increased in size and permanence until around </w:t>
      </w:r>
      <w:proofErr w:type="spellStart"/>
      <w:r w:rsidR="005A5650">
        <w:t>cal</w:t>
      </w:r>
      <w:proofErr w:type="spellEnd"/>
      <w:r w:rsidR="005A5650">
        <w:t xml:space="preserve"> A.D. 435-544 (95% probability), after which people began moving to Roberts Island</w:t>
      </w:r>
      <w:r w:rsidR="0032586A">
        <w:t xml:space="preserve"> [5]</w:t>
      </w:r>
      <w:r w:rsidR="005A5650">
        <w:t xml:space="preserve">. The latter site reached its maximum extent sometime </w:t>
      </w:r>
      <w:r w:rsidR="005A5650">
        <w:lastRenderedPageBreak/>
        <w:t xml:space="preserve">after </w:t>
      </w:r>
      <w:proofErr w:type="spellStart"/>
      <w:r w:rsidR="005A5650">
        <w:t>cal</w:t>
      </w:r>
      <w:proofErr w:type="spellEnd"/>
      <w:r w:rsidR="005A5650">
        <w:t xml:space="preserve"> A.D. 722-881 (95% probability). Crystal River and Roberts Island fell into disuse at th</w:t>
      </w:r>
      <w:r w:rsidR="006B38F9">
        <w:t xml:space="preserve">e </w:t>
      </w:r>
      <w:r w:rsidR="005A5650">
        <w:t xml:space="preserve">conclusion of the final phase of occupation between </w:t>
      </w:r>
      <w:proofErr w:type="spellStart"/>
      <w:r w:rsidR="005A5650">
        <w:t>cal</w:t>
      </w:r>
      <w:proofErr w:type="spellEnd"/>
      <w:r w:rsidR="005A5650">
        <w:t xml:space="preserve"> A.D. 890 and 1068 (95% probability). </w:t>
      </w:r>
    </w:p>
    <w:p w14:paraId="71E4B0E0" w14:textId="3CDB46CF" w:rsidR="006B38F9" w:rsidRDefault="006B38F9" w:rsidP="006B38F9">
      <w:pPr>
        <w:pStyle w:val="Normal1"/>
        <w:rPr>
          <w:b/>
        </w:rPr>
      </w:pPr>
    </w:p>
    <w:p w14:paraId="7A7B4B2B" w14:textId="5EBE9D59" w:rsidR="006B38F9" w:rsidRDefault="00555452" w:rsidP="006B38F9">
      <w:pPr>
        <w:pStyle w:val="Normal1"/>
        <w:rPr>
          <w:b/>
        </w:rPr>
      </w:pPr>
      <w:r>
        <w:rPr>
          <w:b/>
          <w:noProof/>
        </w:rPr>
        <w:drawing>
          <wp:inline distT="0" distB="0" distL="0" distR="0" wp14:anchorId="51A738A5" wp14:editId="6E474E1B">
            <wp:extent cx="6501188" cy="4287328"/>
            <wp:effectExtent l="0" t="0" r="127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pendixS1.tif"/>
                    <pic:cNvPicPr/>
                  </pic:nvPicPr>
                  <pic:blipFill>
                    <a:blip r:embed="rId7">
                      <a:extLst>
                        <a:ext uri="{28A0092B-C50C-407E-A947-70E740481C1C}">
                          <a14:useLocalDpi xmlns:a14="http://schemas.microsoft.com/office/drawing/2010/main"/>
                        </a:ext>
                      </a:extLst>
                    </a:blip>
                    <a:stretch>
                      <a:fillRect/>
                    </a:stretch>
                  </pic:blipFill>
                  <pic:spPr>
                    <a:xfrm>
                      <a:off x="0" y="0"/>
                      <a:ext cx="6516124" cy="4297178"/>
                    </a:xfrm>
                    <a:prstGeom prst="rect">
                      <a:avLst/>
                    </a:prstGeom>
                  </pic:spPr>
                </pic:pic>
              </a:graphicData>
            </a:graphic>
          </wp:inline>
        </w:drawing>
      </w:r>
    </w:p>
    <w:p w14:paraId="0461745F" w14:textId="77777777" w:rsidR="005F5CAB" w:rsidRDefault="005A5650" w:rsidP="00477D1E">
      <w:pPr>
        <w:pStyle w:val="Normal1"/>
      </w:pPr>
      <w:r>
        <w:rPr>
          <w:b/>
        </w:rPr>
        <w:t>Figure</w:t>
      </w:r>
      <w:r w:rsidRPr="0099231D">
        <w:rPr>
          <w:b/>
        </w:rPr>
        <w:t xml:space="preserve"> S1</w:t>
      </w:r>
      <w:r w:rsidRPr="0099231D">
        <w:t>. Map showing the location of modern oyster sampling sites (River, Inshore, and Offshore) relative to archaeological sites (Crystal River and Roberts Island) nea</w:t>
      </w:r>
      <w:r>
        <w:t>r Crystal River, Florida. Modern</w:t>
      </w:r>
      <w:r w:rsidRPr="0099231D">
        <w:t xml:space="preserve"> oysters were sampled along the salinity gradient from river to offshore areas, encompassing the current oyster habitat available within the estuary. Prehistoric shells were obtained from excavations of middens and mounds at both the Crystal River and Robert’s Island archaeological sites. Insets show location of study area (Citrus county) within the Big Bend region of Florida (top right)</w:t>
      </w:r>
      <w:r w:rsidR="00555452">
        <w:t xml:space="preserve">. The locations of individual modern shells (f-j) used in stable isotope analysis (see figure S3) are also identified at river, inshore, and offshore sites.   </w:t>
      </w:r>
    </w:p>
    <w:p w14:paraId="57707E1C" w14:textId="3EBD6F3E" w:rsidR="00477D1E" w:rsidRPr="00555452" w:rsidRDefault="00477D1E" w:rsidP="00477D1E">
      <w:pPr>
        <w:pStyle w:val="Normal1"/>
      </w:pPr>
      <w:r w:rsidRPr="005A5650">
        <w:rPr>
          <w:b/>
        </w:rPr>
        <w:lastRenderedPageBreak/>
        <w:t>Appendix S</w:t>
      </w:r>
      <w:r>
        <w:rPr>
          <w:b/>
        </w:rPr>
        <w:t>2</w:t>
      </w:r>
    </w:p>
    <w:p w14:paraId="11A2ECEA" w14:textId="77777777" w:rsidR="00477D1E" w:rsidRDefault="00477D1E" w:rsidP="00477D1E">
      <w:pPr>
        <w:rPr>
          <w:rFonts w:ascii="Times New Roman" w:hAnsi="Times New Roman" w:cs="Times New Roman"/>
          <w:b/>
        </w:rPr>
      </w:pPr>
      <w:r>
        <w:rPr>
          <w:rFonts w:ascii="Times New Roman" w:hAnsi="Times New Roman" w:cs="Times New Roman"/>
          <w:b/>
          <w:noProof/>
        </w:rPr>
        <w:drawing>
          <wp:inline distT="0" distB="0" distL="0" distR="0" wp14:anchorId="47B326FA" wp14:editId="3EEB2674">
            <wp:extent cx="2971800" cy="2806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endixS2.tiff"/>
                    <pic:cNvPicPr/>
                  </pic:nvPicPr>
                  <pic:blipFill>
                    <a:blip r:embed="rId8" cstate="print">
                      <a:extLst>
                        <a:ext uri="{28A0092B-C50C-407E-A947-70E740481C1C}">
                          <a14:useLocalDpi xmlns:a14="http://schemas.microsoft.com/office/drawing/2010/main"/>
                        </a:ext>
                      </a:extLst>
                    </a:blip>
                    <a:stretch>
                      <a:fillRect/>
                    </a:stretch>
                  </pic:blipFill>
                  <pic:spPr>
                    <a:xfrm>
                      <a:off x="0" y="0"/>
                      <a:ext cx="2971800" cy="2806700"/>
                    </a:xfrm>
                    <a:prstGeom prst="rect">
                      <a:avLst/>
                    </a:prstGeom>
                  </pic:spPr>
                </pic:pic>
              </a:graphicData>
            </a:graphic>
          </wp:inline>
        </w:drawing>
      </w:r>
    </w:p>
    <w:p w14:paraId="32678056" w14:textId="15DA9D77" w:rsidR="00477D1E" w:rsidRDefault="00477D1E" w:rsidP="00477D1E">
      <w:pPr>
        <w:rPr>
          <w:rFonts w:ascii="Times New Roman" w:hAnsi="Times New Roman" w:cs="Times New Roman"/>
          <w:noProof/>
        </w:rPr>
      </w:pPr>
      <w:r>
        <w:rPr>
          <w:rFonts w:ascii="Times New Roman" w:hAnsi="Times New Roman" w:cs="Times New Roman"/>
          <w:b/>
        </w:rPr>
        <w:t>Figure</w:t>
      </w:r>
      <w:r w:rsidRPr="00153EAD">
        <w:rPr>
          <w:rFonts w:ascii="Times New Roman" w:hAnsi="Times New Roman" w:cs="Times New Roman"/>
          <w:b/>
        </w:rPr>
        <w:t xml:space="preserve"> S2</w:t>
      </w:r>
      <w:r w:rsidRPr="00153EAD">
        <w:rPr>
          <w:rFonts w:ascii="Times New Roman" w:hAnsi="Times New Roman" w:cs="Times New Roman"/>
        </w:rPr>
        <w:t>.</w:t>
      </w:r>
      <w:r>
        <w:rPr>
          <w:rFonts w:ascii="Palatino Linotype" w:hAnsi="Palatino Linotype"/>
          <w:b/>
          <w:noProof/>
        </w:rPr>
        <w:t xml:space="preserve"> </w:t>
      </w:r>
      <w:r w:rsidRPr="00153EAD">
        <w:rPr>
          <w:rFonts w:ascii="Times New Roman" w:hAnsi="Times New Roman" w:cs="Times New Roman"/>
          <w:noProof/>
        </w:rPr>
        <w:t xml:space="preserve">Relationship between hinge distance and shell height </w:t>
      </w:r>
      <w:r>
        <w:rPr>
          <w:rFonts w:ascii="Times New Roman" w:hAnsi="Times New Roman" w:cs="Times New Roman"/>
          <w:noProof/>
        </w:rPr>
        <w:t>for the</w:t>
      </w:r>
      <w:r w:rsidRPr="00153EAD">
        <w:rPr>
          <w:rFonts w:ascii="Times New Roman" w:hAnsi="Times New Roman" w:cs="Times New Roman"/>
          <w:noProof/>
        </w:rPr>
        <w:t xml:space="preserve"> </w:t>
      </w:r>
      <w:r>
        <w:rPr>
          <w:rFonts w:ascii="Times New Roman" w:hAnsi="Times New Roman" w:cs="Times New Roman"/>
          <w:noProof/>
        </w:rPr>
        <w:t>large prehistoric</w:t>
      </w:r>
      <w:r w:rsidRPr="00153EAD">
        <w:rPr>
          <w:rFonts w:ascii="Times New Roman" w:hAnsi="Times New Roman" w:cs="Times New Roman"/>
          <w:noProof/>
        </w:rPr>
        <w:t xml:space="preserve"> and modern Crystal River shells</w:t>
      </w:r>
      <w:r>
        <w:rPr>
          <w:rFonts w:ascii="Times New Roman" w:hAnsi="Times New Roman" w:cs="Times New Roman"/>
          <w:noProof/>
        </w:rPr>
        <w:t xml:space="preserve"> used in stable isotopic analyses</w:t>
      </w:r>
      <w:r w:rsidRPr="00153EAD">
        <w:rPr>
          <w:rFonts w:ascii="Times New Roman" w:hAnsi="Times New Roman" w:cs="Times New Roman"/>
          <w:noProof/>
        </w:rPr>
        <w:t xml:space="preserve"> (</w:t>
      </w:r>
      <w:r w:rsidRPr="00153EAD">
        <w:rPr>
          <w:rFonts w:ascii="Times New Roman" w:hAnsi="Times New Roman" w:cs="Times New Roman"/>
          <w:i/>
          <w:noProof/>
        </w:rPr>
        <w:t>n</w:t>
      </w:r>
      <w:r w:rsidR="00F42987">
        <w:rPr>
          <w:rFonts w:ascii="Times New Roman" w:hAnsi="Times New Roman" w:cs="Times New Roman"/>
          <w:i/>
          <w:noProof/>
        </w:rPr>
        <w:t xml:space="preserve"> </w:t>
      </w:r>
      <w:r w:rsidRPr="00153EAD">
        <w:rPr>
          <w:rFonts w:ascii="Times New Roman" w:hAnsi="Times New Roman" w:cs="Times New Roman"/>
          <w:noProof/>
        </w:rPr>
        <w:t>=</w:t>
      </w:r>
      <w:r w:rsidR="00F42987">
        <w:rPr>
          <w:rFonts w:ascii="Times New Roman" w:hAnsi="Times New Roman" w:cs="Times New Roman"/>
          <w:noProof/>
        </w:rPr>
        <w:t xml:space="preserve"> </w:t>
      </w:r>
      <w:r w:rsidRPr="00153EAD">
        <w:rPr>
          <w:rFonts w:ascii="Times New Roman" w:hAnsi="Times New Roman" w:cs="Times New Roman"/>
          <w:noProof/>
        </w:rPr>
        <w:t>5)</w:t>
      </w:r>
      <w:r>
        <w:rPr>
          <w:rFonts w:ascii="Times New Roman" w:hAnsi="Times New Roman" w:cs="Times New Roman"/>
          <w:noProof/>
        </w:rPr>
        <w:t xml:space="preserve">. </w:t>
      </w:r>
      <w:r w:rsidRPr="007F25E3">
        <w:rPr>
          <w:rFonts w:ascii="Times New Roman" w:hAnsi="Times New Roman" w:cs="Times New Roman"/>
          <w:noProof/>
        </w:rPr>
        <w:t>See Appendix S3 for the complete set of oxygen isotope profiles from all replicate shells.</w:t>
      </w:r>
    </w:p>
    <w:p w14:paraId="1DD47029" w14:textId="79DFA0A5" w:rsidR="00477D1E" w:rsidRDefault="00477D1E" w:rsidP="00477D1E">
      <w:pPr>
        <w:rPr>
          <w:rFonts w:ascii="Times New Roman" w:hAnsi="Times New Roman" w:cs="Times New Roman"/>
          <w:noProof/>
        </w:rPr>
      </w:pPr>
    </w:p>
    <w:p w14:paraId="1322CC49" w14:textId="1664EAC7" w:rsidR="00477D1E" w:rsidRDefault="00477D1E" w:rsidP="00477D1E">
      <w:pPr>
        <w:rPr>
          <w:rFonts w:ascii="Palatino Linotype" w:hAnsi="Palatino Linotype"/>
          <w:b/>
          <w:noProof/>
        </w:rPr>
      </w:pPr>
    </w:p>
    <w:p w14:paraId="410676B2" w14:textId="77777777" w:rsidR="00477D1E" w:rsidRDefault="00477D1E" w:rsidP="00477D1E">
      <w:pPr>
        <w:pStyle w:val="Normal1"/>
        <w:spacing w:line="480" w:lineRule="auto"/>
        <w:rPr>
          <w:b/>
        </w:rPr>
      </w:pPr>
    </w:p>
    <w:p w14:paraId="0D091C34" w14:textId="77777777" w:rsidR="00477D1E" w:rsidRDefault="00477D1E" w:rsidP="00477D1E">
      <w:pPr>
        <w:pStyle w:val="Normal1"/>
        <w:spacing w:line="480" w:lineRule="auto"/>
        <w:rPr>
          <w:b/>
        </w:rPr>
      </w:pPr>
    </w:p>
    <w:p w14:paraId="591EA6C6" w14:textId="77777777" w:rsidR="00477D1E" w:rsidRDefault="00477D1E" w:rsidP="00477D1E">
      <w:pPr>
        <w:pStyle w:val="Normal1"/>
        <w:spacing w:line="480" w:lineRule="auto"/>
        <w:rPr>
          <w:b/>
        </w:rPr>
      </w:pPr>
    </w:p>
    <w:p w14:paraId="005C19DF" w14:textId="77777777" w:rsidR="005F5CAB" w:rsidRDefault="005F5CAB" w:rsidP="00477D1E">
      <w:pPr>
        <w:pStyle w:val="Normal1"/>
        <w:spacing w:line="480" w:lineRule="auto"/>
        <w:rPr>
          <w:b/>
        </w:rPr>
      </w:pPr>
    </w:p>
    <w:p w14:paraId="5FDD6244" w14:textId="77777777" w:rsidR="005F5CAB" w:rsidRDefault="005F5CAB" w:rsidP="00477D1E">
      <w:pPr>
        <w:pStyle w:val="Normal1"/>
        <w:spacing w:line="480" w:lineRule="auto"/>
        <w:rPr>
          <w:b/>
        </w:rPr>
      </w:pPr>
    </w:p>
    <w:p w14:paraId="2E663A27" w14:textId="77777777" w:rsidR="005F5CAB" w:rsidRDefault="005F5CAB" w:rsidP="00477D1E">
      <w:pPr>
        <w:pStyle w:val="Normal1"/>
        <w:spacing w:line="480" w:lineRule="auto"/>
        <w:rPr>
          <w:b/>
        </w:rPr>
      </w:pPr>
    </w:p>
    <w:p w14:paraId="3ABD0442" w14:textId="6D7B4DD8" w:rsidR="00477D1E" w:rsidRDefault="00477D1E" w:rsidP="00477D1E">
      <w:pPr>
        <w:pStyle w:val="Normal1"/>
        <w:spacing w:line="480" w:lineRule="auto"/>
        <w:rPr>
          <w:b/>
        </w:rPr>
      </w:pPr>
      <w:r w:rsidRPr="005A5650">
        <w:rPr>
          <w:b/>
        </w:rPr>
        <w:lastRenderedPageBreak/>
        <w:t>Appendix</w:t>
      </w:r>
      <w:r>
        <w:rPr>
          <w:b/>
        </w:rPr>
        <w:t xml:space="preserve"> S3</w:t>
      </w:r>
      <w:r w:rsidRPr="005A5650">
        <w:rPr>
          <w:b/>
        </w:rPr>
        <w:t xml:space="preserve"> </w:t>
      </w:r>
    </w:p>
    <w:p w14:paraId="00591AAB" w14:textId="35BF7262" w:rsidR="00477D1E" w:rsidRDefault="00F2063E" w:rsidP="00477D1E">
      <w:pPr>
        <w:pStyle w:val="Normal1"/>
        <w:spacing w:line="480" w:lineRule="auto"/>
        <w:rPr>
          <w:b/>
        </w:rPr>
      </w:pPr>
      <w:r>
        <w:rPr>
          <w:b/>
          <w:noProof/>
        </w:rPr>
        <w:drawing>
          <wp:inline distT="0" distB="0" distL="0" distR="0" wp14:anchorId="0C93DCBE" wp14:editId="1FE01FF8">
            <wp:extent cx="8229600" cy="41973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ppexdix_FigureS3.tiff"/>
                    <pic:cNvPicPr/>
                  </pic:nvPicPr>
                  <pic:blipFill>
                    <a:blip r:embed="rId9">
                      <a:extLst>
                        <a:ext uri="{28A0092B-C50C-407E-A947-70E740481C1C}">
                          <a14:useLocalDpi xmlns:a14="http://schemas.microsoft.com/office/drawing/2010/main"/>
                        </a:ext>
                      </a:extLst>
                    </a:blip>
                    <a:stretch>
                      <a:fillRect/>
                    </a:stretch>
                  </pic:blipFill>
                  <pic:spPr>
                    <a:xfrm>
                      <a:off x="0" y="0"/>
                      <a:ext cx="8229600" cy="4197350"/>
                    </a:xfrm>
                    <a:prstGeom prst="rect">
                      <a:avLst/>
                    </a:prstGeom>
                  </pic:spPr>
                </pic:pic>
              </a:graphicData>
            </a:graphic>
          </wp:inline>
        </w:drawing>
      </w:r>
    </w:p>
    <w:p w14:paraId="7560B88E" w14:textId="57EAA86F" w:rsidR="00477D1E" w:rsidRPr="001D017E" w:rsidRDefault="00477D1E" w:rsidP="00477D1E">
      <w:pPr>
        <w:pStyle w:val="Normal1"/>
        <w:sectPr w:rsidR="00477D1E" w:rsidRPr="001D017E" w:rsidSect="001D017E">
          <w:pgSz w:w="15840" w:h="12240" w:orient="landscape"/>
          <w:pgMar w:top="1440" w:right="1440" w:bottom="1440" w:left="1440" w:header="720" w:footer="720" w:gutter="0"/>
          <w:cols w:space="720"/>
          <w:docGrid w:linePitch="360"/>
        </w:sectPr>
      </w:pPr>
      <w:r w:rsidRPr="001D017E">
        <w:rPr>
          <w:b/>
        </w:rPr>
        <w:t>Figure</w:t>
      </w:r>
      <w:r>
        <w:t xml:space="preserve"> </w:t>
      </w:r>
      <w:r w:rsidRPr="001D017E">
        <w:rPr>
          <w:b/>
        </w:rPr>
        <w:t>S3</w:t>
      </w:r>
      <w:r w:rsidRPr="00135BE4">
        <w:t>. Oxygen (</w:t>
      </w:r>
      <w:r w:rsidRPr="004A4988">
        <w:t>δ</w:t>
      </w:r>
      <w:r w:rsidRPr="008377AD">
        <w:rPr>
          <w:vertAlign w:val="superscript"/>
        </w:rPr>
        <w:t>18</w:t>
      </w:r>
      <w:r w:rsidRPr="00135BE4">
        <w:t>O) and carbon (</w:t>
      </w:r>
      <w:r w:rsidRPr="004A4988">
        <w:t>δ</w:t>
      </w:r>
      <w:r w:rsidRPr="008377AD">
        <w:rPr>
          <w:vertAlign w:val="superscript"/>
        </w:rPr>
        <w:t>13</w:t>
      </w:r>
      <w:r w:rsidRPr="00135BE4">
        <w:t>C) stable isotope signatures from a subsample o</w:t>
      </w:r>
      <w:r>
        <w:t xml:space="preserve">f </w:t>
      </w:r>
      <w:r w:rsidRPr="00135BE4">
        <w:t>large (a-e) prehistoric and (f-j) modern Crystal River shells (</w:t>
      </w:r>
      <w:r w:rsidRPr="00135BE4">
        <w:rPr>
          <w:i/>
        </w:rPr>
        <w:t>n</w:t>
      </w:r>
      <w:r w:rsidR="00B40DD3">
        <w:rPr>
          <w:i/>
        </w:rPr>
        <w:t xml:space="preserve"> </w:t>
      </w:r>
      <w:r w:rsidRPr="00135BE4">
        <w:t>=</w:t>
      </w:r>
      <w:r w:rsidR="00B40DD3">
        <w:t xml:space="preserve"> </w:t>
      </w:r>
      <w:r w:rsidRPr="00135BE4">
        <w:t>5). Shell height (mm) is listed for each individual in the upper right. Dotted line on each graph represents zero. Alternating grey and white shading represents annual growth for each individual reconstructed from seasonal fluctuations in oxygen isotope profiles.</w:t>
      </w:r>
      <w:r w:rsidR="00B40DD3">
        <w:t xml:space="preserve"> </w:t>
      </w:r>
      <w:r w:rsidR="00733857" w:rsidRPr="00BA04D1">
        <w:t>Midden shells were obtained from Crystal River (a-c)</w:t>
      </w:r>
      <w:r w:rsidR="00733857">
        <w:t xml:space="preserve"> and Robert</w:t>
      </w:r>
      <w:r w:rsidR="006C14FE">
        <w:t>’</w:t>
      </w:r>
      <w:r w:rsidR="00733857">
        <w:t xml:space="preserve">s Island </w:t>
      </w:r>
      <w:r w:rsidR="006C14FE">
        <w:t>a</w:t>
      </w:r>
      <w:r w:rsidR="00733857">
        <w:t xml:space="preserve">rchaeological sites (d &amp; e). </w:t>
      </w:r>
      <w:r w:rsidR="00B40DD3">
        <w:t xml:space="preserve">Modern shells were obtained from river (f &amp; </w:t>
      </w:r>
      <w:proofErr w:type="spellStart"/>
      <w:r w:rsidR="00B40DD3">
        <w:t>i</w:t>
      </w:r>
      <w:proofErr w:type="spellEnd"/>
      <w:r w:rsidR="00B40DD3">
        <w:t>), inshore (g &amp; h) and offshore sites (j).</w:t>
      </w:r>
      <w:r w:rsidR="00733857">
        <w:t xml:space="preserve"> </w:t>
      </w:r>
      <w:r w:rsidR="00B40DD3">
        <w:t xml:space="preserve"> See figure S1 for the sampling location of each modern oyster used in isotope analysis.</w:t>
      </w:r>
    </w:p>
    <w:p w14:paraId="1EBAB5B5" w14:textId="3E0D99BD" w:rsidR="00683280" w:rsidRPr="00BA04D1" w:rsidRDefault="00683280" w:rsidP="00477D1E">
      <w:pPr>
        <w:spacing w:line="480" w:lineRule="auto"/>
        <w:rPr>
          <w:rFonts w:ascii="Times New Roman" w:hAnsi="Times New Roman" w:cs="Times New Roman"/>
          <w:b/>
          <w:bCs/>
          <w:iCs/>
          <w:color w:val="000000" w:themeColor="text1"/>
        </w:rPr>
      </w:pPr>
      <w:r>
        <w:rPr>
          <w:rFonts w:ascii="Times New Roman" w:hAnsi="Times New Roman" w:cs="Times New Roman"/>
          <w:b/>
          <w:bCs/>
          <w:iCs/>
          <w:color w:val="000000" w:themeColor="text1"/>
        </w:rPr>
        <w:lastRenderedPageBreak/>
        <w:t>Appendix S4</w:t>
      </w:r>
    </w:p>
    <w:p w14:paraId="1A9526C3" w14:textId="53527E0E" w:rsidR="00477D1E" w:rsidRPr="001D017E" w:rsidRDefault="00477D1E" w:rsidP="00477D1E">
      <w:pPr>
        <w:spacing w:line="480" w:lineRule="auto"/>
        <w:rPr>
          <w:rFonts w:ascii="Times New Roman" w:hAnsi="Times New Roman" w:cs="Times New Roman"/>
          <w:i/>
          <w:color w:val="000000" w:themeColor="text1"/>
        </w:rPr>
      </w:pPr>
      <w:r>
        <w:rPr>
          <w:rFonts w:ascii="Times New Roman" w:hAnsi="Times New Roman" w:cs="Times New Roman"/>
          <w:i/>
          <w:color w:val="000000" w:themeColor="text1"/>
        </w:rPr>
        <w:t xml:space="preserve">Relationship between </w:t>
      </w:r>
      <w:r w:rsidRPr="001D017E">
        <w:rPr>
          <w:rFonts w:ascii="Times New Roman" w:hAnsi="Times New Roman" w:cs="Times New Roman"/>
          <w:i/>
          <w:color w:val="000000" w:themeColor="text1"/>
        </w:rPr>
        <w:t>δ</w:t>
      </w:r>
      <w:r w:rsidRPr="001D017E">
        <w:rPr>
          <w:rFonts w:ascii="Times New Roman" w:hAnsi="Times New Roman" w:cs="Times New Roman"/>
          <w:i/>
          <w:color w:val="000000" w:themeColor="text1"/>
        </w:rPr>
        <w:softHyphen/>
      </w:r>
      <w:r w:rsidRPr="001D017E">
        <w:rPr>
          <w:rFonts w:ascii="Times New Roman" w:hAnsi="Times New Roman" w:cs="Times New Roman"/>
          <w:i/>
          <w:color w:val="000000" w:themeColor="text1"/>
        </w:rPr>
        <w:softHyphen/>
      </w:r>
      <w:r w:rsidRPr="001D017E">
        <w:rPr>
          <w:rFonts w:ascii="Times New Roman" w:hAnsi="Times New Roman" w:cs="Times New Roman"/>
          <w:i/>
          <w:color w:val="000000" w:themeColor="text1"/>
          <w:vertAlign w:val="superscript"/>
        </w:rPr>
        <w:t>18</w:t>
      </w:r>
      <w:r w:rsidRPr="001D017E">
        <w:rPr>
          <w:rFonts w:ascii="Times New Roman" w:hAnsi="Times New Roman" w:cs="Times New Roman"/>
          <w:i/>
          <w:color w:val="000000" w:themeColor="text1"/>
        </w:rPr>
        <w:t>O</w:t>
      </w:r>
      <w:r>
        <w:rPr>
          <w:rFonts w:ascii="Times New Roman" w:hAnsi="Times New Roman" w:cs="Times New Roman"/>
          <w:i/>
          <w:color w:val="000000" w:themeColor="text1"/>
        </w:rPr>
        <w:t xml:space="preserve"> signatures and oyster hinge morphology</w:t>
      </w:r>
    </w:p>
    <w:p w14:paraId="66FCBC69" w14:textId="23AC023F" w:rsidR="00477D1E" w:rsidRPr="00135BE4" w:rsidRDefault="00477D1E" w:rsidP="00477D1E">
      <w:pPr>
        <w:ind w:firstLine="720"/>
        <w:rPr>
          <w:rFonts w:ascii="Times New Roman" w:hAnsi="Times New Roman" w:cs="Times New Roman"/>
          <w:color w:val="000000" w:themeColor="text1"/>
        </w:rPr>
      </w:pPr>
      <w:r w:rsidRPr="00135BE4">
        <w:rPr>
          <w:rFonts w:ascii="Times New Roman" w:hAnsi="Times New Roman" w:cs="Times New Roman"/>
          <w:color w:val="000000" w:themeColor="text1"/>
        </w:rPr>
        <w:t xml:space="preserve">Several studies have assessed whether there are morphological features of </w:t>
      </w:r>
      <w:r w:rsidRPr="00135BE4">
        <w:rPr>
          <w:rFonts w:ascii="Times New Roman" w:hAnsi="Times New Roman" w:cs="Times New Roman"/>
          <w:i/>
          <w:iCs/>
          <w:color w:val="000000" w:themeColor="text1"/>
        </w:rPr>
        <w:t>Crassostrea virginica</w:t>
      </w:r>
      <w:r w:rsidRPr="00135BE4">
        <w:rPr>
          <w:rFonts w:ascii="Times New Roman" w:hAnsi="Times New Roman" w:cs="Times New Roman"/>
          <w:color w:val="000000" w:themeColor="text1"/>
        </w:rPr>
        <w:t xml:space="preserve"> shells in the mid-Atlantic United States that can be used to infer their lifespan by investigating their oxygen isotope ratios. Kirby </w:t>
      </w:r>
      <w:r w:rsidRPr="0032586A">
        <w:rPr>
          <w:rFonts w:ascii="Times New Roman" w:hAnsi="Times New Roman" w:cs="Times New Roman"/>
          <w:i/>
          <w:iCs/>
          <w:color w:val="000000" w:themeColor="text1"/>
        </w:rPr>
        <w:t>et al</w:t>
      </w:r>
      <w:r w:rsidRPr="00135BE4">
        <w:rPr>
          <w:rFonts w:ascii="Times New Roman" w:hAnsi="Times New Roman" w:cs="Times New Roman"/>
          <w:color w:val="000000" w:themeColor="text1"/>
        </w:rPr>
        <w:t xml:space="preserve">. </w:t>
      </w:r>
      <w:r w:rsidR="0032586A">
        <w:rPr>
          <w:rFonts w:ascii="Times New Roman" w:hAnsi="Times New Roman" w:cs="Times New Roman"/>
          <w:color w:val="000000" w:themeColor="text1"/>
        </w:rPr>
        <w:t xml:space="preserve">[8] </w:t>
      </w:r>
      <w:r w:rsidRPr="00135BE4">
        <w:rPr>
          <w:rFonts w:ascii="Times New Roman" w:hAnsi="Times New Roman" w:cs="Times New Roman"/>
          <w:color w:val="000000" w:themeColor="text1"/>
        </w:rPr>
        <w:t xml:space="preserve">documented a correlation between </w:t>
      </w:r>
      <w:r w:rsidRPr="00135BE4">
        <w:rPr>
          <w:rFonts w:ascii="Times New Roman" w:hAnsi="Times New Roman" w:cs="Times New Roman"/>
          <w:color w:val="000000" w:themeColor="text1"/>
          <w:shd w:val="clear" w:color="auto" w:fill="FFFFFF"/>
        </w:rPr>
        <w:t xml:space="preserve">undulations (i.e., convex tops) on the hinge surface of </w:t>
      </w:r>
      <w:r w:rsidRPr="00135BE4">
        <w:rPr>
          <w:rFonts w:ascii="Times New Roman" w:hAnsi="Times New Roman" w:cs="Times New Roman"/>
          <w:color w:val="000000" w:themeColor="text1"/>
        </w:rPr>
        <w:t xml:space="preserve">Pleistocene-aged </w:t>
      </w:r>
      <w:r w:rsidRPr="00135BE4">
        <w:rPr>
          <w:rFonts w:ascii="Times New Roman" w:hAnsi="Times New Roman" w:cs="Times New Roman"/>
          <w:i/>
          <w:iCs/>
          <w:color w:val="000000" w:themeColor="text1"/>
        </w:rPr>
        <w:t xml:space="preserve">C. virginica </w:t>
      </w:r>
      <w:r w:rsidRPr="00135BE4">
        <w:rPr>
          <w:rFonts w:ascii="Times New Roman" w:hAnsi="Times New Roman" w:cs="Times New Roman"/>
          <w:color w:val="000000" w:themeColor="text1"/>
        </w:rPr>
        <w:t>shells from Virginia and relatively higher δ</w:t>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vertAlign w:val="superscript"/>
        </w:rPr>
        <w:t>18</w:t>
      </w:r>
      <w:r w:rsidRPr="00135BE4">
        <w:rPr>
          <w:rFonts w:ascii="Times New Roman" w:hAnsi="Times New Roman" w:cs="Times New Roman"/>
          <w:color w:val="000000" w:themeColor="text1"/>
        </w:rPr>
        <w:t xml:space="preserve">O ratios, and so were interpreted to form in colder months. However, they also documented a weaker relationship in </w:t>
      </w:r>
      <w:r w:rsidRPr="00135BE4">
        <w:rPr>
          <w:rFonts w:ascii="Times New Roman" w:hAnsi="Times New Roman" w:cs="Times New Roman"/>
          <w:color w:val="000000" w:themeColor="text1"/>
          <w:shd w:val="clear" w:color="auto" w:fill="FFFFFF"/>
        </w:rPr>
        <w:t xml:space="preserve">modern </w:t>
      </w:r>
      <w:r w:rsidRPr="00135BE4">
        <w:rPr>
          <w:rFonts w:ascii="Times New Roman" w:hAnsi="Times New Roman" w:cs="Times New Roman"/>
          <w:i/>
          <w:iCs/>
          <w:color w:val="000000" w:themeColor="text1"/>
        </w:rPr>
        <w:t xml:space="preserve">C. virginica </w:t>
      </w:r>
      <w:r w:rsidRPr="00135BE4">
        <w:rPr>
          <w:rFonts w:ascii="Times New Roman" w:hAnsi="Times New Roman" w:cs="Times New Roman"/>
          <w:color w:val="000000" w:themeColor="text1"/>
        </w:rPr>
        <w:t>shells</w:t>
      </w:r>
      <w:r w:rsidRPr="00135BE4">
        <w:rPr>
          <w:rFonts w:ascii="Times New Roman" w:hAnsi="Times New Roman" w:cs="Times New Roman"/>
          <w:i/>
          <w:iCs/>
          <w:color w:val="000000" w:themeColor="text1"/>
        </w:rPr>
        <w:t xml:space="preserve"> </w:t>
      </w:r>
      <w:r w:rsidRPr="00135BE4">
        <w:rPr>
          <w:rFonts w:ascii="Times New Roman" w:hAnsi="Times New Roman" w:cs="Times New Roman"/>
          <w:color w:val="000000" w:themeColor="text1"/>
        </w:rPr>
        <w:t xml:space="preserve">from Louisiana. Andrus </w:t>
      </w:r>
      <w:r>
        <w:rPr>
          <w:rFonts w:ascii="Times New Roman" w:hAnsi="Times New Roman" w:cs="Times New Roman"/>
          <w:color w:val="000000" w:themeColor="text1"/>
        </w:rPr>
        <w:t>&amp;</w:t>
      </w:r>
      <w:r w:rsidRPr="00135BE4">
        <w:rPr>
          <w:rFonts w:ascii="Times New Roman" w:hAnsi="Times New Roman" w:cs="Times New Roman"/>
          <w:color w:val="000000" w:themeColor="text1"/>
        </w:rPr>
        <w:t xml:space="preserve"> Crowe </w:t>
      </w:r>
      <w:r w:rsidR="00C94820">
        <w:rPr>
          <w:rFonts w:ascii="Times New Roman" w:hAnsi="Times New Roman" w:cs="Times New Roman"/>
          <w:color w:val="000000" w:themeColor="text1"/>
        </w:rPr>
        <w:t>[9]</w:t>
      </w:r>
      <w:r w:rsidRPr="00135BE4">
        <w:rPr>
          <w:rFonts w:ascii="Times New Roman" w:hAnsi="Times New Roman" w:cs="Times New Roman"/>
          <w:color w:val="000000" w:themeColor="text1"/>
        </w:rPr>
        <w:t xml:space="preserve"> reported that dark-colored bands of </w:t>
      </w:r>
      <w:r w:rsidRPr="00135BE4">
        <w:rPr>
          <w:rFonts w:ascii="Times New Roman" w:hAnsi="Times New Roman" w:cs="Times New Roman"/>
          <w:i/>
          <w:iCs/>
          <w:color w:val="000000" w:themeColor="text1"/>
        </w:rPr>
        <w:t xml:space="preserve">C. virginica </w:t>
      </w:r>
      <w:r w:rsidRPr="00135BE4">
        <w:rPr>
          <w:rFonts w:ascii="Times New Roman" w:hAnsi="Times New Roman" w:cs="Times New Roman"/>
          <w:color w:val="000000" w:themeColor="text1"/>
        </w:rPr>
        <w:t>shells from Georgia form during the colder months of the year as they tend to have relatively high δ</w:t>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vertAlign w:val="superscript"/>
        </w:rPr>
        <w:t>18</w:t>
      </w:r>
      <w:r w:rsidRPr="00135BE4">
        <w:rPr>
          <w:rFonts w:ascii="Times New Roman" w:hAnsi="Times New Roman" w:cs="Times New Roman"/>
          <w:color w:val="000000" w:themeColor="text1"/>
        </w:rPr>
        <w:t xml:space="preserve">O values compared to light-colored bands. </w:t>
      </w:r>
      <w:proofErr w:type="spellStart"/>
      <w:r w:rsidRPr="00135BE4">
        <w:rPr>
          <w:rFonts w:ascii="Times New Roman" w:hAnsi="Times New Roman" w:cs="Times New Roman"/>
          <w:color w:val="000000" w:themeColor="text1"/>
          <w:shd w:val="clear" w:color="auto" w:fill="FFFFFF"/>
        </w:rPr>
        <w:t>Zimmt</w:t>
      </w:r>
      <w:proofErr w:type="spellEnd"/>
      <w:r w:rsidRPr="00135BE4">
        <w:rPr>
          <w:rFonts w:ascii="Times New Roman" w:hAnsi="Times New Roman" w:cs="Times New Roman"/>
          <w:color w:val="000000" w:themeColor="text1"/>
          <w:shd w:val="clear" w:color="auto" w:fill="FFFFFF"/>
        </w:rPr>
        <w:t xml:space="preserve"> </w:t>
      </w:r>
      <w:r w:rsidRPr="00C94820">
        <w:rPr>
          <w:rFonts w:ascii="Times New Roman" w:hAnsi="Times New Roman" w:cs="Times New Roman"/>
          <w:i/>
          <w:iCs/>
          <w:color w:val="000000" w:themeColor="text1"/>
          <w:shd w:val="clear" w:color="auto" w:fill="FFFFFF"/>
        </w:rPr>
        <w:t>et al</w:t>
      </w:r>
      <w:r w:rsidRPr="00135BE4">
        <w:rPr>
          <w:rFonts w:ascii="Times New Roman" w:hAnsi="Times New Roman" w:cs="Times New Roman"/>
          <w:color w:val="000000" w:themeColor="text1"/>
          <w:shd w:val="clear" w:color="auto" w:fill="FFFFFF"/>
        </w:rPr>
        <w:t xml:space="preserve">. </w:t>
      </w:r>
      <w:r w:rsidR="00C94820">
        <w:rPr>
          <w:rFonts w:ascii="Times New Roman" w:hAnsi="Times New Roman" w:cs="Times New Roman"/>
          <w:color w:val="000000" w:themeColor="text1"/>
          <w:shd w:val="clear" w:color="auto" w:fill="FFFFFF"/>
        </w:rPr>
        <w:t>[10]</w:t>
      </w:r>
      <w:r w:rsidRPr="00135BE4">
        <w:rPr>
          <w:rFonts w:ascii="Times New Roman" w:hAnsi="Times New Roman" w:cs="Times New Roman"/>
          <w:color w:val="000000" w:themeColor="text1"/>
        </w:rPr>
        <w:t xml:space="preserve"> reached a similar conclusion based on a higher resolution sampling strategy (i.e., multiple samples per growth band) of modern and Pleistocene-aged </w:t>
      </w:r>
      <w:r w:rsidRPr="00135BE4">
        <w:rPr>
          <w:rFonts w:ascii="Times New Roman" w:hAnsi="Times New Roman" w:cs="Times New Roman"/>
          <w:i/>
          <w:iCs/>
          <w:color w:val="000000" w:themeColor="text1"/>
        </w:rPr>
        <w:t xml:space="preserve">C. virginica </w:t>
      </w:r>
      <w:r w:rsidRPr="00135BE4">
        <w:rPr>
          <w:rFonts w:ascii="Times New Roman" w:hAnsi="Times New Roman" w:cs="Times New Roman"/>
          <w:color w:val="000000" w:themeColor="text1"/>
        </w:rPr>
        <w:t>shells from Delaware and Virginia and further categorized bands into seasonally-accreted major bands, non-seasonal early bands, and non-seasonal disturbance bands. However,</w:t>
      </w:r>
      <w:r w:rsidRPr="00135BE4">
        <w:rPr>
          <w:rFonts w:ascii="Times New Roman" w:hAnsi="Times New Roman" w:cs="Times New Roman"/>
          <w:color w:val="000000" w:themeColor="text1"/>
          <w:shd w:val="clear" w:color="auto" w:fill="FFFFFF"/>
        </w:rPr>
        <w:t xml:space="preserve"> Surge </w:t>
      </w:r>
      <w:r w:rsidRPr="00C94820">
        <w:rPr>
          <w:rFonts w:ascii="Times New Roman" w:hAnsi="Times New Roman" w:cs="Times New Roman"/>
          <w:i/>
          <w:iCs/>
          <w:color w:val="000000" w:themeColor="text1"/>
          <w:shd w:val="clear" w:color="auto" w:fill="FFFFFF"/>
        </w:rPr>
        <w:t>et al</w:t>
      </w:r>
      <w:r w:rsidRPr="00135BE4">
        <w:rPr>
          <w:rFonts w:ascii="Times New Roman" w:hAnsi="Times New Roman" w:cs="Times New Roman"/>
          <w:color w:val="000000" w:themeColor="text1"/>
          <w:shd w:val="clear" w:color="auto" w:fill="FFFFFF"/>
        </w:rPr>
        <w:t xml:space="preserve">. </w:t>
      </w:r>
      <w:r w:rsidR="00C94820">
        <w:rPr>
          <w:rFonts w:ascii="Times New Roman" w:hAnsi="Times New Roman" w:cs="Times New Roman"/>
          <w:color w:val="000000" w:themeColor="text1"/>
          <w:shd w:val="clear" w:color="auto" w:fill="FFFFFF"/>
        </w:rPr>
        <w:t>[11]</w:t>
      </w:r>
      <w:r w:rsidRPr="00135BE4">
        <w:rPr>
          <w:rFonts w:ascii="Times New Roman" w:hAnsi="Times New Roman" w:cs="Times New Roman"/>
          <w:color w:val="000000" w:themeColor="text1"/>
          <w:shd w:val="clear" w:color="auto" w:fill="FFFFFF"/>
        </w:rPr>
        <w:t xml:space="preserve"> did not find any significant differences between δ</w:t>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vertAlign w:val="superscript"/>
        </w:rPr>
        <w:t>18</w:t>
      </w:r>
      <w:r w:rsidRPr="00135BE4">
        <w:rPr>
          <w:rFonts w:ascii="Times New Roman" w:hAnsi="Times New Roman" w:cs="Times New Roman"/>
          <w:color w:val="000000" w:themeColor="text1"/>
          <w:shd w:val="clear" w:color="auto" w:fill="FFFFFF"/>
        </w:rPr>
        <w:t xml:space="preserve">O values of </w:t>
      </w:r>
      <w:r w:rsidRPr="00135BE4">
        <w:rPr>
          <w:rFonts w:ascii="Times New Roman" w:hAnsi="Times New Roman" w:cs="Times New Roman"/>
          <w:color w:val="000000" w:themeColor="text1"/>
        </w:rPr>
        <w:t xml:space="preserve">dark and light bands of modern </w:t>
      </w:r>
      <w:r w:rsidRPr="00135BE4">
        <w:rPr>
          <w:rFonts w:ascii="Times New Roman" w:hAnsi="Times New Roman" w:cs="Times New Roman"/>
          <w:i/>
          <w:iCs/>
          <w:color w:val="000000" w:themeColor="text1"/>
        </w:rPr>
        <w:t xml:space="preserve">C. virginica </w:t>
      </w:r>
      <w:r w:rsidRPr="00135BE4">
        <w:rPr>
          <w:rFonts w:ascii="Times New Roman" w:hAnsi="Times New Roman" w:cs="Times New Roman"/>
          <w:color w:val="000000" w:themeColor="text1"/>
        </w:rPr>
        <w:t>shells from Florida.</w:t>
      </w:r>
    </w:p>
    <w:p w14:paraId="08D5037B" w14:textId="288D5FC1" w:rsidR="00477D1E" w:rsidRDefault="00477D1E" w:rsidP="00477D1E">
      <w:pPr>
        <w:ind w:firstLine="720"/>
        <w:rPr>
          <w:rFonts w:ascii="Times New Roman" w:hAnsi="Times New Roman" w:cs="Times New Roman"/>
          <w:color w:val="000000" w:themeColor="text1"/>
        </w:rPr>
      </w:pPr>
      <w:r w:rsidRPr="00135BE4">
        <w:rPr>
          <w:rFonts w:ascii="Times New Roman" w:hAnsi="Times New Roman" w:cs="Times New Roman"/>
          <w:color w:val="000000" w:themeColor="text1"/>
          <w:shd w:val="clear" w:color="auto" w:fill="FFFFFF"/>
        </w:rPr>
        <w:t>In our case, we did not identify any notable differences between δ</w:t>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vertAlign w:val="superscript"/>
        </w:rPr>
        <w:t>18</w:t>
      </w:r>
      <w:r w:rsidRPr="00135BE4">
        <w:rPr>
          <w:rFonts w:ascii="Times New Roman" w:hAnsi="Times New Roman" w:cs="Times New Roman"/>
          <w:color w:val="000000" w:themeColor="text1"/>
          <w:shd w:val="clear" w:color="auto" w:fill="FFFFFF"/>
        </w:rPr>
        <w:t xml:space="preserve">O values of dark and light bands </w:t>
      </w:r>
      <w:r w:rsidRPr="00135BE4">
        <w:rPr>
          <w:rFonts w:ascii="Times New Roman" w:hAnsi="Times New Roman" w:cs="Times New Roman"/>
          <w:color w:val="000000" w:themeColor="text1"/>
        </w:rPr>
        <w:t xml:space="preserve">nor recognize major growth bands. </w:t>
      </w:r>
      <w:r w:rsidRPr="00135BE4">
        <w:rPr>
          <w:rFonts w:ascii="Times New Roman" w:hAnsi="Times New Roman" w:cs="Times New Roman"/>
          <w:color w:val="000000" w:themeColor="text1"/>
          <w:shd w:val="clear" w:color="auto" w:fill="FFFFFF"/>
        </w:rPr>
        <w:t xml:space="preserve">Furthermore, similar to both Surge </w:t>
      </w:r>
      <w:r w:rsidRPr="00C94820">
        <w:rPr>
          <w:rFonts w:ascii="Times New Roman" w:hAnsi="Times New Roman" w:cs="Times New Roman"/>
          <w:i/>
          <w:iCs/>
          <w:color w:val="000000" w:themeColor="text1"/>
          <w:shd w:val="clear" w:color="auto" w:fill="FFFFFF"/>
        </w:rPr>
        <w:t>et al</w:t>
      </w:r>
      <w:r w:rsidRPr="00135BE4">
        <w:rPr>
          <w:rFonts w:ascii="Times New Roman" w:hAnsi="Times New Roman" w:cs="Times New Roman"/>
          <w:color w:val="000000" w:themeColor="text1"/>
          <w:shd w:val="clear" w:color="auto" w:fill="FFFFFF"/>
        </w:rPr>
        <w:t xml:space="preserve">. </w:t>
      </w:r>
      <w:r w:rsidR="00C94820">
        <w:rPr>
          <w:rFonts w:ascii="Times New Roman" w:hAnsi="Times New Roman" w:cs="Times New Roman"/>
          <w:color w:val="000000" w:themeColor="text1"/>
          <w:shd w:val="clear" w:color="auto" w:fill="FFFFFF"/>
        </w:rPr>
        <w:t>[11]</w:t>
      </w:r>
      <w:r w:rsidRPr="00135BE4">
        <w:rPr>
          <w:rFonts w:ascii="Times New Roman" w:hAnsi="Times New Roman" w:cs="Times New Roman"/>
          <w:color w:val="000000" w:themeColor="text1"/>
          <w:shd w:val="clear" w:color="auto" w:fill="FFFFFF"/>
        </w:rPr>
        <w:t xml:space="preserve"> and </w:t>
      </w:r>
      <w:proofErr w:type="spellStart"/>
      <w:r w:rsidRPr="00135BE4">
        <w:rPr>
          <w:rFonts w:ascii="Times New Roman" w:hAnsi="Times New Roman" w:cs="Times New Roman"/>
          <w:color w:val="000000" w:themeColor="text1"/>
          <w:shd w:val="clear" w:color="auto" w:fill="FFFFFF"/>
        </w:rPr>
        <w:t>Zimmt</w:t>
      </w:r>
      <w:proofErr w:type="spellEnd"/>
      <w:r w:rsidRPr="00135BE4">
        <w:rPr>
          <w:rFonts w:ascii="Times New Roman" w:hAnsi="Times New Roman" w:cs="Times New Roman"/>
          <w:color w:val="000000" w:themeColor="text1"/>
          <w:shd w:val="clear" w:color="auto" w:fill="FFFFFF"/>
        </w:rPr>
        <w:t xml:space="preserve"> </w:t>
      </w:r>
      <w:r w:rsidRPr="00C94820">
        <w:rPr>
          <w:rFonts w:ascii="Times New Roman" w:hAnsi="Times New Roman" w:cs="Times New Roman"/>
          <w:i/>
          <w:iCs/>
          <w:color w:val="000000" w:themeColor="text1"/>
          <w:shd w:val="clear" w:color="auto" w:fill="FFFFFF"/>
        </w:rPr>
        <w:t>et al</w:t>
      </w:r>
      <w:r w:rsidRPr="00135BE4">
        <w:rPr>
          <w:rFonts w:ascii="Times New Roman" w:hAnsi="Times New Roman" w:cs="Times New Roman"/>
          <w:color w:val="000000" w:themeColor="text1"/>
          <w:shd w:val="clear" w:color="auto" w:fill="FFFFFF"/>
        </w:rPr>
        <w:t xml:space="preserve">. </w:t>
      </w:r>
      <w:r w:rsidR="00C94820">
        <w:rPr>
          <w:rFonts w:ascii="Times New Roman" w:hAnsi="Times New Roman" w:cs="Times New Roman"/>
          <w:color w:val="000000" w:themeColor="text1"/>
          <w:shd w:val="clear" w:color="auto" w:fill="FFFFFF"/>
        </w:rPr>
        <w:t>[10]</w:t>
      </w:r>
      <w:r w:rsidRPr="00135BE4">
        <w:rPr>
          <w:rFonts w:ascii="Times New Roman" w:hAnsi="Times New Roman" w:cs="Times New Roman"/>
          <w:color w:val="000000" w:themeColor="text1"/>
          <w:shd w:val="clear" w:color="auto" w:fill="FFFFFF"/>
        </w:rPr>
        <w:t>, we did not identify major undulations (i.e., concave bottoms and convex tops) on the surface of our samples that can be traced to a pattern of δ</w:t>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rPr>
        <w:softHyphen/>
      </w:r>
      <w:r w:rsidRPr="00135BE4">
        <w:rPr>
          <w:rFonts w:ascii="Times New Roman" w:hAnsi="Times New Roman" w:cs="Times New Roman"/>
          <w:color w:val="000000" w:themeColor="text1"/>
          <w:shd w:val="clear" w:color="auto" w:fill="FFFFFF"/>
          <w:vertAlign w:val="superscript"/>
        </w:rPr>
        <w:t>18</w:t>
      </w:r>
      <w:r w:rsidRPr="00135BE4">
        <w:rPr>
          <w:rFonts w:ascii="Times New Roman" w:hAnsi="Times New Roman" w:cs="Times New Roman"/>
          <w:color w:val="000000" w:themeColor="text1"/>
          <w:shd w:val="clear" w:color="auto" w:fill="FFFFFF"/>
        </w:rPr>
        <w:t xml:space="preserve">O maxima or minima. </w:t>
      </w:r>
      <w:r w:rsidRPr="00135BE4">
        <w:rPr>
          <w:rFonts w:ascii="Times New Roman" w:hAnsi="Times New Roman" w:cs="Times New Roman"/>
          <w:color w:val="000000" w:themeColor="text1"/>
        </w:rPr>
        <w:t xml:space="preserve">Differences in the findings of the previous studies, including ours, could be due to differences in latitudes and seasonal variability in water temperature at the sampling localities as well as the complex morphology of early growth, which can make it harder to distinguish between different bands </w:t>
      </w:r>
      <w:r w:rsidR="00C94820">
        <w:rPr>
          <w:rFonts w:ascii="Times New Roman" w:hAnsi="Times New Roman" w:cs="Times New Roman"/>
          <w:color w:val="000000" w:themeColor="text1"/>
        </w:rPr>
        <w:t>[10]</w:t>
      </w:r>
      <w:r w:rsidRPr="00135BE4">
        <w:rPr>
          <w:rFonts w:ascii="Times New Roman" w:hAnsi="Times New Roman" w:cs="Times New Roman"/>
          <w:color w:val="000000" w:themeColor="text1"/>
          <w:shd w:val="clear" w:color="auto" w:fill="FFFFFF"/>
        </w:rPr>
        <w:t xml:space="preserve">. Furthermore, differences in the life span of analyzed oysters and the sampling resolution were also shown to affect how the </w:t>
      </w:r>
      <w:r w:rsidRPr="00135BE4">
        <w:rPr>
          <w:rFonts w:ascii="Times New Roman" w:hAnsi="Times New Roman" w:cs="Times New Roman"/>
          <w:color w:val="000000" w:themeColor="text1"/>
        </w:rPr>
        <w:t>relationship between δ</w:t>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rPr>
        <w:softHyphen/>
      </w:r>
      <w:r w:rsidRPr="00135BE4">
        <w:rPr>
          <w:rFonts w:ascii="Times New Roman" w:hAnsi="Times New Roman" w:cs="Times New Roman"/>
          <w:color w:val="000000" w:themeColor="text1"/>
          <w:vertAlign w:val="superscript"/>
        </w:rPr>
        <w:t>18</w:t>
      </w:r>
      <w:r w:rsidRPr="00135BE4">
        <w:rPr>
          <w:rFonts w:ascii="Times New Roman" w:hAnsi="Times New Roman" w:cs="Times New Roman"/>
          <w:color w:val="000000" w:themeColor="text1"/>
        </w:rPr>
        <w:t xml:space="preserve">O values and growth bands are interpreted </w:t>
      </w:r>
      <w:r w:rsidR="00C94820">
        <w:rPr>
          <w:rFonts w:ascii="Times New Roman" w:hAnsi="Times New Roman" w:cs="Times New Roman"/>
          <w:color w:val="000000" w:themeColor="text1"/>
        </w:rPr>
        <w:t>[10]</w:t>
      </w:r>
      <w:r w:rsidRPr="00135BE4">
        <w:rPr>
          <w:rFonts w:ascii="Times New Roman" w:hAnsi="Times New Roman" w:cs="Times New Roman"/>
          <w:color w:val="000000" w:themeColor="text1"/>
        </w:rPr>
        <w:t>.</w:t>
      </w:r>
    </w:p>
    <w:p w14:paraId="4C9F8DFD" w14:textId="2016FAE1" w:rsidR="00477D1E" w:rsidRDefault="00477D1E" w:rsidP="00477D1E">
      <w:pPr>
        <w:ind w:firstLine="720"/>
        <w:rPr>
          <w:rFonts w:ascii="Times New Roman" w:hAnsi="Times New Roman" w:cs="Times New Roman"/>
          <w:color w:val="000000" w:themeColor="text1"/>
        </w:rPr>
      </w:pPr>
    </w:p>
    <w:p w14:paraId="2CA346A8" w14:textId="0EDA685C" w:rsidR="00477D1E" w:rsidRDefault="00477D1E" w:rsidP="00477D1E">
      <w:pPr>
        <w:ind w:firstLine="720"/>
        <w:rPr>
          <w:rFonts w:ascii="Times New Roman" w:hAnsi="Times New Roman" w:cs="Times New Roman"/>
          <w:color w:val="000000" w:themeColor="text1"/>
        </w:rPr>
      </w:pPr>
    </w:p>
    <w:p w14:paraId="6BE25647" w14:textId="6514DF39" w:rsidR="00477D1E" w:rsidRDefault="00477D1E" w:rsidP="00477D1E">
      <w:pPr>
        <w:ind w:firstLine="720"/>
        <w:rPr>
          <w:rFonts w:ascii="Times New Roman" w:hAnsi="Times New Roman" w:cs="Times New Roman"/>
          <w:color w:val="000000" w:themeColor="text1"/>
        </w:rPr>
      </w:pPr>
    </w:p>
    <w:p w14:paraId="6CC46A3E" w14:textId="462CB2E0" w:rsidR="00477D1E" w:rsidRDefault="00477D1E" w:rsidP="00477D1E">
      <w:pPr>
        <w:ind w:firstLine="720"/>
        <w:rPr>
          <w:rFonts w:ascii="Times New Roman" w:hAnsi="Times New Roman" w:cs="Times New Roman"/>
          <w:color w:val="000000" w:themeColor="text1"/>
        </w:rPr>
      </w:pPr>
    </w:p>
    <w:p w14:paraId="3BD71A03" w14:textId="460DA860" w:rsidR="00477D1E" w:rsidRDefault="00477D1E" w:rsidP="00477D1E">
      <w:pPr>
        <w:ind w:firstLine="720"/>
        <w:rPr>
          <w:rFonts w:ascii="Times New Roman" w:hAnsi="Times New Roman" w:cs="Times New Roman"/>
          <w:color w:val="000000" w:themeColor="text1"/>
        </w:rPr>
      </w:pPr>
    </w:p>
    <w:p w14:paraId="15014910" w14:textId="6D5CAAA6" w:rsidR="00477D1E" w:rsidRDefault="00477D1E" w:rsidP="00477D1E">
      <w:pPr>
        <w:ind w:firstLine="720"/>
        <w:rPr>
          <w:rFonts w:ascii="Times New Roman" w:hAnsi="Times New Roman" w:cs="Times New Roman"/>
          <w:color w:val="000000" w:themeColor="text1"/>
        </w:rPr>
      </w:pPr>
    </w:p>
    <w:p w14:paraId="170B9938" w14:textId="3301B703" w:rsidR="00477D1E" w:rsidRDefault="00477D1E" w:rsidP="00477D1E">
      <w:pPr>
        <w:ind w:firstLine="720"/>
        <w:rPr>
          <w:rFonts w:ascii="Times New Roman" w:hAnsi="Times New Roman" w:cs="Times New Roman"/>
          <w:color w:val="000000" w:themeColor="text1"/>
        </w:rPr>
      </w:pPr>
    </w:p>
    <w:p w14:paraId="63D6B45F" w14:textId="3ED288E3" w:rsidR="00477D1E" w:rsidRDefault="00477D1E" w:rsidP="00477D1E">
      <w:pPr>
        <w:ind w:firstLine="720"/>
        <w:rPr>
          <w:rFonts w:ascii="Times New Roman" w:hAnsi="Times New Roman" w:cs="Times New Roman"/>
          <w:color w:val="000000" w:themeColor="text1"/>
        </w:rPr>
      </w:pPr>
    </w:p>
    <w:p w14:paraId="2DDA4748" w14:textId="29ED4E54" w:rsidR="00477D1E" w:rsidRDefault="00477D1E" w:rsidP="00477D1E">
      <w:pPr>
        <w:ind w:firstLine="720"/>
        <w:rPr>
          <w:rFonts w:ascii="Times New Roman" w:hAnsi="Times New Roman" w:cs="Times New Roman"/>
          <w:color w:val="000000" w:themeColor="text1"/>
        </w:rPr>
      </w:pPr>
    </w:p>
    <w:p w14:paraId="0FE2B6B3" w14:textId="07879DC3" w:rsidR="00477D1E" w:rsidRDefault="00477D1E" w:rsidP="00477D1E">
      <w:pPr>
        <w:ind w:firstLine="720"/>
        <w:rPr>
          <w:rFonts w:ascii="Times New Roman" w:hAnsi="Times New Roman" w:cs="Times New Roman"/>
          <w:color w:val="000000" w:themeColor="text1"/>
        </w:rPr>
      </w:pPr>
    </w:p>
    <w:p w14:paraId="78BC062C" w14:textId="6045B8FF" w:rsidR="00477D1E" w:rsidRDefault="00477D1E" w:rsidP="00477D1E">
      <w:pPr>
        <w:ind w:firstLine="720"/>
        <w:rPr>
          <w:rFonts w:ascii="Times New Roman" w:hAnsi="Times New Roman" w:cs="Times New Roman"/>
          <w:color w:val="000000" w:themeColor="text1"/>
        </w:rPr>
      </w:pPr>
    </w:p>
    <w:p w14:paraId="5FE145DE" w14:textId="77777777" w:rsidR="005F5CAB" w:rsidRDefault="005F5CAB" w:rsidP="00477D1E">
      <w:pPr>
        <w:pStyle w:val="Normal1"/>
        <w:rPr>
          <w:b/>
        </w:rPr>
      </w:pPr>
    </w:p>
    <w:p w14:paraId="4AD6FD64" w14:textId="22D1A630" w:rsidR="00477D1E" w:rsidRDefault="00477D1E" w:rsidP="00477D1E">
      <w:pPr>
        <w:pStyle w:val="Normal1"/>
        <w:rPr>
          <w:b/>
        </w:rPr>
      </w:pPr>
      <w:r w:rsidRPr="005A5650">
        <w:rPr>
          <w:b/>
        </w:rPr>
        <w:lastRenderedPageBreak/>
        <w:t>Appendix S</w:t>
      </w:r>
      <w:r w:rsidR="00824C91">
        <w:rPr>
          <w:b/>
        </w:rPr>
        <w:t>5</w:t>
      </w:r>
    </w:p>
    <w:p w14:paraId="34C3B02F" w14:textId="6F157FD9" w:rsidR="00477D1E" w:rsidRPr="005107B9" w:rsidRDefault="00F2063E" w:rsidP="00477D1E">
      <w:pPr>
        <w:rPr>
          <w:rFonts w:ascii="Times New Roman" w:hAnsi="Times New Roman" w:cs="Times New Roman"/>
          <w:b/>
        </w:rPr>
      </w:pPr>
      <w:r>
        <w:rPr>
          <w:rFonts w:ascii="Times New Roman" w:hAnsi="Times New Roman" w:cs="Times New Roman"/>
          <w:b/>
          <w:noProof/>
        </w:rPr>
        <w:drawing>
          <wp:inline distT="0" distB="0" distL="0" distR="0" wp14:anchorId="26D6AB09" wp14:editId="37F03E93">
            <wp:extent cx="4063042" cy="2806878"/>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endix_FigureS4.tiff"/>
                    <pic:cNvPicPr/>
                  </pic:nvPicPr>
                  <pic:blipFill>
                    <a:blip r:embed="rId10">
                      <a:extLst>
                        <a:ext uri="{28A0092B-C50C-407E-A947-70E740481C1C}">
                          <a14:useLocalDpi xmlns:a14="http://schemas.microsoft.com/office/drawing/2010/main"/>
                        </a:ext>
                      </a:extLst>
                    </a:blip>
                    <a:stretch>
                      <a:fillRect/>
                    </a:stretch>
                  </pic:blipFill>
                  <pic:spPr>
                    <a:xfrm>
                      <a:off x="0" y="0"/>
                      <a:ext cx="4069409" cy="2811277"/>
                    </a:xfrm>
                    <a:prstGeom prst="rect">
                      <a:avLst/>
                    </a:prstGeom>
                  </pic:spPr>
                </pic:pic>
              </a:graphicData>
            </a:graphic>
          </wp:inline>
        </w:drawing>
      </w:r>
    </w:p>
    <w:p w14:paraId="524AC028" w14:textId="310438C8" w:rsidR="00477D1E" w:rsidRDefault="00477D1E" w:rsidP="00477D1E">
      <w:pPr>
        <w:pStyle w:val="Normal1"/>
      </w:pPr>
      <w:r w:rsidRPr="00037D13">
        <w:rPr>
          <w:b/>
        </w:rPr>
        <w:t>Figure S</w:t>
      </w:r>
      <w:r w:rsidR="00824C91">
        <w:rPr>
          <w:b/>
        </w:rPr>
        <w:t>5</w:t>
      </w:r>
      <w:r>
        <w:t xml:space="preserve">. </w:t>
      </w:r>
      <w:r>
        <w:rPr>
          <w:noProof/>
        </w:rPr>
        <w:t xml:space="preserve">Box and whisker plots of </w:t>
      </w:r>
      <w:r>
        <w:t xml:space="preserve">modern </w:t>
      </w:r>
      <w:r>
        <w:rPr>
          <w:noProof/>
        </w:rPr>
        <w:t>oyster shell height measurements from the Crystal River, Florida estuary</w:t>
      </w:r>
      <w:r>
        <w:t>. Live oysters were sampled from nine reefs within the river (</w:t>
      </w:r>
      <w:r>
        <w:rPr>
          <w:i/>
        </w:rPr>
        <w:t>n</w:t>
      </w:r>
      <w:r w:rsidR="00B40DD3">
        <w:rPr>
          <w:i/>
        </w:rPr>
        <w:t xml:space="preserve"> </w:t>
      </w:r>
      <w:r>
        <w:t>=</w:t>
      </w:r>
      <w:r w:rsidR="00B40DD3">
        <w:t xml:space="preserve"> </w:t>
      </w:r>
      <w:r>
        <w:t>1772), six inshore (</w:t>
      </w:r>
      <w:r>
        <w:rPr>
          <w:i/>
        </w:rPr>
        <w:t>n</w:t>
      </w:r>
      <w:r w:rsidR="00B40DD3">
        <w:rPr>
          <w:i/>
        </w:rPr>
        <w:t xml:space="preserve"> </w:t>
      </w:r>
      <w:r>
        <w:t>=</w:t>
      </w:r>
      <w:r w:rsidR="00B40DD3">
        <w:t xml:space="preserve"> </w:t>
      </w:r>
      <w:r>
        <w:t>1419), and six offshore (</w:t>
      </w:r>
      <w:r>
        <w:rPr>
          <w:i/>
        </w:rPr>
        <w:t>n</w:t>
      </w:r>
      <w:r w:rsidR="00B40DD3">
        <w:rPr>
          <w:i/>
        </w:rPr>
        <w:t xml:space="preserve"> </w:t>
      </w:r>
      <w:r>
        <w:t>=</w:t>
      </w:r>
      <w:r w:rsidR="00B40DD3">
        <w:t xml:space="preserve"> </w:t>
      </w:r>
      <w:r>
        <w:t xml:space="preserve">1019), spanning the range of available growing conditions (see Appendix S1). </w:t>
      </w:r>
      <w:r>
        <w:rPr>
          <w:noProof/>
        </w:rPr>
        <w:t>Box and whisker plots show the median (central line), mean (cross), first and third quartiles (box), as well as 1.5× the interquartile range (whiskers). Circles are measurements within 3× the interquartile range of the median.</w:t>
      </w:r>
    </w:p>
    <w:p w14:paraId="6CD5381F" w14:textId="77777777" w:rsidR="00477D1E" w:rsidRDefault="00477D1E" w:rsidP="00477D1E">
      <w:pPr>
        <w:ind w:firstLine="720"/>
        <w:rPr>
          <w:rFonts w:ascii="Times New Roman" w:hAnsi="Times New Roman" w:cs="Times New Roman"/>
          <w:color w:val="000000" w:themeColor="text1"/>
        </w:rPr>
      </w:pPr>
    </w:p>
    <w:p w14:paraId="6EF33868" w14:textId="77777777" w:rsidR="00477D1E" w:rsidRDefault="00477D1E" w:rsidP="00477D1E">
      <w:pPr>
        <w:rPr>
          <w:rFonts w:ascii="Times New Roman" w:hAnsi="Times New Roman" w:cs="Times New Roman"/>
          <w:color w:val="000000" w:themeColor="text1"/>
        </w:rPr>
      </w:pPr>
    </w:p>
    <w:p w14:paraId="48AFC969" w14:textId="77777777" w:rsidR="00477D1E" w:rsidRDefault="00477D1E" w:rsidP="00477D1E">
      <w:pPr>
        <w:rPr>
          <w:rFonts w:ascii="Times New Roman" w:hAnsi="Times New Roman" w:cs="Times New Roman"/>
          <w:b/>
          <w:color w:val="000000" w:themeColor="text1"/>
        </w:rPr>
      </w:pPr>
    </w:p>
    <w:p w14:paraId="039261EC" w14:textId="77777777" w:rsidR="00477D1E" w:rsidRDefault="00477D1E" w:rsidP="00477D1E">
      <w:pPr>
        <w:rPr>
          <w:rFonts w:ascii="Times New Roman" w:hAnsi="Times New Roman" w:cs="Times New Roman"/>
          <w:b/>
          <w:color w:val="000000" w:themeColor="text1"/>
        </w:rPr>
      </w:pPr>
    </w:p>
    <w:p w14:paraId="0B33A421" w14:textId="77777777" w:rsidR="00B40DD3" w:rsidRDefault="00B40DD3" w:rsidP="006B38F9">
      <w:pPr>
        <w:pStyle w:val="Normal1"/>
        <w:rPr>
          <w:b/>
        </w:rPr>
      </w:pPr>
    </w:p>
    <w:p w14:paraId="6A68EEF0" w14:textId="77777777" w:rsidR="005F5CAB" w:rsidRDefault="005F5CAB" w:rsidP="006B38F9">
      <w:pPr>
        <w:pStyle w:val="Normal1"/>
        <w:rPr>
          <w:b/>
        </w:rPr>
      </w:pPr>
    </w:p>
    <w:p w14:paraId="51DFDE18" w14:textId="77777777" w:rsidR="005F5CAB" w:rsidRDefault="005F5CAB" w:rsidP="006B38F9">
      <w:pPr>
        <w:pStyle w:val="Normal1"/>
        <w:rPr>
          <w:b/>
        </w:rPr>
      </w:pPr>
    </w:p>
    <w:p w14:paraId="1143082E" w14:textId="77777777" w:rsidR="005F5CAB" w:rsidRDefault="005F5CAB" w:rsidP="006B38F9">
      <w:pPr>
        <w:pStyle w:val="Normal1"/>
        <w:rPr>
          <w:b/>
        </w:rPr>
      </w:pPr>
    </w:p>
    <w:p w14:paraId="5ACA5470" w14:textId="77777777" w:rsidR="005F5CAB" w:rsidRDefault="005F5CAB" w:rsidP="006B38F9">
      <w:pPr>
        <w:pStyle w:val="Normal1"/>
        <w:rPr>
          <w:b/>
        </w:rPr>
      </w:pPr>
    </w:p>
    <w:p w14:paraId="3204415E" w14:textId="77777777" w:rsidR="005F5CAB" w:rsidRDefault="005F5CAB" w:rsidP="006B38F9">
      <w:pPr>
        <w:pStyle w:val="Normal1"/>
        <w:rPr>
          <w:b/>
        </w:rPr>
      </w:pPr>
    </w:p>
    <w:p w14:paraId="5B67DBFA" w14:textId="77777777" w:rsidR="005F5CAB" w:rsidRDefault="005F5CAB" w:rsidP="006B38F9">
      <w:pPr>
        <w:pStyle w:val="Normal1"/>
        <w:rPr>
          <w:b/>
        </w:rPr>
      </w:pPr>
    </w:p>
    <w:p w14:paraId="15E1099E" w14:textId="684C8A70" w:rsidR="006B38F9" w:rsidRDefault="00B40DD3" w:rsidP="006B38F9">
      <w:pPr>
        <w:pStyle w:val="Normal1"/>
        <w:rPr>
          <w:b/>
        </w:rPr>
      </w:pPr>
      <w:bookmarkStart w:id="0" w:name="_GoBack"/>
      <w:bookmarkEnd w:id="0"/>
      <w:r>
        <w:rPr>
          <w:b/>
        </w:rPr>
        <w:lastRenderedPageBreak/>
        <w:t xml:space="preserve">Supplemental References </w:t>
      </w:r>
    </w:p>
    <w:p w14:paraId="15FF72F0" w14:textId="77777777" w:rsidR="00B40DD3" w:rsidRDefault="00B40DD3" w:rsidP="006B38F9">
      <w:pPr>
        <w:pStyle w:val="Normal1"/>
        <w:rPr>
          <w:b/>
        </w:rPr>
      </w:pPr>
    </w:p>
    <w:p w14:paraId="52BB0F78" w14:textId="05BC36A5" w:rsidR="00D434FF" w:rsidRDefault="00D434FF" w:rsidP="00E535F0">
      <w:pPr>
        <w:pStyle w:val="Normal1"/>
        <w:numPr>
          <w:ilvl w:val="0"/>
          <w:numId w:val="2"/>
        </w:numPr>
      </w:pPr>
      <w:r w:rsidRPr="009B599D">
        <w:t>Hine</w:t>
      </w:r>
      <w:r>
        <w:t xml:space="preserve"> </w:t>
      </w:r>
      <w:r w:rsidRPr="009B599D">
        <w:t>AC, Belknap</w:t>
      </w:r>
      <w:r>
        <w:t xml:space="preserve"> </w:t>
      </w:r>
      <w:r w:rsidRPr="009B599D">
        <w:t>DF, Hutton</w:t>
      </w:r>
      <w:r>
        <w:t xml:space="preserve"> </w:t>
      </w:r>
      <w:r w:rsidRPr="009B599D">
        <w:t xml:space="preserve">JG, </w:t>
      </w:r>
      <w:proofErr w:type="spellStart"/>
      <w:r w:rsidRPr="009B599D">
        <w:t>Osking</w:t>
      </w:r>
      <w:proofErr w:type="spellEnd"/>
      <w:r>
        <w:t xml:space="preserve"> </w:t>
      </w:r>
      <w:r w:rsidRPr="009B599D">
        <w:t>EB, Evans</w:t>
      </w:r>
      <w:r>
        <w:t xml:space="preserve"> MW</w:t>
      </w:r>
      <w:r w:rsidRPr="009B599D">
        <w:t>.</w:t>
      </w:r>
      <w:r>
        <w:t xml:space="preserve"> 1988.</w:t>
      </w:r>
      <w:r w:rsidRPr="009B599D">
        <w:t xml:space="preserve"> Recent geological history and modern sedimentary processes along an incipient, low-energy, epicontinental-sea coastline: Northwest Florida. </w:t>
      </w:r>
      <w:r w:rsidRPr="00E535F0">
        <w:rPr>
          <w:i/>
          <w:iCs/>
        </w:rPr>
        <w:t>J</w:t>
      </w:r>
      <w:r w:rsidR="00E535F0" w:rsidRPr="00E535F0">
        <w:rPr>
          <w:i/>
          <w:iCs/>
        </w:rPr>
        <w:t>.</w:t>
      </w:r>
      <w:r w:rsidRPr="00E535F0">
        <w:rPr>
          <w:i/>
          <w:iCs/>
        </w:rPr>
        <w:t xml:space="preserve"> Sedimen</w:t>
      </w:r>
      <w:r w:rsidR="00E535F0" w:rsidRPr="00E535F0">
        <w:rPr>
          <w:i/>
          <w:iCs/>
        </w:rPr>
        <w:t xml:space="preserve">t </w:t>
      </w:r>
      <w:r w:rsidRPr="00E535F0">
        <w:rPr>
          <w:i/>
          <w:iCs/>
        </w:rPr>
        <w:t>Petrol</w:t>
      </w:r>
      <w:r w:rsidR="00D866F8">
        <w:rPr>
          <w:i/>
          <w:iCs/>
        </w:rPr>
        <w:t>.</w:t>
      </w:r>
      <w:r w:rsidR="00E535F0">
        <w:rPr>
          <w:i/>
          <w:iCs/>
        </w:rPr>
        <w:t xml:space="preserve"> </w:t>
      </w:r>
      <w:r w:rsidRPr="004C6F85">
        <w:rPr>
          <w:b/>
        </w:rPr>
        <w:t>58</w:t>
      </w:r>
      <w:r w:rsidR="00E535F0">
        <w:t>,</w:t>
      </w:r>
      <w:r w:rsidRPr="009B599D">
        <w:t>567</w:t>
      </w:r>
      <w:r w:rsidR="00E535F0">
        <w:t>0-</w:t>
      </w:r>
      <w:r w:rsidRPr="009B599D">
        <w:t>576.</w:t>
      </w:r>
      <w:r w:rsidR="00E535F0">
        <w:t xml:space="preserve"> (doi:</w:t>
      </w:r>
      <w:r w:rsidR="00E535F0" w:rsidRPr="00E535F0">
        <w:t>10.1306/212F8DF5-2B24-11D7-8648000102C1865D</w:t>
      </w:r>
      <w:r w:rsidR="00E535F0">
        <w:t>)</w:t>
      </w:r>
    </w:p>
    <w:p w14:paraId="4F3635DE" w14:textId="6E9E33AD" w:rsidR="00E535F0" w:rsidRDefault="00E535F0" w:rsidP="00E535F0">
      <w:pPr>
        <w:pStyle w:val="Normal1"/>
        <w:numPr>
          <w:ilvl w:val="0"/>
          <w:numId w:val="2"/>
        </w:numPr>
      </w:pPr>
      <w:r w:rsidRPr="009B599D">
        <w:t>Grinnell</w:t>
      </w:r>
      <w:r>
        <w:t xml:space="preserve"> RS</w:t>
      </w:r>
      <w:r w:rsidRPr="009B599D">
        <w:t>.</w:t>
      </w:r>
      <w:r>
        <w:t xml:space="preserve"> 1971.</w:t>
      </w:r>
      <w:r w:rsidRPr="009B599D">
        <w:t xml:space="preserve"> Structure and development of oyster reefs on the Suwannee River delta, Florida</w:t>
      </w:r>
      <w:r>
        <w:t xml:space="preserve">. </w:t>
      </w:r>
      <w:r w:rsidRPr="009B599D">
        <w:t>PhD. SUNY, Binghamton, NY, USA.</w:t>
      </w:r>
    </w:p>
    <w:p w14:paraId="6DD9FAF5" w14:textId="20891A7B" w:rsidR="00E535F0" w:rsidRDefault="00E535F0" w:rsidP="00E535F0">
      <w:pPr>
        <w:pStyle w:val="Normal1"/>
        <w:numPr>
          <w:ilvl w:val="0"/>
          <w:numId w:val="2"/>
        </w:numPr>
      </w:pPr>
      <w:r w:rsidRPr="009B599D">
        <w:t>Wright</w:t>
      </w:r>
      <w:r>
        <w:t xml:space="preserve"> </w:t>
      </w:r>
      <w:r w:rsidRPr="009B599D">
        <w:t>EE, Hine</w:t>
      </w:r>
      <w:r>
        <w:t xml:space="preserve"> </w:t>
      </w:r>
      <w:r w:rsidRPr="009B599D">
        <w:t xml:space="preserve">AC, </w:t>
      </w:r>
      <w:proofErr w:type="spellStart"/>
      <w:r w:rsidRPr="009B599D">
        <w:t>Goodbred</w:t>
      </w:r>
      <w:proofErr w:type="spellEnd"/>
      <w:r>
        <w:t xml:space="preserve"> </w:t>
      </w:r>
      <w:r w:rsidRPr="009B599D">
        <w:t>SL,</w:t>
      </w:r>
      <w:r>
        <w:t xml:space="preserve"> </w:t>
      </w:r>
      <w:r w:rsidRPr="009B599D">
        <w:t>Locker</w:t>
      </w:r>
      <w:r>
        <w:t xml:space="preserve"> SD</w:t>
      </w:r>
      <w:r w:rsidRPr="009B599D">
        <w:t>.</w:t>
      </w:r>
      <w:r>
        <w:t xml:space="preserve"> 2005. T</w:t>
      </w:r>
      <w:r w:rsidRPr="009B599D">
        <w:t xml:space="preserve">he effect of sea-level and climate change on the development of a mixed siliciclastic-carbonate, deltaic coastline: Suwannee River, Florida, U.S.A. </w:t>
      </w:r>
      <w:r w:rsidRPr="00E535F0">
        <w:rPr>
          <w:i/>
          <w:iCs/>
        </w:rPr>
        <w:t>J. Sediment</w:t>
      </w:r>
      <w:r w:rsidR="00D866F8">
        <w:rPr>
          <w:i/>
          <w:iCs/>
        </w:rPr>
        <w:t>.</w:t>
      </w:r>
      <w:r w:rsidRPr="00E535F0">
        <w:rPr>
          <w:i/>
          <w:iCs/>
        </w:rPr>
        <w:t xml:space="preserve"> Res</w:t>
      </w:r>
      <w:r w:rsidR="00C3713C">
        <w:rPr>
          <w:i/>
          <w:iCs/>
        </w:rPr>
        <w:t>.</w:t>
      </w:r>
      <w:r>
        <w:t xml:space="preserve"> </w:t>
      </w:r>
      <w:r w:rsidRPr="009B599D">
        <w:rPr>
          <w:b/>
        </w:rPr>
        <w:t>75</w:t>
      </w:r>
      <w:r>
        <w:t>,</w:t>
      </w:r>
      <w:r w:rsidRPr="009B599D">
        <w:t>621-635.</w:t>
      </w:r>
      <w:r>
        <w:t xml:space="preserve"> (doi:</w:t>
      </w:r>
      <w:r w:rsidRPr="00E535F0">
        <w:t>10.2110/jsr.2005.051</w:t>
      </w:r>
      <w:r>
        <w:t>)</w:t>
      </w:r>
    </w:p>
    <w:p w14:paraId="58188BE5" w14:textId="77777777" w:rsidR="00E535F0" w:rsidRDefault="00E535F0" w:rsidP="00E535F0">
      <w:pPr>
        <w:pStyle w:val="Normal1"/>
        <w:numPr>
          <w:ilvl w:val="0"/>
          <w:numId w:val="2"/>
        </w:numPr>
      </w:pPr>
      <w:r w:rsidRPr="009B599D">
        <w:t>Dean J, Ellis</w:t>
      </w:r>
      <w:r>
        <w:t xml:space="preserve"> </w:t>
      </w:r>
      <w:r w:rsidRPr="009B599D">
        <w:t>GD, Martin</w:t>
      </w:r>
      <w:r>
        <w:t xml:space="preserve"> </w:t>
      </w:r>
      <w:r w:rsidRPr="009B599D">
        <w:t>R,</w:t>
      </w:r>
      <w:r>
        <w:t xml:space="preserve"> </w:t>
      </w:r>
      <w:r w:rsidRPr="009B599D">
        <w:t>Nash</w:t>
      </w:r>
      <w:r>
        <w:t xml:space="preserve"> K</w:t>
      </w:r>
      <w:r w:rsidRPr="009B599D">
        <w:t xml:space="preserve">. </w:t>
      </w:r>
      <w:r>
        <w:t xml:space="preserve">2004. </w:t>
      </w:r>
      <w:r w:rsidRPr="009B599D">
        <w:t>Archaeological reconnaissance of the South Withlacoochee tract, St. Martins Marsh Aquatic Preserve/Crystal River State Buffer Preserve, Citrus county, Florida. Gulf Archaeology Research Institute</w:t>
      </w:r>
      <w:r>
        <w:t>, Crystal River, Florida.</w:t>
      </w:r>
    </w:p>
    <w:p w14:paraId="6D7D8F5C" w14:textId="7DFE85A6" w:rsidR="0032586A" w:rsidRDefault="0032586A" w:rsidP="0032586A">
      <w:pPr>
        <w:pStyle w:val="Normal1"/>
        <w:numPr>
          <w:ilvl w:val="0"/>
          <w:numId w:val="2"/>
        </w:numPr>
      </w:pPr>
      <w:r w:rsidRPr="00CA7AA4">
        <w:rPr>
          <w:noProof/>
        </w:rPr>
        <w:t xml:space="preserve">Pluckhahn TJ, Thompson VD, Cherkinsky A. 2015 The temporality of shell-bearing landscapes at Crystal River, Florida. </w:t>
      </w:r>
      <w:r w:rsidRPr="008F1B7C">
        <w:rPr>
          <w:i/>
          <w:noProof/>
        </w:rPr>
        <w:t>J. Anthropol. Archaeol</w:t>
      </w:r>
      <w:r>
        <w:rPr>
          <w:i/>
          <w:noProof/>
        </w:rPr>
        <w:t>.</w:t>
      </w:r>
      <w:r w:rsidRPr="00CA7AA4">
        <w:rPr>
          <w:noProof/>
        </w:rPr>
        <w:t xml:space="preserve"> </w:t>
      </w:r>
      <w:r w:rsidRPr="00254795">
        <w:rPr>
          <w:b/>
          <w:bCs/>
          <w:noProof/>
        </w:rPr>
        <w:t>37</w:t>
      </w:r>
      <w:r>
        <w:rPr>
          <w:noProof/>
        </w:rPr>
        <w:t>,</w:t>
      </w:r>
      <w:r w:rsidRPr="00CA7AA4">
        <w:rPr>
          <w:noProof/>
        </w:rPr>
        <w:t>19–36</w:t>
      </w:r>
      <w:r>
        <w:rPr>
          <w:noProof/>
        </w:rPr>
        <w:t>. (doi:</w:t>
      </w:r>
      <w:r w:rsidRPr="008F1B7C">
        <w:rPr>
          <w:noProof/>
        </w:rPr>
        <w:t>10.1016/j.jaa.2014.10.004</w:t>
      </w:r>
      <w:r>
        <w:rPr>
          <w:noProof/>
        </w:rPr>
        <w:t>)</w:t>
      </w:r>
    </w:p>
    <w:p w14:paraId="33177172" w14:textId="0CED3B13" w:rsidR="0032586A" w:rsidRPr="0032586A" w:rsidRDefault="004C6F85" w:rsidP="0032586A">
      <w:pPr>
        <w:pStyle w:val="ListParagraph"/>
        <w:numPr>
          <w:ilvl w:val="0"/>
          <w:numId w:val="2"/>
        </w:numPr>
        <w:rPr>
          <w:rFonts w:ascii="Times New Roman" w:eastAsia="Times New Roman" w:hAnsi="Times New Roman" w:cs="Times New Roman"/>
        </w:rPr>
      </w:pPr>
      <w:proofErr w:type="spellStart"/>
      <w:r w:rsidRPr="0032586A">
        <w:rPr>
          <w:rFonts w:ascii="Times New Roman" w:hAnsi="Times New Roman" w:cs="Times New Roman"/>
        </w:rPr>
        <w:t>Pluckhahn</w:t>
      </w:r>
      <w:proofErr w:type="spellEnd"/>
      <w:r w:rsidR="0032586A" w:rsidRPr="0032586A">
        <w:rPr>
          <w:rFonts w:ascii="Times New Roman" w:hAnsi="Times New Roman" w:cs="Times New Roman"/>
        </w:rPr>
        <w:t xml:space="preserve"> </w:t>
      </w:r>
      <w:r w:rsidRPr="0032586A">
        <w:rPr>
          <w:rFonts w:ascii="Times New Roman" w:hAnsi="Times New Roman" w:cs="Times New Roman"/>
        </w:rPr>
        <w:t xml:space="preserve">TJ, Thompson VD, Weisman BR. 2010. Toward a new view of history and process at Crystal River (8CI1). </w:t>
      </w:r>
      <w:r w:rsidRPr="0032586A">
        <w:rPr>
          <w:rFonts w:ascii="Times New Roman" w:hAnsi="Times New Roman" w:cs="Times New Roman"/>
          <w:i/>
          <w:iCs/>
        </w:rPr>
        <w:t>Southeast</w:t>
      </w:r>
      <w:r w:rsidR="0032586A" w:rsidRPr="0032586A">
        <w:rPr>
          <w:rFonts w:ascii="Times New Roman" w:hAnsi="Times New Roman" w:cs="Times New Roman"/>
          <w:i/>
          <w:iCs/>
        </w:rPr>
        <w:t>.</w:t>
      </w:r>
      <w:r w:rsidRPr="0032586A">
        <w:rPr>
          <w:rFonts w:ascii="Times New Roman" w:hAnsi="Times New Roman" w:cs="Times New Roman"/>
          <w:i/>
          <w:iCs/>
        </w:rPr>
        <w:t xml:space="preserve"> </w:t>
      </w:r>
      <w:proofErr w:type="spellStart"/>
      <w:r w:rsidRPr="0032586A">
        <w:rPr>
          <w:rFonts w:ascii="Times New Roman" w:hAnsi="Times New Roman" w:cs="Times New Roman"/>
          <w:i/>
          <w:iCs/>
        </w:rPr>
        <w:t>Arch</w:t>
      </w:r>
      <w:r w:rsidR="0032586A" w:rsidRPr="0032586A">
        <w:rPr>
          <w:rFonts w:ascii="Times New Roman" w:hAnsi="Times New Roman" w:cs="Times New Roman"/>
          <w:i/>
          <w:iCs/>
        </w:rPr>
        <w:t>aeol</w:t>
      </w:r>
      <w:proofErr w:type="spellEnd"/>
      <w:r w:rsidR="0032586A" w:rsidRPr="0032586A">
        <w:rPr>
          <w:rFonts w:ascii="Times New Roman" w:hAnsi="Times New Roman" w:cs="Times New Roman"/>
        </w:rPr>
        <w:t>.</w:t>
      </w:r>
      <w:r w:rsidRPr="0032586A">
        <w:rPr>
          <w:rFonts w:ascii="Times New Roman" w:hAnsi="Times New Roman" w:cs="Times New Roman"/>
        </w:rPr>
        <w:t xml:space="preserve"> </w:t>
      </w:r>
      <w:r w:rsidRPr="0032586A">
        <w:rPr>
          <w:rFonts w:ascii="Times New Roman" w:hAnsi="Times New Roman" w:cs="Times New Roman"/>
          <w:b/>
        </w:rPr>
        <w:t>29</w:t>
      </w:r>
      <w:r w:rsidR="0032586A" w:rsidRPr="0032586A">
        <w:rPr>
          <w:rFonts w:ascii="Times New Roman" w:hAnsi="Times New Roman" w:cs="Times New Roman"/>
        </w:rPr>
        <w:t>,</w:t>
      </w:r>
      <w:r w:rsidRPr="0032586A">
        <w:rPr>
          <w:rFonts w:ascii="Times New Roman" w:hAnsi="Times New Roman" w:cs="Times New Roman"/>
        </w:rPr>
        <w:t xml:space="preserve">164-181. </w:t>
      </w:r>
      <w:r w:rsidR="0032586A" w:rsidRPr="0032586A">
        <w:rPr>
          <w:rFonts w:ascii="Times New Roman" w:hAnsi="Times New Roman" w:cs="Times New Roman"/>
        </w:rPr>
        <w:t>(doi:</w:t>
      </w:r>
      <w:r w:rsidR="0032586A" w:rsidRPr="0032586A">
        <w:rPr>
          <w:rFonts w:ascii="Times New Roman" w:eastAsia="Times New Roman" w:hAnsi="Times New Roman" w:cs="Times New Roman"/>
        </w:rPr>
        <w:t>10.1179/sea.2010.29.1.011)</w:t>
      </w:r>
    </w:p>
    <w:p w14:paraId="677BF995" w14:textId="14EA1062" w:rsidR="00FC5B56" w:rsidRDefault="004C6F85" w:rsidP="0032586A">
      <w:pPr>
        <w:pStyle w:val="Normal1"/>
        <w:numPr>
          <w:ilvl w:val="0"/>
          <w:numId w:val="2"/>
        </w:numPr>
      </w:pPr>
      <w:r w:rsidRPr="009B599D">
        <w:t>Weisman</w:t>
      </w:r>
      <w:r>
        <w:t xml:space="preserve"> </w:t>
      </w:r>
      <w:r w:rsidRPr="009B599D">
        <w:t>BR</w:t>
      </w:r>
      <w:r>
        <w:t>. 1995.</w:t>
      </w:r>
      <w:r w:rsidRPr="009B599D">
        <w:t xml:space="preserve"> The Roberts Island Shell Mound Complex and its archaeological significanc</w:t>
      </w:r>
      <w:r>
        <w:t>e</w:t>
      </w:r>
      <w:r w:rsidR="0032586A">
        <w:t>.</w:t>
      </w:r>
      <w:r>
        <w:t xml:space="preserve"> Report </w:t>
      </w:r>
      <w:r w:rsidRPr="009B599D">
        <w:t xml:space="preserve">4365, </w:t>
      </w:r>
      <w:r>
        <w:t>Florida Division of Historical Resources</w:t>
      </w:r>
      <w:r w:rsidRPr="009B599D">
        <w:t>, Tallahassee</w:t>
      </w:r>
      <w:r>
        <w:t>, Florida</w:t>
      </w:r>
      <w:r w:rsidRPr="009B599D">
        <w:t>.</w:t>
      </w:r>
    </w:p>
    <w:p w14:paraId="7ADDEA9F" w14:textId="77777777" w:rsidR="00C94820" w:rsidRDefault="0032586A" w:rsidP="00C94820">
      <w:pPr>
        <w:pStyle w:val="ListParagraph"/>
        <w:numPr>
          <w:ilvl w:val="0"/>
          <w:numId w:val="2"/>
        </w:numPr>
        <w:rPr>
          <w:rFonts w:ascii="Times New Roman" w:hAnsi="Times New Roman" w:cs="Times New Roman"/>
          <w:color w:val="000000" w:themeColor="text1"/>
        </w:rPr>
      </w:pPr>
      <w:r w:rsidRPr="0032586A">
        <w:rPr>
          <w:rFonts w:ascii="Times New Roman" w:hAnsi="Times New Roman" w:cs="Times New Roman"/>
          <w:color w:val="000000" w:themeColor="text1"/>
        </w:rPr>
        <w:t xml:space="preserve">Kirby MX, </w:t>
      </w:r>
      <w:proofErr w:type="spellStart"/>
      <w:r w:rsidRPr="0032586A">
        <w:rPr>
          <w:rFonts w:ascii="Times New Roman" w:hAnsi="Times New Roman" w:cs="Times New Roman"/>
          <w:color w:val="000000" w:themeColor="text1"/>
        </w:rPr>
        <w:t>Soniat</w:t>
      </w:r>
      <w:proofErr w:type="spellEnd"/>
      <w:r w:rsidRPr="0032586A">
        <w:rPr>
          <w:rFonts w:ascii="Times New Roman" w:hAnsi="Times New Roman" w:cs="Times New Roman"/>
          <w:color w:val="000000" w:themeColor="text1"/>
        </w:rPr>
        <w:t xml:space="preserve"> TM, Spero HJ. 1998. Stable isotope </w:t>
      </w:r>
      <w:proofErr w:type="spellStart"/>
      <w:r w:rsidRPr="0032586A">
        <w:rPr>
          <w:rFonts w:ascii="Times New Roman" w:hAnsi="Times New Roman" w:cs="Times New Roman"/>
          <w:color w:val="000000" w:themeColor="text1"/>
        </w:rPr>
        <w:t>sclerochronology</w:t>
      </w:r>
      <w:proofErr w:type="spellEnd"/>
      <w:r w:rsidRPr="0032586A">
        <w:rPr>
          <w:rFonts w:ascii="Times New Roman" w:hAnsi="Times New Roman" w:cs="Times New Roman"/>
          <w:color w:val="000000" w:themeColor="text1"/>
        </w:rPr>
        <w:t xml:space="preserve"> of </w:t>
      </w:r>
      <w:proofErr w:type="spellStart"/>
      <w:r w:rsidRPr="0032586A">
        <w:rPr>
          <w:rFonts w:ascii="Times New Roman" w:hAnsi="Times New Roman" w:cs="Times New Roman"/>
          <w:color w:val="000000" w:themeColor="text1"/>
        </w:rPr>
        <w:t>pleistocene</w:t>
      </w:r>
      <w:proofErr w:type="spellEnd"/>
      <w:r w:rsidRPr="0032586A">
        <w:rPr>
          <w:rFonts w:ascii="Times New Roman" w:hAnsi="Times New Roman" w:cs="Times New Roman"/>
          <w:color w:val="000000" w:themeColor="text1"/>
        </w:rPr>
        <w:t xml:space="preserve"> and recent oyster shells (</w:t>
      </w:r>
      <w:r w:rsidRPr="0032586A">
        <w:rPr>
          <w:rFonts w:ascii="Times New Roman" w:hAnsi="Times New Roman" w:cs="Times New Roman"/>
          <w:i/>
          <w:color w:val="000000" w:themeColor="text1"/>
        </w:rPr>
        <w:t>Crassostrea virginica</w:t>
      </w:r>
      <w:r w:rsidRPr="0032586A">
        <w:rPr>
          <w:rFonts w:ascii="Times New Roman" w:hAnsi="Times New Roman" w:cs="Times New Roman"/>
          <w:color w:val="000000" w:themeColor="text1"/>
        </w:rPr>
        <w:t xml:space="preserve">). </w:t>
      </w:r>
      <w:proofErr w:type="spellStart"/>
      <w:r w:rsidRPr="0032586A">
        <w:rPr>
          <w:rFonts w:ascii="Times New Roman" w:hAnsi="Times New Roman" w:cs="Times New Roman"/>
          <w:i/>
          <w:iCs/>
          <w:color w:val="000000" w:themeColor="text1"/>
        </w:rPr>
        <w:t>Palaios</w:t>
      </w:r>
      <w:proofErr w:type="spellEnd"/>
      <w:r w:rsidRPr="0032586A">
        <w:rPr>
          <w:rFonts w:ascii="Times New Roman" w:hAnsi="Times New Roman" w:cs="Times New Roman"/>
          <w:color w:val="000000" w:themeColor="text1"/>
        </w:rPr>
        <w:t xml:space="preserve"> </w:t>
      </w:r>
      <w:r w:rsidRPr="0032586A">
        <w:rPr>
          <w:rFonts w:ascii="Times New Roman" w:hAnsi="Times New Roman" w:cs="Times New Roman"/>
          <w:b/>
          <w:color w:val="000000" w:themeColor="text1"/>
        </w:rPr>
        <w:t>13</w:t>
      </w:r>
      <w:r>
        <w:rPr>
          <w:rFonts w:ascii="Times New Roman" w:hAnsi="Times New Roman" w:cs="Times New Roman"/>
          <w:color w:val="000000" w:themeColor="text1"/>
        </w:rPr>
        <w:t>,</w:t>
      </w:r>
      <w:r w:rsidRPr="0032586A">
        <w:rPr>
          <w:rFonts w:ascii="Times New Roman" w:hAnsi="Times New Roman" w:cs="Times New Roman"/>
          <w:color w:val="000000" w:themeColor="text1"/>
        </w:rPr>
        <w:t>560-569.</w:t>
      </w:r>
      <w:r>
        <w:rPr>
          <w:rFonts w:ascii="Times New Roman" w:hAnsi="Times New Roman" w:cs="Times New Roman"/>
          <w:color w:val="000000" w:themeColor="text1"/>
        </w:rPr>
        <w:t xml:space="preserve"> (doi:</w:t>
      </w:r>
      <w:r w:rsidRPr="0032586A">
        <w:rPr>
          <w:rFonts w:ascii="Times New Roman" w:hAnsi="Times New Roman" w:cs="Times New Roman"/>
          <w:color w:val="000000" w:themeColor="text1"/>
        </w:rPr>
        <w:t>10.2307/3515347</w:t>
      </w:r>
      <w:r>
        <w:rPr>
          <w:rFonts w:ascii="Times New Roman" w:hAnsi="Times New Roman" w:cs="Times New Roman"/>
          <w:color w:val="000000" w:themeColor="text1"/>
        </w:rPr>
        <w:t>)</w:t>
      </w:r>
    </w:p>
    <w:p w14:paraId="291C8B81" w14:textId="2E7EC854" w:rsidR="00C94820" w:rsidRPr="00C94820" w:rsidRDefault="0032586A" w:rsidP="00C94820">
      <w:pPr>
        <w:pStyle w:val="ListParagraph"/>
        <w:numPr>
          <w:ilvl w:val="0"/>
          <w:numId w:val="2"/>
        </w:numPr>
        <w:rPr>
          <w:rFonts w:ascii="Times New Roman" w:hAnsi="Times New Roman" w:cs="Times New Roman"/>
          <w:color w:val="000000" w:themeColor="text1"/>
        </w:rPr>
      </w:pPr>
      <w:r w:rsidRPr="00C94820">
        <w:rPr>
          <w:rFonts w:ascii="Times New Roman" w:hAnsi="Times New Roman" w:cs="Times New Roman"/>
          <w:color w:val="000000" w:themeColor="text1"/>
        </w:rPr>
        <w:t xml:space="preserve">Andrus CFT, Crowe DE. 2000. Geochemical analysis of </w:t>
      </w:r>
      <w:r w:rsidRPr="00C94820">
        <w:rPr>
          <w:rFonts w:ascii="Times New Roman" w:hAnsi="Times New Roman" w:cs="Times New Roman"/>
          <w:i/>
          <w:color w:val="000000" w:themeColor="text1"/>
        </w:rPr>
        <w:t>Crassostrea virginica</w:t>
      </w:r>
      <w:r w:rsidRPr="00C94820">
        <w:rPr>
          <w:rFonts w:ascii="Times New Roman" w:hAnsi="Times New Roman" w:cs="Times New Roman"/>
          <w:color w:val="000000" w:themeColor="text1"/>
        </w:rPr>
        <w:t xml:space="preserve"> as a method to determine season of capture </w:t>
      </w:r>
      <w:r w:rsidRPr="00C94820">
        <w:rPr>
          <w:rFonts w:ascii="Times New Roman" w:hAnsi="Times New Roman" w:cs="Times New Roman"/>
          <w:i/>
          <w:iCs/>
          <w:color w:val="000000" w:themeColor="text1"/>
        </w:rPr>
        <w:t xml:space="preserve">J. </w:t>
      </w:r>
      <w:proofErr w:type="spellStart"/>
      <w:r w:rsidRPr="00C94820">
        <w:rPr>
          <w:rFonts w:ascii="Times New Roman" w:hAnsi="Times New Roman" w:cs="Times New Roman"/>
          <w:i/>
          <w:iCs/>
          <w:color w:val="000000" w:themeColor="text1"/>
        </w:rPr>
        <w:t>Archaeol</w:t>
      </w:r>
      <w:proofErr w:type="spellEnd"/>
      <w:r w:rsidRPr="00C94820">
        <w:rPr>
          <w:rFonts w:ascii="Times New Roman" w:hAnsi="Times New Roman" w:cs="Times New Roman"/>
          <w:i/>
          <w:iCs/>
          <w:color w:val="000000" w:themeColor="text1"/>
        </w:rPr>
        <w:t>. Sci.</w:t>
      </w:r>
      <w:r w:rsidRPr="00C94820">
        <w:rPr>
          <w:rFonts w:ascii="Times New Roman" w:hAnsi="Times New Roman" w:cs="Times New Roman"/>
          <w:color w:val="000000" w:themeColor="text1"/>
        </w:rPr>
        <w:t xml:space="preserve"> </w:t>
      </w:r>
      <w:r w:rsidRPr="00C94820">
        <w:rPr>
          <w:rFonts w:ascii="Times New Roman" w:hAnsi="Times New Roman" w:cs="Times New Roman"/>
          <w:b/>
          <w:color w:val="000000" w:themeColor="text1"/>
        </w:rPr>
        <w:t>27</w:t>
      </w:r>
      <w:r w:rsidRPr="00C94820">
        <w:rPr>
          <w:rFonts w:ascii="Times New Roman" w:hAnsi="Times New Roman" w:cs="Times New Roman"/>
          <w:color w:val="000000" w:themeColor="text1"/>
        </w:rPr>
        <w:t xml:space="preserve">,33-42. </w:t>
      </w:r>
      <w:r w:rsidR="00C94820" w:rsidRPr="00C94820">
        <w:rPr>
          <w:rFonts w:ascii="Times New Roman" w:hAnsi="Times New Roman" w:cs="Times New Roman"/>
          <w:color w:val="000000" w:themeColor="text1"/>
        </w:rPr>
        <w:t>(doi:10.1006/jasc.1999.0417)</w:t>
      </w:r>
    </w:p>
    <w:p w14:paraId="624D620A" w14:textId="069451B2" w:rsidR="00C94820" w:rsidRPr="00C94820" w:rsidRDefault="00C94820" w:rsidP="00C94820">
      <w:pPr>
        <w:pStyle w:val="ListParagraph"/>
        <w:numPr>
          <w:ilvl w:val="0"/>
          <w:numId w:val="2"/>
        </w:numPr>
        <w:rPr>
          <w:rFonts w:ascii="Times New Roman" w:hAnsi="Times New Roman" w:cs="Times New Roman"/>
          <w:color w:val="000000" w:themeColor="text1"/>
          <w:shd w:val="clear" w:color="auto" w:fill="FFFFFF"/>
        </w:rPr>
      </w:pPr>
      <w:proofErr w:type="spellStart"/>
      <w:r w:rsidRPr="00C94820">
        <w:rPr>
          <w:rFonts w:ascii="Times New Roman" w:hAnsi="Times New Roman" w:cs="Times New Roman"/>
          <w:color w:val="000000" w:themeColor="text1"/>
          <w:shd w:val="clear" w:color="auto" w:fill="FFFFFF"/>
        </w:rPr>
        <w:t>Zimmt</w:t>
      </w:r>
      <w:proofErr w:type="spellEnd"/>
      <w:r w:rsidRPr="00C94820">
        <w:rPr>
          <w:rFonts w:ascii="Times New Roman" w:hAnsi="Times New Roman" w:cs="Times New Roman"/>
          <w:color w:val="000000" w:themeColor="text1"/>
          <w:shd w:val="clear" w:color="auto" w:fill="FFFFFF"/>
        </w:rPr>
        <w:t xml:space="preserve"> JB, Lockwood R, Andrus CFT, Herbert GS. 2019. </w:t>
      </w:r>
      <w:proofErr w:type="spellStart"/>
      <w:r w:rsidRPr="00C94820">
        <w:rPr>
          <w:rFonts w:ascii="Times New Roman" w:hAnsi="Times New Roman" w:cs="Times New Roman"/>
          <w:color w:val="000000" w:themeColor="text1"/>
          <w:shd w:val="clear" w:color="auto" w:fill="FFFFFF"/>
        </w:rPr>
        <w:t>Sclerochronological</w:t>
      </w:r>
      <w:proofErr w:type="spellEnd"/>
      <w:r w:rsidRPr="00C94820">
        <w:rPr>
          <w:rFonts w:ascii="Times New Roman" w:hAnsi="Times New Roman" w:cs="Times New Roman"/>
          <w:color w:val="000000" w:themeColor="text1"/>
          <w:shd w:val="clear" w:color="auto" w:fill="FFFFFF"/>
        </w:rPr>
        <w:t xml:space="preserve"> basis for growth band counting: A reliable technique for life-span determination of </w:t>
      </w:r>
      <w:r w:rsidRPr="00C94820">
        <w:rPr>
          <w:rFonts w:ascii="Times New Roman" w:hAnsi="Times New Roman" w:cs="Times New Roman"/>
          <w:i/>
          <w:color w:val="000000" w:themeColor="text1"/>
          <w:shd w:val="clear" w:color="auto" w:fill="FFFFFF"/>
        </w:rPr>
        <w:t>Crassostrea virginica</w:t>
      </w:r>
      <w:r w:rsidRPr="00C94820">
        <w:rPr>
          <w:rFonts w:ascii="Times New Roman" w:hAnsi="Times New Roman" w:cs="Times New Roman"/>
          <w:color w:val="000000" w:themeColor="text1"/>
          <w:shd w:val="clear" w:color="auto" w:fill="FFFFFF"/>
        </w:rPr>
        <w:t xml:space="preserve"> from the mid-Atlantic United States. </w:t>
      </w:r>
      <w:r w:rsidRPr="00C94820">
        <w:rPr>
          <w:rFonts w:ascii="Times New Roman" w:hAnsi="Times New Roman" w:cs="Times New Roman"/>
          <w:i/>
          <w:noProof/>
        </w:rPr>
        <w:t>Palaeogeogr. Palaeoclimatol. Palaeoecol.</w:t>
      </w:r>
      <w:r w:rsidRPr="00C94820">
        <w:rPr>
          <w:rFonts w:ascii="Times New Roman" w:hAnsi="Times New Roman" w:cs="Times New Roman"/>
          <w:noProof/>
        </w:rPr>
        <w:t xml:space="preserve"> </w:t>
      </w:r>
      <w:r w:rsidRPr="00C94820">
        <w:rPr>
          <w:rFonts w:ascii="Times New Roman" w:hAnsi="Times New Roman" w:cs="Times New Roman"/>
          <w:b/>
          <w:color w:val="000000" w:themeColor="text1"/>
          <w:shd w:val="clear" w:color="auto" w:fill="FFFFFF"/>
        </w:rPr>
        <w:t>516</w:t>
      </w:r>
      <w:r w:rsidRPr="00C94820">
        <w:rPr>
          <w:rFonts w:ascii="Times New Roman" w:hAnsi="Times New Roman" w:cs="Times New Roman"/>
          <w:color w:val="000000" w:themeColor="text1"/>
          <w:shd w:val="clear" w:color="auto" w:fill="FFFFFF"/>
        </w:rPr>
        <w:t>,54-63.</w:t>
      </w:r>
      <w:r>
        <w:rPr>
          <w:rFonts w:ascii="Times New Roman" w:hAnsi="Times New Roman" w:cs="Times New Roman"/>
          <w:color w:val="000000" w:themeColor="text1"/>
          <w:shd w:val="clear" w:color="auto" w:fill="FFFFFF"/>
        </w:rPr>
        <w:t xml:space="preserve"> (</w:t>
      </w:r>
      <w:proofErr w:type="spellStart"/>
      <w:r>
        <w:rPr>
          <w:rFonts w:ascii="Times New Roman" w:hAnsi="Times New Roman" w:cs="Times New Roman"/>
          <w:color w:val="000000" w:themeColor="text1"/>
          <w:shd w:val="clear" w:color="auto" w:fill="FFFFFF"/>
        </w:rPr>
        <w:t>doi</w:t>
      </w:r>
      <w:proofErr w:type="spellEnd"/>
      <w:r>
        <w:rPr>
          <w:rFonts w:ascii="Times New Roman" w:hAnsi="Times New Roman" w:cs="Times New Roman"/>
          <w:color w:val="000000" w:themeColor="text1"/>
          <w:shd w:val="clear" w:color="auto" w:fill="FFFFFF"/>
        </w:rPr>
        <w:t>:</w:t>
      </w:r>
      <w:r w:rsidRPr="00C94820">
        <w:t xml:space="preserve"> </w:t>
      </w:r>
      <w:r w:rsidRPr="00C94820">
        <w:rPr>
          <w:rFonts w:ascii="Times New Roman" w:hAnsi="Times New Roman" w:cs="Times New Roman"/>
          <w:color w:val="000000" w:themeColor="text1"/>
          <w:shd w:val="clear" w:color="auto" w:fill="FFFFFF"/>
        </w:rPr>
        <w:t>10.1016/j.palaeo.2018.11.029</w:t>
      </w:r>
      <w:r>
        <w:rPr>
          <w:rFonts w:ascii="Times New Roman" w:hAnsi="Times New Roman" w:cs="Times New Roman"/>
          <w:color w:val="000000" w:themeColor="text1"/>
          <w:shd w:val="clear" w:color="auto" w:fill="FFFFFF"/>
        </w:rPr>
        <w:t>)</w:t>
      </w:r>
    </w:p>
    <w:p w14:paraId="728341B0" w14:textId="2A624594" w:rsidR="0032586A" w:rsidRPr="00C94820" w:rsidRDefault="00C94820" w:rsidP="00C94820">
      <w:pPr>
        <w:pStyle w:val="ListParagraph"/>
        <w:numPr>
          <w:ilvl w:val="0"/>
          <w:numId w:val="2"/>
        </w:numPr>
        <w:rPr>
          <w:rFonts w:ascii="Times New Roman" w:hAnsi="Times New Roman" w:cs="Times New Roman"/>
          <w:color w:val="000000" w:themeColor="text1"/>
        </w:rPr>
      </w:pPr>
      <w:r w:rsidRPr="00C94820">
        <w:rPr>
          <w:rFonts w:ascii="Times New Roman" w:hAnsi="Times New Roman" w:cs="Times New Roman"/>
          <w:color w:val="000000" w:themeColor="text1"/>
        </w:rPr>
        <w:t xml:space="preserve">Surge D, Lohmann KC, </w:t>
      </w:r>
      <w:proofErr w:type="spellStart"/>
      <w:r w:rsidRPr="00C94820">
        <w:rPr>
          <w:rFonts w:ascii="Times New Roman" w:hAnsi="Times New Roman" w:cs="Times New Roman"/>
          <w:color w:val="000000" w:themeColor="text1"/>
        </w:rPr>
        <w:t>Dettman</w:t>
      </w:r>
      <w:proofErr w:type="spellEnd"/>
      <w:r w:rsidRPr="00C94820">
        <w:rPr>
          <w:rFonts w:ascii="Times New Roman" w:hAnsi="Times New Roman" w:cs="Times New Roman"/>
          <w:color w:val="000000" w:themeColor="text1"/>
        </w:rPr>
        <w:t xml:space="preserve"> DL. 2001 Controls on isotopic chemistry of the American oyster, </w:t>
      </w:r>
      <w:r w:rsidRPr="00C94820">
        <w:rPr>
          <w:rFonts w:ascii="Times New Roman" w:hAnsi="Times New Roman" w:cs="Times New Roman"/>
          <w:i/>
          <w:iCs/>
          <w:color w:val="000000" w:themeColor="text1"/>
        </w:rPr>
        <w:t>Crassostrea virginica</w:t>
      </w:r>
      <w:r w:rsidRPr="00C94820">
        <w:rPr>
          <w:rFonts w:ascii="Times New Roman" w:hAnsi="Times New Roman" w:cs="Times New Roman"/>
          <w:color w:val="000000" w:themeColor="text1"/>
        </w:rPr>
        <w:t xml:space="preserve">: Implications for growth patterns. </w:t>
      </w:r>
      <w:proofErr w:type="spellStart"/>
      <w:r w:rsidRPr="00C94820">
        <w:rPr>
          <w:rFonts w:ascii="Times New Roman" w:hAnsi="Times New Roman" w:cs="Times New Roman"/>
          <w:i/>
          <w:iCs/>
          <w:color w:val="000000" w:themeColor="text1"/>
        </w:rPr>
        <w:t>Palaeogeogr</w:t>
      </w:r>
      <w:proofErr w:type="spellEnd"/>
      <w:r w:rsidRPr="00C94820">
        <w:rPr>
          <w:rFonts w:ascii="Times New Roman" w:hAnsi="Times New Roman" w:cs="Times New Roman"/>
          <w:i/>
          <w:iCs/>
          <w:color w:val="000000" w:themeColor="text1"/>
        </w:rPr>
        <w:t xml:space="preserve">. </w:t>
      </w:r>
      <w:proofErr w:type="spellStart"/>
      <w:r w:rsidRPr="00C94820">
        <w:rPr>
          <w:rFonts w:ascii="Times New Roman" w:hAnsi="Times New Roman" w:cs="Times New Roman"/>
          <w:i/>
          <w:iCs/>
          <w:color w:val="000000" w:themeColor="text1"/>
        </w:rPr>
        <w:t>Palaeoclimatol</w:t>
      </w:r>
      <w:proofErr w:type="spellEnd"/>
      <w:r w:rsidRPr="00C94820">
        <w:rPr>
          <w:rFonts w:ascii="Times New Roman" w:hAnsi="Times New Roman" w:cs="Times New Roman"/>
          <w:i/>
          <w:iCs/>
          <w:color w:val="000000" w:themeColor="text1"/>
        </w:rPr>
        <w:t xml:space="preserve">. </w:t>
      </w:r>
      <w:proofErr w:type="spellStart"/>
      <w:r w:rsidRPr="00C94820">
        <w:rPr>
          <w:rFonts w:ascii="Times New Roman" w:hAnsi="Times New Roman" w:cs="Times New Roman"/>
          <w:i/>
          <w:iCs/>
          <w:color w:val="000000" w:themeColor="text1"/>
        </w:rPr>
        <w:t>Palaeoecol</w:t>
      </w:r>
      <w:proofErr w:type="spellEnd"/>
      <w:r w:rsidRPr="00C94820">
        <w:rPr>
          <w:rFonts w:ascii="Times New Roman" w:hAnsi="Times New Roman" w:cs="Times New Roman"/>
          <w:color w:val="000000" w:themeColor="text1"/>
        </w:rPr>
        <w:t xml:space="preserve">. </w:t>
      </w:r>
      <w:r w:rsidRPr="00C94820">
        <w:rPr>
          <w:rFonts w:ascii="Times New Roman" w:hAnsi="Times New Roman" w:cs="Times New Roman"/>
          <w:b/>
          <w:bCs/>
          <w:color w:val="000000" w:themeColor="text1"/>
        </w:rPr>
        <w:t>172</w:t>
      </w:r>
      <w:r w:rsidRPr="00C94820">
        <w:rPr>
          <w:rFonts w:ascii="Times New Roman" w:hAnsi="Times New Roman" w:cs="Times New Roman"/>
          <w:color w:val="000000" w:themeColor="text1"/>
        </w:rPr>
        <w:t>,283-296. (doi:10.1016/S0031-0182(01)00303-0)</w:t>
      </w:r>
    </w:p>
    <w:p w14:paraId="17D68FA0" w14:textId="77777777" w:rsidR="00E535F0" w:rsidRDefault="00E535F0">
      <w:pPr>
        <w:pStyle w:val="Normal1"/>
        <w:ind w:left="720" w:hanging="720"/>
      </w:pPr>
    </w:p>
    <w:p w14:paraId="0E686950" w14:textId="77777777" w:rsidR="0032586A" w:rsidRDefault="0032586A">
      <w:pPr>
        <w:pStyle w:val="Normal1"/>
        <w:ind w:left="720" w:hanging="720"/>
      </w:pPr>
    </w:p>
    <w:sectPr w:rsidR="0032586A" w:rsidSect="00325CFA">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8F5C09" w14:textId="77777777" w:rsidR="00891324" w:rsidRDefault="00891324" w:rsidP="00477D1E">
      <w:r>
        <w:separator/>
      </w:r>
    </w:p>
  </w:endnote>
  <w:endnote w:type="continuationSeparator" w:id="0">
    <w:p w14:paraId="5996952E" w14:textId="77777777" w:rsidR="00891324" w:rsidRDefault="00891324" w:rsidP="00477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000000000000000"/>
    <w:charset w:val="00"/>
    <w:family w:val="auto"/>
    <w:pitch w:val="variable"/>
    <w:sig w:usb0="00000003" w:usb1="00000000" w:usb2="00000000" w:usb3="00000000" w:csb0="00000007"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C3626A" w14:textId="77777777" w:rsidR="00891324" w:rsidRDefault="00891324" w:rsidP="00477D1E">
      <w:r>
        <w:separator/>
      </w:r>
    </w:p>
  </w:footnote>
  <w:footnote w:type="continuationSeparator" w:id="0">
    <w:p w14:paraId="2A437366" w14:textId="77777777" w:rsidR="00891324" w:rsidRDefault="00891324" w:rsidP="00477D1E">
      <w:r>
        <w:continuationSeparator/>
      </w:r>
    </w:p>
  </w:footnote>
  <w:footnote w:id="1">
    <w:p w14:paraId="03D8EFDC" w14:textId="77777777" w:rsidR="005F5CAB" w:rsidRDefault="005F5CAB" w:rsidP="005F5CAB">
      <w:pPr>
        <w:pStyle w:val="Normal1"/>
        <w:pBdr>
          <w:top w:val="nil"/>
          <w:left w:val="nil"/>
          <w:bottom w:val="nil"/>
          <w:right w:val="nil"/>
          <w:between w:val="nil"/>
        </w:pBdr>
        <w:rPr>
          <w:color w:val="000000"/>
        </w:rPr>
      </w:pPr>
      <w:r>
        <w:rPr>
          <w:vertAlign w:val="superscript"/>
        </w:rPr>
        <w:footnoteRef/>
      </w:r>
      <w:r>
        <w:rPr>
          <w:color w:val="000000"/>
        </w:rPr>
        <w:t>Corresponding author contact: shesterberg2013@gmail.com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35A09"/>
    <w:multiLevelType w:val="multilevel"/>
    <w:tmpl w:val="B7DE60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6B002291"/>
    <w:multiLevelType w:val="hybridMultilevel"/>
    <w:tmpl w:val="A6A6E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0497"/>
    <w:rsid w:val="00006DE0"/>
    <w:rsid w:val="000265C1"/>
    <w:rsid w:val="00063C10"/>
    <w:rsid w:val="0009190D"/>
    <w:rsid w:val="000B4523"/>
    <w:rsid w:val="00155C96"/>
    <w:rsid w:val="00183A3A"/>
    <w:rsid w:val="002102C5"/>
    <w:rsid w:val="002A3BFA"/>
    <w:rsid w:val="002C221B"/>
    <w:rsid w:val="00316144"/>
    <w:rsid w:val="0032586A"/>
    <w:rsid w:val="00325CFA"/>
    <w:rsid w:val="003556C0"/>
    <w:rsid w:val="003C2D11"/>
    <w:rsid w:val="00477D1E"/>
    <w:rsid w:val="004801AF"/>
    <w:rsid w:val="004923CF"/>
    <w:rsid w:val="004C6F85"/>
    <w:rsid w:val="004C77B8"/>
    <w:rsid w:val="00555452"/>
    <w:rsid w:val="005665D2"/>
    <w:rsid w:val="005A5650"/>
    <w:rsid w:val="005F5CAB"/>
    <w:rsid w:val="00683280"/>
    <w:rsid w:val="006A2EE6"/>
    <w:rsid w:val="006B38F9"/>
    <w:rsid w:val="006C14FE"/>
    <w:rsid w:val="00733857"/>
    <w:rsid w:val="008049E2"/>
    <w:rsid w:val="00824C91"/>
    <w:rsid w:val="00891324"/>
    <w:rsid w:val="00913B8C"/>
    <w:rsid w:val="00947D40"/>
    <w:rsid w:val="00996A52"/>
    <w:rsid w:val="009B599D"/>
    <w:rsid w:val="00A1085D"/>
    <w:rsid w:val="00A34FDB"/>
    <w:rsid w:val="00AC4D9D"/>
    <w:rsid w:val="00B40DD3"/>
    <w:rsid w:val="00BA04D1"/>
    <w:rsid w:val="00BF218F"/>
    <w:rsid w:val="00C3713C"/>
    <w:rsid w:val="00C94820"/>
    <w:rsid w:val="00CD0A51"/>
    <w:rsid w:val="00D434FF"/>
    <w:rsid w:val="00D866F8"/>
    <w:rsid w:val="00D9322B"/>
    <w:rsid w:val="00DF089E"/>
    <w:rsid w:val="00E33FBA"/>
    <w:rsid w:val="00E372BA"/>
    <w:rsid w:val="00E535F0"/>
    <w:rsid w:val="00F2063E"/>
    <w:rsid w:val="00F42987"/>
    <w:rsid w:val="00F6006B"/>
    <w:rsid w:val="00F61976"/>
    <w:rsid w:val="00FC0497"/>
    <w:rsid w:val="00FC5B56"/>
    <w:rsid w:val="00FD70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FC41F64"/>
  <w14:defaultImageDpi w14:val="300"/>
  <w15:docId w15:val="{B2A2F9D4-92DC-9645-9A68-CBB160D48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0265C1"/>
  </w:style>
  <w:style w:type="paragraph" w:customStyle="1" w:styleId="Normal1">
    <w:name w:val="Normal1"/>
    <w:rsid w:val="00FC0497"/>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5A565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A5650"/>
    <w:rPr>
      <w:rFonts w:ascii="Times New Roman" w:hAnsi="Times New Roman" w:cs="Times New Roman"/>
      <w:sz w:val="18"/>
      <w:szCs w:val="18"/>
    </w:rPr>
  </w:style>
  <w:style w:type="paragraph" w:styleId="Title">
    <w:name w:val="Title"/>
    <w:basedOn w:val="Normal1"/>
    <w:next w:val="Normal1"/>
    <w:link w:val="TitleChar"/>
    <w:rsid w:val="00477D1E"/>
    <w:pPr>
      <w:keepNext/>
      <w:keepLines/>
      <w:spacing w:before="480" w:after="120"/>
    </w:pPr>
    <w:rPr>
      <w:b/>
      <w:sz w:val="72"/>
      <w:szCs w:val="72"/>
    </w:rPr>
  </w:style>
  <w:style w:type="character" w:customStyle="1" w:styleId="TitleChar">
    <w:name w:val="Title Char"/>
    <w:basedOn w:val="DefaultParagraphFont"/>
    <w:link w:val="Title"/>
    <w:rsid w:val="00477D1E"/>
    <w:rPr>
      <w:rFonts w:ascii="Times New Roman" w:eastAsia="Times New Roman" w:hAnsi="Times New Roman" w:cs="Times New Roman"/>
      <w:b/>
      <w:sz w:val="72"/>
      <w:szCs w:val="72"/>
    </w:rPr>
  </w:style>
  <w:style w:type="paragraph" w:styleId="ListParagraph">
    <w:name w:val="List Paragraph"/>
    <w:basedOn w:val="Normal"/>
    <w:uiPriority w:val="34"/>
    <w:qFormat/>
    <w:rsid w:val="0032586A"/>
    <w:pPr>
      <w:ind w:left="720"/>
      <w:contextualSpacing/>
    </w:pPr>
  </w:style>
  <w:style w:type="character" w:styleId="Hyperlink">
    <w:name w:val="Hyperlink"/>
    <w:basedOn w:val="DefaultParagraphFont"/>
    <w:uiPriority w:val="99"/>
    <w:unhideWhenUsed/>
    <w:rsid w:val="00C94820"/>
    <w:rPr>
      <w:color w:val="0000FF" w:themeColor="hyperlink"/>
      <w:u w:val="single"/>
    </w:rPr>
  </w:style>
  <w:style w:type="character" w:styleId="UnresolvedMention">
    <w:name w:val="Unresolved Mention"/>
    <w:basedOn w:val="DefaultParagraphFont"/>
    <w:uiPriority w:val="99"/>
    <w:semiHidden/>
    <w:unhideWhenUsed/>
    <w:rsid w:val="00C948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3092164">
      <w:bodyDiv w:val="1"/>
      <w:marLeft w:val="0"/>
      <w:marRight w:val="0"/>
      <w:marTop w:val="0"/>
      <w:marBottom w:val="0"/>
      <w:divBdr>
        <w:top w:val="none" w:sz="0" w:space="0" w:color="auto"/>
        <w:left w:val="none" w:sz="0" w:space="0" w:color="auto"/>
        <w:bottom w:val="none" w:sz="0" w:space="0" w:color="auto"/>
        <w:right w:val="none" w:sz="0" w:space="0" w:color="auto"/>
      </w:divBdr>
    </w:div>
    <w:div w:id="1207986396">
      <w:bodyDiv w:val="1"/>
      <w:marLeft w:val="0"/>
      <w:marRight w:val="0"/>
      <w:marTop w:val="0"/>
      <w:marBottom w:val="0"/>
      <w:divBdr>
        <w:top w:val="none" w:sz="0" w:space="0" w:color="auto"/>
        <w:left w:val="none" w:sz="0" w:space="0" w:color="auto"/>
        <w:bottom w:val="none" w:sz="0" w:space="0" w:color="auto"/>
        <w:right w:val="none" w:sz="0" w:space="0" w:color="auto"/>
      </w:divBdr>
    </w:div>
    <w:div w:id="1887444042">
      <w:bodyDiv w:val="1"/>
      <w:marLeft w:val="0"/>
      <w:marRight w:val="0"/>
      <w:marTop w:val="0"/>
      <w:marBottom w:val="0"/>
      <w:divBdr>
        <w:top w:val="none" w:sz="0" w:space="0" w:color="auto"/>
        <w:left w:val="none" w:sz="0" w:space="0" w:color="auto"/>
        <w:bottom w:val="none" w:sz="0" w:space="0" w:color="auto"/>
        <w:right w:val="none" w:sz="0" w:space="0" w:color="auto"/>
      </w:divBdr>
    </w:div>
    <w:div w:id="1966695797">
      <w:bodyDiv w:val="1"/>
      <w:marLeft w:val="0"/>
      <w:marRight w:val="0"/>
      <w:marTop w:val="0"/>
      <w:marBottom w:val="0"/>
      <w:divBdr>
        <w:top w:val="none" w:sz="0" w:space="0" w:color="auto"/>
        <w:left w:val="none" w:sz="0" w:space="0" w:color="auto"/>
        <w:bottom w:val="none" w:sz="0" w:space="0" w:color="auto"/>
        <w:right w:val="none" w:sz="0" w:space="0" w:color="auto"/>
      </w:divBdr>
    </w:div>
    <w:div w:id="212954347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7</Pages>
  <Words>1457</Words>
  <Characters>8305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Hesterberg</dc:creator>
  <cp:keywords/>
  <dc:description/>
  <cp:lastModifiedBy>Hesterberg, Stephen</cp:lastModifiedBy>
  <cp:revision>5</cp:revision>
  <dcterms:created xsi:type="dcterms:W3CDTF">2019-11-19T15:31:00Z</dcterms:created>
  <dcterms:modified xsi:type="dcterms:W3CDTF">2019-12-27T18:02:00Z</dcterms:modified>
</cp:coreProperties>
</file>