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B1550" w14:textId="3D798174" w:rsidR="00AE36A3" w:rsidRDefault="00AE36A3" w:rsidP="00EF24AE">
      <w:pPr>
        <w:rPr>
          <w:rFonts w:ascii="Arial" w:hAnsi="Arial"/>
        </w:rPr>
      </w:pPr>
    </w:p>
    <w:p w14:paraId="796818FA" w14:textId="72FE1747" w:rsidR="00F62E7B" w:rsidRPr="00F62E7B" w:rsidRDefault="00F62E7B" w:rsidP="00F62E7B">
      <w:pPr>
        <w:jc w:val="center"/>
        <w:rPr>
          <w:rFonts w:ascii="Arial" w:hAnsi="Arial"/>
          <w:b/>
          <w:bCs/>
        </w:rPr>
      </w:pPr>
      <w:r w:rsidRPr="00F62E7B">
        <w:rPr>
          <w:rFonts w:ascii="Arial" w:hAnsi="Arial"/>
          <w:b/>
          <w:bCs/>
        </w:rPr>
        <w:t>Supplementary information</w:t>
      </w:r>
    </w:p>
    <w:p w14:paraId="0D46791A" w14:textId="77777777" w:rsidR="00F62E7B" w:rsidRDefault="00F62E7B" w:rsidP="00EF24AE">
      <w:pPr>
        <w:rPr>
          <w:rFonts w:ascii="Arial" w:hAnsi="Arial"/>
        </w:rPr>
      </w:pPr>
    </w:p>
    <w:p w14:paraId="69F974DD" w14:textId="77777777" w:rsidR="00AE36A3" w:rsidRPr="00AE36A3" w:rsidRDefault="00AE36A3" w:rsidP="00AE36A3">
      <w:pPr>
        <w:rPr>
          <w:rFonts w:ascii="Arial" w:hAnsi="Arial"/>
        </w:rPr>
      </w:pPr>
    </w:p>
    <w:p w14:paraId="3BDAC95B" w14:textId="77777777" w:rsidR="00AE36A3" w:rsidRDefault="00AE36A3" w:rsidP="00AE36A3">
      <w:pPr>
        <w:rPr>
          <w:rFonts w:ascii="Arial" w:hAnsi="Arial"/>
        </w:rPr>
      </w:pPr>
      <w:bookmarkStart w:id="0" w:name="_GoBack"/>
      <w:bookmarkEnd w:id="0"/>
    </w:p>
    <w:p w14:paraId="3D737D1F" w14:textId="77777777" w:rsidR="00BB5FDC" w:rsidRPr="002638E5" w:rsidRDefault="00BB5FDC" w:rsidP="00BB5FDC">
      <w:pPr>
        <w:jc w:val="center"/>
        <w:rPr>
          <w:rFonts w:ascii="Arial" w:hAnsi="Arial" w:cs="Arial"/>
          <w:b/>
          <w:sz w:val="28"/>
          <w:szCs w:val="28"/>
        </w:rPr>
      </w:pPr>
      <w:r w:rsidRPr="003B0158">
        <w:rPr>
          <w:rFonts w:ascii="Arial" w:hAnsi="Arial" w:cs="Arial"/>
          <w:b/>
          <w:sz w:val="28"/>
          <w:szCs w:val="28"/>
        </w:rPr>
        <w:t>Climate warming and trophic mismatches in terrestrial ecosystems: the green-brown imbalance hypothesis</w:t>
      </w:r>
    </w:p>
    <w:p w14:paraId="5278A920" w14:textId="77777777" w:rsidR="00F62E7B" w:rsidRDefault="00F62E7B" w:rsidP="00F62E7B">
      <w:pPr>
        <w:tabs>
          <w:tab w:val="left" w:pos="6090"/>
        </w:tabs>
      </w:pPr>
      <w:r>
        <w:tab/>
      </w:r>
    </w:p>
    <w:p w14:paraId="79FD1DB8" w14:textId="77777777" w:rsidR="00F62E7B" w:rsidRPr="005567D4" w:rsidRDefault="00F62E7B" w:rsidP="00F62E7B"/>
    <w:p w14:paraId="7E6A07A9" w14:textId="77777777" w:rsidR="00F62E7B" w:rsidRPr="005567D4" w:rsidRDefault="00F62E7B" w:rsidP="00F62E7B"/>
    <w:p w14:paraId="44B4ED48" w14:textId="77777777" w:rsidR="00F62E7B" w:rsidRPr="00E042F0" w:rsidRDefault="00F62E7B" w:rsidP="00F62E7B">
      <w:pPr>
        <w:jc w:val="center"/>
        <w:rPr>
          <w:rFonts w:ascii="Arial" w:hAnsi="Arial" w:cs="Arial"/>
          <w:vertAlign w:val="superscript"/>
          <w:lang w:val="de-DE"/>
        </w:rPr>
      </w:pPr>
      <w:r w:rsidRPr="009F0049">
        <w:rPr>
          <w:rFonts w:ascii="Arial" w:hAnsi="Arial" w:cs="Arial"/>
          <w:lang w:val="de-DE"/>
        </w:rPr>
        <w:t>Madhav P. Thakur</w:t>
      </w:r>
      <w:r w:rsidRPr="009F0049">
        <w:rPr>
          <w:rFonts w:ascii="Arial" w:hAnsi="Arial" w:cs="Arial"/>
          <w:vertAlign w:val="superscript"/>
          <w:lang w:val="de-DE"/>
        </w:rPr>
        <w:t>1</w:t>
      </w:r>
      <w:r>
        <w:rPr>
          <w:rFonts w:ascii="Arial" w:hAnsi="Arial" w:cs="Arial"/>
          <w:vertAlign w:val="superscript"/>
          <w:lang w:val="de-DE"/>
        </w:rPr>
        <w:t xml:space="preserve">,* </w:t>
      </w:r>
    </w:p>
    <w:p w14:paraId="6BFFCBFB" w14:textId="77777777" w:rsidR="00F62E7B" w:rsidRPr="009F0049" w:rsidRDefault="00F62E7B" w:rsidP="00F62E7B">
      <w:pPr>
        <w:rPr>
          <w:lang w:val="de-DE"/>
        </w:rPr>
      </w:pPr>
    </w:p>
    <w:p w14:paraId="4F413A71" w14:textId="77777777" w:rsidR="00F62E7B" w:rsidRPr="009F0049" w:rsidRDefault="00F62E7B" w:rsidP="00F62E7B">
      <w:pPr>
        <w:rPr>
          <w:lang w:val="de-DE"/>
        </w:rPr>
      </w:pPr>
    </w:p>
    <w:p w14:paraId="146BEE60" w14:textId="77777777" w:rsidR="00F62E7B" w:rsidRPr="008B1BAA" w:rsidRDefault="00F62E7B" w:rsidP="00F62E7B">
      <w:pPr>
        <w:jc w:val="center"/>
        <w:rPr>
          <w:rFonts w:ascii="Arial" w:hAnsi="Arial" w:cs="Arial"/>
          <w:i/>
          <w:lang w:val="de-DE"/>
        </w:rPr>
      </w:pPr>
    </w:p>
    <w:p w14:paraId="0BA48CE1" w14:textId="77777777" w:rsidR="00F62E7B" w:rsidRPr="008B1BAA" w:rsidRDefault="00F62E7B" w:rsidP="00F62E7B">
      <w:pPr>
        <w:jc w:val="center"/>
        <w:rPr>
          <w:rFonts w:ascii="Arial" w:hAnsi="Arial" w:cs="Arial"/>
          <w:i/>
        </w:rPr>
      </w:pPr>
      <w:r w:rsidRPr="008B1BAA">
        <w:rPr>
          <w:rFonts w:ascii="Arial" w:hAnsi="Arial" w:cs="Arial"/>
          <w:i/>
          <w:vertAlign w:val="superscript"/>
        </w:rPr>
        <w:t>1</w:t>
      </w:r>
      <w:r w:rsidRPr="008B1BAA">
        <w:rPr>
          <w:rFonts w:ascii="Arial" w:hAnsi="Arial" w:cs="Arial"/>
          <w:i/>
        </w:rPr>
        <w:t>Department of Terrestrial Ecology, Netherlands Institute of Ecology (NIOO- KNAW), Wageningen, The Netherlands</w:t>
      </w:r>
    </w:p>
    <w:p w14:paraId="42BD4976" w14:textId="77777777" w:rsidR="00F62E7B" w:rsidRDefault="00F62E7B" w:rsidP="00F62E7B">
      <w:pPr>
        <w:rPr>
          <w:lang w:val="de-DE"/>
        </w:rPr>
      </w:pPr>
    </w:p>
    <w:p w14:paraId="72B816C5" w14:textId="77777777" w:rsidR="00F62E7B" w:rsidRDefault="00F62E7B" w:rsidP="00F62E7B">
      <w:pPr>
        <w:rPr>
          <w:lang w:val="de-DE"/>
        </w:rPr>
      </w:pPr>
    </w:p>
    <w:p w14:paraId="1B4E7AC8" w14:textId="77777777" w:rsidR="00F62E7B" w:rsidRDefault="00F62E7B" w:rsidP="00F62E7B">
      <w:pPr>
        <w:rPr>
          <w:lang w:val="de-DE"/>
        </w:rPr>
      </w:pPr>
    </w:p>
    <w:p w14:paraId="2CC8FDD5" w14:textId="77777777" w:rsidR="00F62E7B" w:rsidRDefault="00F62E7B" w:rsidP="00F62E7B">
      <w:pPr>
        <w:rPr>
          <w:lang w:val="de-DE"/>
        </w:rPr>
      </w:pPr>
    </w:p>
    <w:p w14:paraId="35BEB08B" w14:textId="77777777" w:rsidR="00F62E7B" w:rsidRPr="00B42455" w:rsidRDefault="00F62E7B" w:rsidP="00F62E7B">
      <w:pPr>
        <w:rPr>
          <w:lang w:val="de-DE"/>
        </w:rPr>
      </w:pPr>
    </w:p>
    <w:p w14:paraId="6F878801" w14:textId="77777777" w:rsidR="00F62E7B" w:rsidRPr="00B42455" w:rsidRDefault="00F62E7B" w:rsidP="00F62E7B">
      <w:pPr>
        <w:tabs>
          <w:tab w:val="left" w:pos="2660"/>
        </w:tabs>
        <w:jc w:val="center"/>
        <w:rPr>
          <w:rStyle w:val="Hyperlink"/>
          <w:rFonts w:ascii="Arial" w:hAnsi="Arial" w:cs="Arial"/>
        </w:rPr>
      </w:pPr>
      <w:r w:rsidRPr="00B42455">
        <w:rPr>
          <w:rFonts w:ascii="Arial" w:hAnsi="Arial" w:cs="Arial"/>
        </w:rPr>
        <w:t>*corresponding author (m.thakur@</w:t>
      </w:r>
      <w:r w:rsidRPr="008F7100">
        <w:rPr>
          <w:rFonts w:ascii="Arial" w:hAnsi="Arial" w:cs="Arial"/>
          <w:color w:val="000000" w:themeColor="text1"/>
        </w:rPr>
        <w:t>nioo.knaw.nl</w:t>
      </w:r>
      <w:r w:rsidRPr="008F7100">
        <w:rPr>
          <w:rStyle w:val="Hyperlink"/>
          <w:rFonts w:ascii="Arial" w:hAnsi="Arial" w:cs="Arial"/>
          <w:color w:val="000000" w:themeColor="text1"/>
        </w:rPr>
        <w:t>)</w:t>
      </w:r>
    </w:p>
    <w:p w14:paraId="5B412A4F" w14:textId="77777777" w:rsidR="00AE36A3" w:rsidRDefault="00AE36A3" w:rsidP="00AE36A3">
      <w:pPr>
        <w:rPr>
          <w:rFonts w:ascii="Arial" w:hAnsi="Arial"/>
        </w:rPr>
      </w:pPr>
    </w:p>
    <w:p w14:paraId="35290C86" w14:textId="77777777" w:rsidR="00AE36A3" w:rsidRDefault="00AE36A3" w:rsidP="00AE36A3">
      <w:pPr>
        <w:rPr>
          <w:rFonts w:ascii="Arial" w:hAnsi="Arial"/>
        </w:rPr>
      </w:pPr>
    </w:p>
    <w:p w14:paraId="111A43AA" w14:textId="6E00F0F6" w:rsidR="00AE36A3" w:rsidRPr="00AE36A3" w:rsidRDefault="00AE36A3" w:rsidP="00AE36A3">
      <w:pPr>
        <w:rPr>
          <w:rFonts w:ascii="Arial" w:hAnsi="Arial"/>
        </w:rPr>
        <w:sectPr w:rsidR="00AE36A3" w:rsidRPr="00AE36A3" w:rsidSect="00D77DAF">
          <w:pgSz w:w="11900" w:h="16840"/>
          <w:pgMar w:top="1440" w:right="1800" w:bottom="1440" w:left="1800" w:header="708" w:footer="708" w:gutter="0"/>
          <w:cols w:space="708"/>
          <w:docGrid w:linePitch="360"/>
        </w:sectPr>
      </w:pPr>
    </w:p>
    <w:p w14:paraId="3C47F2A0" w14:textId="2B0244E8" w:rsidR="00EF24AE" w:rsidRPr="00D84585" w:rsidRDefault="009D525F" w:rsidP="00EF24AE">
      <w:pPr>
        <w:rPr>
          <w:rFonts w:ascii="Arial" w:hAnsi="Arial"/>
        </w:rPr>
      </w:pPr>
      <w:r>
        <w:rPr>
          <w:rFonts w:ascii="Arial" w:hAnsi="Arial"/>
          <w:noProof/>
        </w:rPr>
        <w:lastRenderedPageBreak/>
        <w:drawing>
          <wp:anchor distT="0" distB="0" distL="114300" distR="114300" simplePos="0" relativeHeight="251658240" behindDoc="0" locked="0" layoutInCell="1" allowOverlap="1" wp14:anchorId="56EAAE03" wp14:editId="73A3D11F">
            <wp:simplePos x="0" y="0"/>
            <wp:positionH relativeFrom="margin">
              <wp:align>center</wp:align>
            </wp:positionH>
            <wp:positionV relativeFrom="paragraph">
              <wp:posOffset>212076</wp:posOffset>
            </wp:positionV>
            <wp:extent cx="6021705" cy="42525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1705" cy="4252595"/>
                    </a:xfrm>
                    <a:prstGeom prst="rect">
                      <a:avLst/>
                    </a:prstGeom>
                    <a:noFill/>
                  </pic:spPr>
                </pic:pic>
              </a:graphicData>
            </a:graphic>
            <wp14:sizeRelH relativeFrom="margin">
              <wp14:pctWidth>0</wp14:pctWidth>
            </wp14:sizeRelH>
            <wp14:sizeRelV relativeFrom="margin">
              <wp14:pctHeight>0</wp14:pctHeight>
            </wp14:sizeRelV>
          </wp:anchor>
        </w:drawing>
      </w:r>
    </w:p>
    <w:p w14:paraId="2F33C35C" w14:textId="4A7F8F7D" w:rsidR="00EF24AE" w:rsidRPr="00D84585" w:rsidRDefault="00EF24AE" w:rsidP="00EF24AE">
      <w:pPr>
        <w:rPr>
          <w:rFonts w:ascii="Arial" w:hAnsi="Arial"/>
        </w:rPr>
      </w:pPr>
    </w:p>
    <w:p w14:paraId="6FDA7517" w14:textId="77777777" w:rsidR="00EF24AE" w:rsidRPr="00D84585" w:rsidRDefault="00EF24AE" w:rsidP="00EF24AE">
      <w:pPr>
        <w:rPr>
          <w:rFonts w:ascii="Arial" w:hAnsi="Arial"/>
        </w:rPr>
      </w:pPr>
    </w:p>
    <w:p w14:paraId="2ACAD6F0" w14:textId="77777777" w:rsidR="00EF24AE" w:rsidRPr="00D84585" w:rsidRDefault="00EF24AE" w:rsidP="00EF24AE">
      <w:pPr>
        <w:rPr>
          <w:rFonts w:ascii="Arial" w:hAnsi="Arial"/>
        </w:rPr>
      </w:pPr>
    </w:p>
    <w:p w14:paraId="42A47819" w14:textId="77777777" w:rsidR="00EF24AE" w:rsidRPr="00732CF6" w:rsidRDefault="00EF24AE" w:rsidP="00EF24AE">
      <w:pPr>
        <w:spacing w:line="360" w:lineRule="auto"/>
        <w:rPr>
          <w:rFonts w:ascii="Arial" w:hAnsi="Arial"/>
        </w:rPr>
      </w:pPr>
      <w:r>
        <w:rPr>
          <w:rFonts w:ascii="Arial" w:hAnsi="Arial"/>
          <w:b/>
        </w:rPr>
        <w:t>Supplementary figure 1</w:t>
      </w:r>
      <w:r w:rsidRPr="009557D0">
        <w:rPr>
          <w:rFonts w:ascii="Arial" w:hAnsi="Arial"/>
          <w:b/>
        </w:rPr>
        <w:t xml:space="preserve">: </w:t>
      </w:r>
      <w:r>
        <w:rPr>
          <w:rFonts w:ascii="Arial" w:hAnsi="Arial"/>
          <w:b/>
        </w:rPr>
        <w:t>Two scenarios of green-brown imbalances</w:t>
      </w:r>
      <w:r w:rsidRPr="00732CF6">
        <w:rPr>
          <w:rFonts w:ascii="Arial" w:hAnsi="Arial"/>
        </w:rPr>
        <w:t xml:space="preserve">. In scenario A, climate warming (via trophic mismatches) reduce the biomass that enters from green food webs to brown food webs. In scenario B, the opposite is the case. </w:t>
      </w:r>
      <w:r>
        <w:rPr>
          <w:rFonts w:ascii="Arial" w:hAnsi="Arial"/>
        </w:rPr>
        <w:t xml:space="preserve">As the input to brown food webs differ in the two scenarios, the input from brown food webs to green food webs will also change. For simplicity, the balanced state is shown with equal size of green and brown boxes, which is mainly to indicate that mass and energy flow is close to a steady state. </w:t>
      </w:r>
    </w:p>
    <w:p w14:paraId="3AA038CA" w14:textId="77777777" w:rsidR="00EF24AE" w:rsidRPr="00D84585" w:rsidRDefault="00EF24AE" w:rsidP="00EF24AE">
      <w:pPr>
        <w:rPr>
          <w:rFonts w:ascii="Arial" w:hAnsi="Arial"/>
        </w:rPr>
      </w:pPr>
    </w:p>
    <w:p w14:paraId="2FAF71D4" w14:textId="77777777" w:rsidR="00EF24AE" w:rsidRPr="00D84585" w:rsidRDefault="00EF24AE" w:rsidP="00EF24AE">
      <w:pPr>
        <w:rPr>
          <w:rFonts w:ascii="Arial" w:hAnsi="Arial"/>
        </w:rPr>
      </w:pPr>
    </w:p>
    <w:p w14:paraId="78AEA0B0" w14:textId="77777777" w:rsidR="00EF24AE" w:rsidRPr="00D84585" w:rsidRDefault="00EF24AE" w:rsidP="00EF24AE">
      <w:pPr>
        <w:rPr>
          <w:rFonts w:ascii="Arial" w:hAnsi="Arial"/>
        </w:rPr>
      </w:pPr>
    </w:p>
    <w:p w14:paraId="5E577580" w14:textId="77777777" w:rsidR="00EF24AE" w:rsidRPr="00D84585" w:rsidRDefault="00EF24AE" w:rsidP="00EF24AE">
      <w:pPr>
        <w:rPr>
          <w:rFonts w:ascii="Arial" w:hAnsi="Arial"/>
        </w:rPr>
      </w:pPr>
    </w:p>
    <w:p w14:paraId="6F053830" w14:textId="77777777" w:rsidR="00A7698D" w:rsidRDefault="00A7698D"/>
    <w:sectPr w:rsidR="00A7698D" w:rsidSect="00D77DA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4AE"/>
    <w:rsid w:val="009D525F"/>
    <w:rsid w:val="00A7698D"/>
    <w:rsid w:val="00AE36A3"/>
    <w:rsid w:val="00BB5FDC"/>
    <w:rsid w:val="00EF24AE"/>
    <w:rsid w:val="00F62E7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8DBE"/>
  <w15:chartTrackingRefBased/>
  <w15:docId w15:val="{FF7A0B7E-FC1D-47AF-9F3B-791B3EC4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24A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E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D3CDC-A43D-458E-8B3F-A21919A7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Thakur</dc:creator>
  <cp:keywords/>
  <dc:description/>
  <cp:lastModifiedBy>Maddy Thakur</cp:lastModifiedBy>
  <cp:revision>5</cp:revision>
  <dcterms:created xsi:type="dcterms:W3CDTF">2019-05-16T14:16:00Z</dcterms:created>
  <dcterms:modified xsi:type="dcterms:W3CDTF">2019-10-20T12:32:00Z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http://www.zotero.org/styles/biology-letters</vt:lpwstr>
  </property>
  <property fmtid="{D5CDD505-2E9C-101B-9397-08002B2CF9AE}" pid="9" name="Mendeley Recent Style Name 3_1">
    <vt:lpwstr>Biology Letters</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http://www.zotero.org/styles/ecological-applications</vt:lpwstr>
  </property>
  <property fmtid="{D5CDD505-2E9C-101B-9397-08002B2CF9AE}" pid="13" name="Mendeley Recent Style Name 5_1">
    <vt:lpwstr>Ecological Applications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http://www.zotero.org/styles/nature-reviews-microbiology</vt:lpwstr>
  </property>
  <property fmtid="{D5CDD505-2E9C-101B-9397-08002B2CF9AE}" pid="17" name="Mendeley Recent Style Name 7_1">
    <vt:lpwstr>Nature Reviews Microbiology</vt:lpwstr>
  </property>
  <property fmtid="{D5CDD505-2E9C-101B-9397-08002B2CF9AE}" pid="18" name="Mendeley Recent Style Id 8_1">
    <vt:lpwstr>http://www.zotero.org/styles/oecologia</vt:lpwstr>
  </property>
  <property fmtid="{D5CDD505-2E9C-101B-9397-08002B2CF9AE}" pid="19" name="Mendeley Recent Style Name 8_1">
    <vt:lpwstr>Oecologia</vt:lpwstr>
  </property>
  <property fmtid="{D5CDD505-2E9C-101B-9397-08002B2CF9AE}" pid="20" name="Mendeley Recent Style Id 9_1">
    <vt:lpwstr>http://www.zotero.org/styles/trends-in-microbiology</vt:lpwstr>
  </property>
  <property fmtid="{D5CDD505-2E9C-101B-9397-08002B2CF9AE}" pid="21" name="Mendeley Recent Style Name 9_1">
    <vt:lpwstr>Trends in Microbiology</vt:lpwstr>
  </property>
</Properties>
</file>