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BD70" w14:textId="63007B7A" w:rsidR="00846421" w:rsidRPr="00815B8B" w:rsidRDefault="00846421" w:rsidP="00846421">
      <w:pPr>
        <w:spacing w:before="120" w:after="120"/>
        <w:jc w:val="both"/>
        <w:rPr>
          <w:rFonts w:cstheme="minorHAnsi"/>
          <w:sz w:val="20"/>
          <w:szCs w:val="20"/>
          <w:lang w:val="en-GB"/>
        </w:rPr>
      </w:pPr>
      <w:r w:rsidRPr="00815B8B">
        <w:rPr>
          <w:rFonts w:cstheme="minorHAnsi"/>
          <w:sz w:val="20"/>
          <w:szCs w:val="20"/>
          <w:lang w:val="en-GB"/>
        </w:rPr>
        <w:t xml:space="preserve">Table </w:t>
      </w:r>
      <w:r w:rsidRPr="00F04C6B">
        <w:rPr>
          <w:rFonts w:cstheme="minorHAnsi"/>
          <w:sz w:val="20"/>
          <w:szCs w:val="20"/>
          <w:lang w:val="en-GB"/>
        </w:rPr>
        <w:t>S1.</w:t>
      </w:r>
      <w:r w:rsidRPr="00815B8B">
        <w:rPr>
          <w:rFonts w:cstheme="minorHAnsi"/>
          <w:sz w:val="20"/>
          <w:szCs w:val="20"/>
          <w:lang w:val="en-GB"/>
        </w:rPr>
        <w:t xml:space="preserve"> Group compositions indicated for the respective study periods, total and focal observation hours collected, and dates of birth of infants </w:t>
      </w:r>
      <w:r w:rsidRPr="00ED37D9">
        <w:rPr>
          <w:rFonts w:cstheme="minorHAnsi"/>
          <w:sz w:val="20"/>
          <w:szCs w:val="20"/>
          <w:lang w:val="en-GB"/>
        </w:rPr>
        <w:t>for 7 studied groups. AM</w:t>
      </w:r>
      <w:r w:rsidRPr="00815B8B">
        <w:rPr>
          <w:rFonts w:cstheme="minorHAnsi"/>
          <w:sz w:val="20"/>
          <w:szCs w:val="20"/>
          <w:lang w:val="en-GB"/>
        </w:rPr>
        <w:t xml:space="preserve"> – adult male, AF – adult female, Sub – subadult (M: male; F: female), </w:t>
      </w:r>
      <w:proofErr w:type="spellStart"/>
      <w:r w:rsidRPr="00815B8B">
        <w:rPr>
          <w:rFonts w:cstheme="minorHAnsi"/>
          <w:sz w:val="20"/>
          <w:szCs w:val="20"/>
          <w:lang w:val="en-GB"/>
        </w:rPr>
        <w:t>Juv</w:t>
      </w:r>
      <w:proofErr w:type="spellEnd"/>
      <w:r w:rsidRPr="00815B8B">
        <w:rPr>
          <w:rFonts w:cstheme="minorHAnsi"/>
          <w:sz w:val="20"/>
          <w:szCs w:val="20"/>
          <w:lang w:val="en-GB"/>
        </w:rPr>
        <w:t xml:space="preserve"> – juvenile, </w:t>
      </w:r>
      <w:proofErr w:type="spellStart"/>
      <w:r w:rsidRPr="00815B8B">
        <w:rPr>
          <w:rFonts w:cstheme="minorHAnsi"/>
          <w:sz w:val="20"/>
          <w:szCs w:val="20"/>
          <w:lang w:val="en-GB"/>
        </w:rPr>
        <w:t>Inf</w:t>
      </w:r>
      <w:proofErr w:type="spellEnd"/>
      <w:r w:rsidRPr="00815B8B">
        <w:rPr>
          <w:rFonts w:cstheme="minorHAnsi"/>
          <w:sz w:val="20"/>
          <w:szCs w:val="20"/>
          <w:lang w:val="en-GB"/>
        </w:rPr>
        <w:t xml:space="preserve"> – infant. Sex could not be determined for juveniles and infants due to small genital size.</w:t>
      </w:r>
    </w:p>
    <w:tbl>
      <w:tblPr>
        <w:tblStyle w:val="TableGrid"/>
        <w:tblW w:w="15021" w:type="dxa"/>
        <w:tblLayout w:type="fixed"/>
        <w:tblLook w:val="04A0" w:firstRow="1" w:lastRow="0" w:firstColumn="1" w:lastColumn="0" w:noHBand="0" w:noVBand="1"/>
      </w:tblPr>
      <w:tblGrid>
        <w:gridCol w:w="744"/>
        <w:gridCol w:w="1584"/>
        <w:gridCol w:w="2062"/>
        <w:gridCol w:w="2268"/>
        <w:gridCol w:w="992"/>
        <w:gridCol w:w="850"/>
        <w:gridCol w:w="1843"/>
        <w:gridCol w:w="851"/>
        <w:gridCol w:w="1134"/>
        <w:gridCol w:w="2693"/>
      </w:tblGrid>
      <w:tr w:rsidR="00846421" w:rsidRPr="0017709F" w14:paraId="6674F822" w14:textId="77777777" w:rsidTr="00ED37D9">
        <w:trPr>
          <w:trHeight w:val="548"/>
        </w:trPr>
        <w:tc>
          <w:tcPr>
            <w:tcW w:w="744" w:type="dxa"/>
          </w:tcPr>
          <w:p w14:paraId="3833C3D6"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Group</w:t>
            </w:r>
          </w:p>
        </w:tc>
        <w:tc>
          <w:tcPr>
            <w:tcW w:w="1584" w:type="dxa"/>
          </w:tcPr>
          <w:p w14:paraId="34ECB1F3"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Study period</w:t>
            </w:r>
          </w:p>
        </w:tc>
        <w:tc>
          <w:tcPr>
            <w:tcW w:w="2062" w:type="dxa"/>
          </w:tcPr>
          <w:p w14:paraId="77737C82"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Total sampling time, h</w:t>
            </w:r>
          </w:p>
        </w:tc>
        <w:tc>
          <w:tcPr>
            <w:tcW w:w="2268" w:type="dxa"/>
          </w:tcPr>
          <w:p w14:paraId="247C8123"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Focal sampling time, h</w:t>
            </w:r>
          </w:p>
        </w:tc>
        <w:tc>
          <w:tcPr>
            <w:tcW w:w="992" w:type="dxa"/>
          </w:tcPr>
          <w:p w14:paraId="5772E392"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AM</w:t>
            </w:r>
          </w:p>
        </w:tc>
        <w:tc>
          <w:tcPr>
            <w:tcW w:w="850" w:type="dxa"/>
          </w:tcPr>
          <w:p w14:paraId="6D91394B"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AF</w:t>
            </w:r>
          </w:p>
        </w:tc>
        <w:tc>
          <w:tcPr>
            <w:tcW w:w="1843" w:type="dxa"/>
          </w:tcPr>
          <w:p w14:paraId="774FE99B"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Sub</w:t>
            </w:r>
          </w:p>
        </w:tc>
        <w:tc>
          <w:tcPr>
            <w:tcW w:w="851" w:type="dxa"/>
          </w:tcPr>
          <w:p w14:paraId="4FC1C6C9" w14:textId="77777777" w:rsidR="00846421" w:rsidRPr="0017709F" w:rsidRDefault="00846421" w:rsidP="005F3D47">
            <w:pPr>
              <w:spacing w:before="120" w:after="120"/>
              <w:jc w:val="both"/>
              <w:rPr>
                <w:rFonts w:cstheme="minorHAnsi"/>
                <w:sz w:val="20"/>
                <w:szCs w:val="20"/>
                <w:lang w:val="en-GB"/>
              </w:rPr>
            </w:pPr>
            <w:proofErr w:type="spellStart"/>
            <w:r w:rsidRPr="0017709F">
              <w:rPr>
                <w:rFonts w:cstheme="minorHAnsi"/>
                <w:sz w:val="20"/>
                <w:szCs w:val="20"/>
                <w:lang w:val="en-GB"/>
              </w:rPr>
              <w:t>Juv</w:t>
            </w:r>
            <w:proofErr w:type="spellEnd"/>
          </w:p>
        </w:tc>
        <w:tc>
          <w:tcPr>
            <w:tcW w:w="1134" w:type="dxa"/>
          </w:tcPr>
          <w:p w14:paraId="57F3E103" w14:textId="77777777" w:rsidR="00846421" w:rsidRPr="0017709F" w:rsidRDefault="00846421" w:rsidP="005F3D47">
            <w:pPr>
              <w:spacing w:before="120" w:after="120"/>
              <w:jc w:val="both"/>
              <w:rPr>
                <w:rFonts w:cstheme="minorHAnsi"/>
                <w:sz w:val="20"/>
                <w:szCs w:val="20"/>
                <w:lang w:val="en-GB"/>
              </w:rPr>
            </w:pPr>
            <w:proofErr w:type="spellStart"/>
            <w:r w:rsidRPr="0017709F">
              <w:rPr>
                <w:rFonts w:cstheme="minorHAnsi"/>
                <w:sz w:val="20"/>
                <w:szCs w:val="20"/>
                <w:lang w:val="en-GB"/>
              </w:rPr>
              <w:t>Inf</w:t>
            </w:r>
            <w:proofErr w:type="spellEnd"/>
          </w:p>
        </w:tc>
        <w:tc>
          <w:tcPr>
            <w:tcW w:w="2693" w:type="dxa"/>
          </w:tcPr>
          <w:p w14:paraId="420C21AE" w14:textId="248DEF48"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Infant date of birth</w:t>
            </w:r>
            <w:r w:rsidR="00ED37D9" w:rsidRPr="00ED37D9">
              <w:rPr>
                <w:rFonts w:cstheme="minorHAnsi"/>
                <w:sz w:val="20"/>
                <w:szCs w:val="20"/>
                <w:vertAlign w:val="superscript"/>
                <w:lang w:val="en-GB"/>
              </w:rPr>
              <w:t>*</w:t>
            </w:r>
          </w:p>
        </w:tc>
      </w:tr>
      <w:tr w:rsidR="00846421" w:rsidRPr="0017709F" w14:paraId="4ADF85F3" w14:textId="77777777" w:rsidTr="00060BBA">
        <w:trPr>
          <w:trHeight w:val="172"/>
        </w:trPr>
        <w:tc>
          <w:tcPr>
            <w:tcW w:w="744" w:type="dxa"/>
            <w:vMerge w:val="restart"/>
          </w:tcPr>
          <w:p w14:paraId="30602E1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584" w:type="dxa"/>
          </w:tcPr>
          <w:p w14:paraId="74D4AD86"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Jun – Dec 2017</w:t>
            </w:r>
          </w:p>
        </w:tc>
        <w:tc>
          <w:tcPr>
            <w:tcW w:w="2062" w:type="dxa"/>
            <w:vMerge w:val="restart"/>
          </w:tcPr>
          <w:p w14:paraId="1E11DBFA" w14:textId="77777777" w:rsidR="00846421" w:rsidRPr="0017709F" w:rsidRDefault="00846421" w:rsidP="005F3D47">
            <w:pPr>
              <w:spacing w:before="120" w:after="120"/>
              <w:jc w:val="both"/>
              <w:rPr>
                <w:rFonts w:cstheme="minorHAnsi"/>
                <w:sz w:val="20"/>
                <w:szCs w:val="20"/>
                <w:lang w:val="en-GB"/>
              </w:rPr>
            </w:pPr>
            <w:r w:rsidRPr="0017709F">
              <w:rPr>
                <w:rFonts w:cstheme="minorHAnsi"/>
                <w:color w:val="000000"/>
                <w:sz w:val="20"/>
                <w:szCs w:val="20"/>
                <w:lang w:val="en-GB"/>
              </w:rPr>
              <w:t>482.4</w:t>
            </w:r>
          </w:p>
        </w:tc>
        <w:tc>
          <w:tcPr>
            <w:tcW w:w="2268" w:type="dxa"/>
            <w:vMerge w:val="restart"/>
          </w:tcPr>
          <w:p w14:paraId="2E30C7AF"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139.4</w:t>
            </w:r>
          </w:p>
        </w:tc>
        <w:tc>
          <w:tcPr>
            <w:tcW w:w="992" w:type="dxa"/>
          </w:tcPr>
          <w:p w14:paraId="20695174"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850" w:type="dxa"/>
          </w:tcPr>
          <w:p w14:paraId="0366908F"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843" w:type="dxa"/>
          </w:tcPr>
          <w:p w14:paraId="10C4610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 (M)</w:t>
            </w:r>
          </w:p>
        </w:tc>
        <w:tc>
          <w:tcPr>
            <w:tcW w:w="851" w:type="dxa"/>
          </w:tcPr>
          <w:p w14:paraId="58CAB097"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134" w:type="dxa"/>
          </w:tcPr>
          <w:p w14:paraId="72E57E66"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2693" w:type="dxa"/>
          </w:tcPr>
          <w:p w14:paraId="692EFE52"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w:t>
            </w:r>
          </w:p>
        </w:tc>
      </w:tr>
      <w:tr w:rsidR="00846421" w:rsidRPr="0017709F" w14:paraId="42CB825D" w14:textId="77777777" w:rsidTr="00060BBA">
        <w:trPr>
          <w:trHeight w:val="172"/>
        </w:trPr>
        <w:tc>
          <w:tcPr>
            <w:tcW w:w="744" w:type="dxa"/>
            <w:vMerge/>
          </w:tcPr>
          <w:p w14:paraId="7C22A646" w14:textId="77777777" w:rsidR="00846421" w:rsidRPr="0017709F" w:rsidRDefault="00846421" w:rsidP="005F3D47">
            <w:pPr>
              <w:spacing w:before="120" w:after="120"/>
              <w:jc w:val="both"/>
              <w:rPr>
                <w:rFonts w:cstheme="minorHAnsi"/>
                <w:sz w:val="20"/>
                <w:szCs w:val="20"/>
                <w:lang w:val="en-GB"/>
              </w:rPr>
            </w:pPr>
          </w:p>
        </w:tc>
        <w:tc>
          <w:tcPr>
            <w:tcW w:w="1584" w:type="dxa"/>
          </w:tcPr>
          <w:p w14:paraId="5851B3F4"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Sep – Dec 2018</w:t>
            </w:r>
          </w:p>
        </w:tc>
        <w:tc>
          <w:tcPr>
            <w:tcW w:w="2062" w:type="dxa"/>
            <w:vMerge/>
          </w:tcPr>
          <w:p w14:paraId="51718077" w14:textId="77777777" w:rsidR="00846421" w:rsidRPr="0017709F" w:rsidRDefault="00846421" w:rsidP="005F3D47">
            <w:pPr>
              <w:spacing w:before="120" w:after="120"/>
              <w:jc w:val="both"/>
              <w:rPr>
                <w:rFonts w:cstheme="minorHAnsi"/>
                <w:sz w:val="20"/>
                <w:szCs w:val="20"/>
                <w:lang w:val="en-GB"/>
              </w:rPr>
            </w:pPr>
          </w:p>
        </w:tc>
        <w:tc>
          <w:tcPr>
            <w:tcW w:w="2268" w:type="dxa"/>
            <w:vMerge/>
          </w:tcPr>
          <w:p w14:paraId="0A5A337E" w14:textId="77777777" w:rsidR="00846421" w:rsidRPr="0017709F" w:rsidRDefault="00846421" w:rsidP="005F3D47">
            <w:pPr>
              <w:spacing w:before="120" w:after="120"/>
              <w:jc w:val="both"/>
              <w:rPr>
                <w:rFonts w:cstheme="minorHAnsi"/>
                <w:sz w:val="20"/>
                <w:szCs w:val="20"/>
                <w:lang w:val="en-GB"/>
              </w:rPr>
            </w:pPr>
          </w:p>
        </w:tc>
        <w:tc>
          <w:tcPr>
            <w:tcW w:w="992" w:type="dxa"/>
          </w:tcPr>
          <w:p w14:paraId="41762F9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850" w:type="dxa"/>
          </w:tcPr>
          <w:p w14:paraId="6E0C338E"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843" w:type="dxa"/>
          </w:tcPr>
          <w:p w14:paraId="6522B2EA"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 (M)</w:t>
            </w:r>
          </w:p>
        </w:tc>
        <w:tc>
          <w:tcPr>
            <w:tcW w:w="851" w:type="dxa"/>
          </w:tcPr>
          <w:p w14:paraId="7F369D3C"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134" w:type="dxa"/>
          </w:tcPr>
          <w:p w14:paraId="6D3B0C04"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2693" w:type="dxa"/>
          </w:tcPr>
          <w:p w14:paraId="0D48F429"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05.06.2018</w:t>
            </w:r>
          </w:p>
        </w:tc>
      </w:tr>
      <w:tr w:rsidR="00846421" w:rsidRPr="0017709F" w14:paraId="50ED9D39" w14:textId="77777777" w:rsidTr="00060BBA">
        <w:trPr>
          <w:trHeight w:val="461"/>
        </w:trPr>
        <w:tc>
          <w:tcPr>
            <w:tcW w:w="744" w:type="dxa"/>
            <w:vMerge w:val="restart"/>
          </w:tcPr>
          <w:p w14:paraId="14550FD7"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2</w:t>
            </w:r>
          </w:p>
        </w:tc>
        <w:tc>
          <w:tcPr>
            <w:tcW w:w="1584" w:type="dxa"/>
          </w:tcPr>
          <w:p w14:paraId="1E4D6DB8"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Sep – Oct 2017</w:t>
            </w:r>
          </w:p>
        </w:tc>
        <w:tc>
          <w:tcPr>
            <w:tcW w:w="2062" w:type="dxa"/>
            <w:vMerge w:val="restart"/>
          </w:tcPr>
          <w:p w14:paraId="1B76F1AE" w14:textId="77777777" w:rsidR="00846421" w:rsidRPr="0017709F" w:rsidRDefault="00846421" w:rsidP="005F3D47">
            <w:pPr>
              <w:spacing w:before="120" w:after="120"/>
              <w:jc w:val="both"/>
              <w:rPr>
                <w:rFonts w:cstheme="minorHAnsi"/>
                <w:sz w:val="20"/>
                <w:szCs w:val="20"/>
                <w:lang w:val="en-GB"/>
              </w:rPr>
            </w:pPr>
            <w:r w:rsidRPr="0017709F">
              <w:rPr>
                <w:rFonts w:cstheme="minorHAnsi"/>
                <w:color w:val="000000"/>
                <w:sz w:val="20"/>
                <w:szCs w:val="20"/>
                <w:lang w:val="en-GB"/>
              </w:rPr>
              <w:t>479.9</w:t>
            </w:r>
          </w:p>
        </w:tc>
        <w:tc>
          <w:tcPr>
            <w:tcW w:w="2268" w:type="dxa"/>
            <w:vMerge w:val="restart"/>
          </w:tcPr>
          <w:p w14:paraId="3D225EC7"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55.3</w:t>
            </w:r>
          </w:p>
        </w:tc>
        <w:tc>
          <w:tcPr>
            <w:tcW w:w="992" w:type="dxa"/>
          </w:tcPr>
          <w:p w14:paraId="6A9AC578"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850" w:type="dxa"/>
          </w:tcPr>
          <w:p w14:paraId="4E9669E1"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843" w:type="dxa"/>
          </w:tcPr>
          <w:p w14:paraId="7B68BC0B"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851" w:type="dxa"/>
          </w:tcPr>
          <w:p w14:paraId="7C02F3FE"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1134" w:type="dxa"/>
          </w:tcPr>
          <w:p w14:paraId="18575D2C"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2693" w:type="dxa"/>
          </w:tcPr>
          <w:p w14:paraId="6A9E2B3C"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w:t>
            </w:r>
          </w:p>
        </w:tc>
      </w:tr>
      <w:tr w:rsidR="00846421" w:rsidRPr="0017709F" w14:paraId="2A0D3F9C" w14:textId="77777777" w:rsidTr="00060BBA">
        <w:trPr>
          <w:trHeight w:val="704"/>
        </w:trPr>
        <w:tc>
          <w:tcPr>
            <w:tcW w:w="744" w:type="dxa"/>
            <w:vMerge/>
          </w:tcPr>
          <w:p w14:paraId="46B57A49" w14:textId="77777777" w:rsidR="00846421" w:rsidRPr="0017709F" w:rsidRDefault="00846421" w:rsidP="005F3D47">
            <w:pPr>
              <w:spacing w:before="120" w:after="120"/>
              <w:jc w:val="both"/>
              <w:rPr>
                <w:rFonts w:cstheme="minorHAnsi"/>
                <w:sz w:val="20"/>
                <w:szCs w:val="20"/>
                <w:lang w:val="en-GB"/>
              </w:rPr>
            </w:pPr>
          </w:p>
        </w:tc>
        <w:tc>
          <w:tcPr>
            <w:tcW w:w="1584" w:type="dxa"/>
          </w:tcPr>
          <w:p w14:paraId="3B210F8C"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Jul 2018, Oct – Dec 2018</w:t>
            </w:r>
          </w:p>
        </w:tc>
        <w:tc>
          <w:tcPr>
            <w:tcW w:w="2062" w:type="dxa"/>
            <w:vMerge/>
          </w:tcPr>
          <w:p w14:paraId="7E5E3D34" w14:textId="77777777" w:rsidR="00846421" w:rsidRPr="0017709F" w:rsidRDefault="00846421" w:rsidP="005F3D47">
            <w:pPr>
              <w:spacing w:before="120" w:after="120"/>
              <w:jc w:val="both"/>
              <w:rPr>
                <w:rFonts w:cstheme="minorHAnsi"/>
                <w:sz w:val="20"/>
                <w:szCs w:val="20"/>
                <w:lang w:val="en-GB"/>
              </w:rPr>
            </w:pPr>
          </w:p>
        </w:tc>
        <w:tc>
          <w:tcPr>
            <w:tcW w:w="2268" w:type="dxa"/>
            <w:vMerge/>
          </w:tcPr>
          <w:p w14:paraId="005F01CF" w14:textId="77777777" w:rsidR="00846421" w:rsidRPr="0017709F" w:rsidRDefault="00846421" w:rsidP="005F3D47">
            <w:pPr>
              <w:spacing w:before="120" w:after="120"/>
              <w:jc w:val="both"/>
              <w:rPr>
                <w:rFonts w:cstheme="minorHAnsi"/>
                <w:sz w:val="20"/>
                <w:szCs w:val="20"/>
                <w:lang w:val="en-GB"/>
              </w:rPr>
            </w:pPr>
          </w:p>
        </w:tc>
        <w:tc>
          <w:tcPr>
            <w:tcW w:w="992" w:type="dxa"/>
          </w:tcPr>
          <w:p w14:paraId="57D516DF"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850" w:type="dxa"/>
          </w:tcPr>
          <w:p w14:paraId="24DB5D74"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843" w:type="dxa"/>
          </w:tcPr>
          <w:p w14:paraId="0E9CF759"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851" w:type="dxa"/>
          </w:tcPr>
          <w:p w14:paraId="36C9BA6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1134" w:type="dxa"/>
          </w:tcPr>
          <w:p w14:paraId="74007CD8"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2693" w:type="dxa"/>
          </w:tcPr>
          <w:p w14:paraId="51C26799"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26.10.2018</w:t>
            </w:r>
          </w:p>
        </w:tc>
      </w:tr>
      <w:tr w:rsidR="00846421" w:rsidRPr="0017709F" w14:paraId="1E6079C4" w14:textId="77777777" w:rsidTr="00060BBA">
        <w:trPr>
          <w:trHeight w:val="461"/>
        </w:trPr>
        <w:tc>
          <w:tcPr>
            <w:tcW w:w="744" w:type="dxa"/>
            <w:vMerge w:val="restart"/>
          </w:tcPr>
          <w:p w14:paraId="594E142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3</w:t>
            </w:r>
          </w:p>
        </w:tc>
        <w:tc>
          <w:tcPr>
            <w:tcW w:w="1584" w:type="dxa"/>
          </w:tcPr>
          <w:p w14:paraId="2367AC6E"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Oct – Dec 2017</w:t>
            </w:r>
          </w:p>
        </w:tc>
        <w:tc>
          <w:tcPr>
            <w:tcW w:w="2062" w:type="dxa"/>
            <w:vMerge w:val="restart"/>
          </w:tcPr>
          <w:p w14:paraId="5B4EBB65" w14:textId="77777777" w:rsidR="00846421" w:rsidRPr="0017709F" w:rsidRDefault="00846421" w:rsidP="005F3D47">
            <w:pPr>
              <w:spacing w:before="120" w:after="120"/>
              <w:jc w:val="both"/>
              <w:rPr>
                <w:rFonts w:cstheme="minorHAnsi"/>
                <w:sz w:val="20"/>
                <w:szCs w:val="20"/>
                <w:lang w:val="en-GB"/>
              </w:rPr>
            </w:pPr>
            <w:r w:rsidRPr="0017709F">
              <w:rPr>
                <w:rFonts w:cstheme="minorHAnsi"/>
                <w:color w:val="000000"/>
                <w:sz w:val="20"/>
                <w:szCs w:val="20"/>
                <w:lang w:val="en-GB"/>
              </w:rPr>
              <w:t>393.6</w:t>
            </w:r>
          </w:p>
        </w:tc>
        <w:tc>
          <w:tcPr>
            <w:tcW w:w="2268" w:type="dxa"/>
            <w:vMerge w:val="restart"/>
          </w:tcPr>
          <w:p w14:paraId="7677FDCF"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20.8</w:t>
            </w:r>
          </w:p>
        </w:tc>
        <w:tc>
          <w:tcPr>
            <w:tcW w:w="992" w:type="dxa"/>
          </w:tcPr>
          <w:p w14:paraId="7450F28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850" w:type="dxa"/>
          </w:tcPr>
          <w:p w14:paraId="6074D020"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843" w:type="dxa"/>
          </w:tcPr>
          <w:p w14:paraId="7C61468B"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851" w:type="dxa"/>
          </w:tcPr>
          <w:p w14:paraId="3ADC4A6B"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134" w:type="dxa"/>
          </w:tcPr>
          <w:p w14:paraId="301FB188"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2693" w:type="dxa"/>
          </w:tcPr>
          <w:p w14:paraId="4AEA6CE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09.2018</w:t>
            </w:r>
          </w:p>
        </w:tc>
      </w:tr>
      <w:tr w:rsidR="00846421" w:rsidRPr="0017709F" w14:paraId="20EB9EA0" w14:textId="77777777" w:rsidTr="00060BBA">
        <w:trPr>
          <w:trHeight w:val="473"/>
        </w:trPr>
        <w:tc>
          <w:tcPr>
            <w:tcW w:w="744" w:type="dxa"/>
            <w:vMerge/>
          </w:tcPr>
          <w:p w14:paraId="762C0F3E" w14:textId="77777777" w:rsidR="00846421" w:rsidRPr="0017709F" w:rsidRDefault="00846421" w:rsidP="005F3D47">
            <w:pPr>
              <w:spacing w:before="120" w:after="120"/>
              <w:jc w:val="both"/>
              <w:rPr>
                <w:rFonts w:cstheme="minorHAnsi"/>
                <w:sz w:val="20"/>
                <w:szCs w:val="20"/>
                <w:lang w:val="en-GB"/>
              </w:rPr>
            </w:pPr>
          </w:p>
        </w:tc>
        <w:tc>
          <w:tcPr>
            <w:tcW w:w="1584" w:type="dxa"/>
          </w:tcPr>
          <w:p w14:paraId="1351C2D3"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Jun 2018</w:t>
            </w:r>
          </w:p>
        </w:tc>
        <w:tc>
          <w:tcPr>
            <w:tcW w:w="2062" w:type="dxa"/>
            <w:vMerge/>
          </w:tcPr>
          <w:p w14:paraId="42ABD186" w14:textId="77777777" w:rsidR="00846421" w:rsidRPr="0017709F" w:rsidRDefault="00846421" w:rsidP="005F3D47">
            <w:pPr>
              <w:spacing w:before="120" w:after="120"/>
              <w:jc w:val="both"/>
              <w:rPr>
                <w:rFonts w:cstheme="minorHAnsi"/>
                <w:sz w:val="20"/>
                <w:szCs w:val="20"/>
                <w:lang w:val="en-GB"/>
              </w:rPr>
            </w:pPr>
          </w:p>
        </w:tc>
        <w:tc>
          <w:tcPr>
            <w:tcW w:w="2268" w:type="dxa"/>
            <w:vMerge/>
          </w:tcPr>
          <w:p w14:paraId="5491D659" w14:textId="77777777" w:rsidR="00846421" w:rsidRPr="0017709F" w:rsidRDefault="00846421" w:rsidP="005F3D47">
            <w:pPr>
              <w:spacing w:before="120" w:after="120"/>
              <w:jc w:val="both"/>
              <w:rPr>
                <w:rFonts w:cstheme="minorHAnsi"/>
                <w:sz w:val="20"/>
                <w:szCs w:val="20"/>
                <w:lang w:val="en-GB"/>
              </w:rPr>
            </w:pPr>
          </w:p>
        </w:tc>
        <w:tc>
          <w:tcPr>
            <w:tcW w:w="992" w:type="dxa"/>
          </w:tcPr>
          <w:p w14:paraId="79D8F7E9"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850" w:type="dxa"/>
          </w:tcPr>
          <w:p w14:paraId="13AB8ED9"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843" w:type="dxa"/>
          </w:tcPr>
          <w:p w14:paraId="3793CF3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 (M)</w:t>
            </w:r>
          </w:p>
        </w:tc>
        <w:tc>
          <w:tcPr>
            <w:tcW w:w="851" w:type="dxa"/>
          </w:tcPr>
          <w:p w14:paraId="3C80FCD2"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134" w:type="dxa"/>
          </w:tcPr>
          <w:p w14:paraId="3B6FD297"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2693" w:type="dxa"/>
          </w:tcPr>
          <w:p w14:paraId="4BEEBD93"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w:t>
            </w:r>
          </w:p>
        </w:tc>
      </w:tr>
      <w:tr w:rsidR="00846421" w:rsidRPr="0017709F" w14:paraId="094BC5FB" w14:textId="77777777" w:rsidTr="00060BBA">
        <w:trPr>
          <w:trHeight w:val="704"/>
        </w:trPr>
        <w:tc>
          <w:tcPr>
            <w:tcW w:w="744" w:type="dxa"/>
          </w:tcPr>
          <w:p w14:paraId="0A311B06"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4</w:t>
            </w:r>
          </w:p>
        </w:tc>
        <w:tc>
          <w:tcPr>
            <w:tcW w:w="1584" w:type="dxa"/>
          </w:tcPr>
          <w:p w14:paraId="18E65FD1"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Jun – Jul 2018, Sep – Oct 2018</w:t>
            </w:r>
          </w:p>
        </w:tc>
        <w:tc>
          <w:tcPr>
            <w:tcW w:w="2062" w:type="dxa"/>
          </w:tcPr>
          <w:p w14:paraId="58F695F6" w14:textId="77777777" w:rsidR="00846421" w:rsidRPr="0017709F" w:rsidRDefault="00846421" w:rsidP="005F3D47">
            <w:pPr>
              <w:spacing w:before="120" w:after="120"/>
              <w:jc w:val="both"/>
              <w:rPr>
                <w:rFonts w:cstheme="minorHAnsi"/>
                <w:sz w:val="20"/>
                <w:szCs w:val="20"/>
                <w:lang w:val="en-GB"/>
              </w:rPr>
            </w:pPr>
            <w:r w:rsidRPr="0017709F">
              <w:rPr>
                <w:rFonts w:cstheme="minorHAnsi"/>
                <w:color w:val="000000"/>
                <w:sz w:val="20"/>
                <w:szCs w:val="20"/>
                <w:lang w:val="en-GB"/>
              </w:rPr>
              <w:t>387.2</w:t>
            </w:r>
          </w:p>
        </w:tc>
        <w:tc>
          <w:tcPr>
            <w:tcW w:w="2268" w:type="dxa"/>
          </w:tcPr>
          <w:p w14:paraId="06E3F1B0"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86.0</w:t>
            </w:r>
          </w:p>
        </w:tc>
        <w:tc>
          <w:tcPr>
            <w:tcW w:w="992" w:type="dxa"/>
          </w:tcPr>
          <w:p w14:paraId="71BB8EF4"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850" w:type="dxa"/>
          </w:tcPr>
          <w:p w14:paraId="43681250"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843" w:type="dxa"/>
          </w:tcPr>
          <w:p w14:paraId="0A9361A8"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851" w:type="dxa"/>
          </w:tcPr>
          <w:p w14:paraId="53160E4C"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134" w:type="dxa"/>
          </w:tcPr>
          <w:p w14:paraId="102F5028"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2693" w:type="dxa"/>
          </w:tcPr>
          <w:p w14:paraId="0222BA2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w:t>
            </w:r>
          </w:p>
        </w:tc>
      </w:tr>
      <w:tr w:rsidR="00846421" w:rsidRPr="0017709F" w14:paraId="4C185BA4" w14:textId="77777777" w:rsidTr="00060BBA">
        <w:trPr>
          <w:trHeight w:val="461"/>
        </w:trPr>
        <w:tc>
          <w:tcPr>
            <w:tcW w:w="744" w:type="dxa"/>
          </w:tcPr>
          <w:p w14:paraId="3AF6EBED"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5</w:t>
            </w:r>
          </w:p>
        </w:tc>
        <w:tc>
          <w:tcPr>
            <w:tcW w:w="1584" w:type="dxa"/>
          </w:tcPr>
          <w:p w14:paraId="2DC5C758"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Aug – Oct 2018</w:t>
            </w:r>
          </w:p>
        </w:tc>
        <w:tc>
          <w:tcPr>
            <w:tcW w:w="2062" w:type="dxa"/>
          </w:tcPr>
          <w:p w14:paraId="177D46E0" w14:textId="77777777" w:rsidR="00846421" w:rsidRPr="0017709F" w:rsidRDefault="00846421" w:rsidP="005F3D47">
            <w:pPr>
              <w:spacing w:before="120" w:after="120"/>
              <w:jc w:val="both"/>
              <w:rPr>
                <w:rFonts w:cstheme="minorHAnsi"/>
                <w:sz w:val="20"/>
                <w:szCs w:val="20"/>
                <w:lang w:val="en-GB"/>
              </w:rPr>
            </w:pPr>
            <w:r w:rsidRPr="0017709F">
              <w:rPr>
                <w:rFonts w:cstheme="minorHAnsi"/>
                <w:color w:val="000000"/>
                <w:sz w:val="20"/>
                <w:szCs w:val="20"/>
                <w:lang w:val="en-GB"/>
              </w:rPr>
              <w:t>294.8</w:t>
            </w:r>
          </w:p>
        </w:tc>
        <w:tc>
          <w:tcPr>
            <w:tcW w:w="2268" w:type="dxa"/>
          </w:tcPr>
          <w:p w14:paraId="3C14B2ED"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38.3</w:t>
            </w:r>
          </w:p>
        </w:tc>
        <w:tc>
          <w:tcPr>
            <w:tcW w:w="992" w:type="dxa"/>
          </w:tcPr>
          <w:p w14:paraId="012106BE"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850" w:type="dxa"/>
          </w:tcPr>
          <w:p w14:paraId="6B0C55ED"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843" w:type="dxa"/>
          </w:tcPr>
          <w:p w14:paraId="53495A10"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851" w:type="dxa"/>
          </w:tcPr>
          <w:p w14:paraId="4010EBA8"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134" w:type="dxa"/>
          </w:tcPr>
          <w:p w14:paraId="642D6FAF"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2693" w:type="dxa"/>
          </w:tcPr>
          <w:p w14:paraId="3E227CBE"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w:t>
            </w:r>
          </w:p>
        </w:tc>
      </w:tr>
      <w:tr w:rsidR="00846421" w:rsidRPr="0017709F" w14:paraId="7AF5FA8E" w14:textId="77777777" w:rsidTr="00060BBA">
        <w:trPr>
          <w:trHeight w:val="691"/>
        </w:trPr>
        <w:tc>
          <w:tcPr>
            <w:tcW w:w="744" w:type="dxa"/>
            <w:vMerge w:val="restart"/>
          </w:tcPr>
          <w:p w14:paraId="5D807B84"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6</w:t>
            </w:r>
          </w:p>
        </w:tc>
        <w:tc>
          <w:tcPr>
            <w:tcW w:w="1584" w:type="dxa"/>
          </w:tcPr>
          <w:p w14:paraId="250F6819"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Aug – Oct 2017</w:t>
            </w:r>
          </w:p>
        </w:tc>
        <w:tc>
          <w:tcPr>
            <w:tcW w:w="2062" w:type="dxa"/>
            <w:vMerge w:val="restart"/>
          </w:tcPr>
          <w:p w14:paraId="5B194532" w14:textId="77777777" w:rsidR="00846421" w:rsidRPr="0017709F" w:rsidRDefault="00846421" w:rsidP="005F3D47">
            <w:pPr>
              <w:spacing w:before="120" w:after="120"/>
              <w:jc w:val="both"/>
              <w:rPr>
                <w:rFonts w:cstheme="minorHAnsi"/>
                <w:sz w:val="20"/>
                <w:szCs w:val="20"/>
                <w:lang w:val="en-GB"/>
              </w:rPr>
            </w:pPr>
            <w:r w:rsidRPr="0017709F">
              <w:rPr>
                <w:rFonts w:cstheme="minorHAnsi"/>
                <w:color w:val="000000"/>
                <w:sz w:val="20"/>
                <w:szCs w:val="20"/>
                <w:lang w:val="en-GB"/>
              </w:rPr>
              <w:t>520.3</w:t>
            </w:r>
          </w:p>
        </w:tc>
        <w:tc>
          <w:tcPr>
            <w:tcW w:w="2268" w:type="dxa"/>
            <w:vMerge w:val="restart"/>
          </w:tcPr>
          <w:p w14:paraId="73807F41"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38.4</w:t>
            </w:r>
          </w:p>
        </w:tc>
        <w:tc>
          <w:tcPr>
            <w:tcW w:w="992" w:type="dxa"/>
          </w:tcPr>
          <w:p w14:paraId="239ED6A1"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850" w:type="dxa"/>
          </w:tcPr>
          <w:p w14:paraId="1F9C9543"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843" w:type="dxa"/>
          </w:tcPr>
          <w:p w14:paraId="5516FCB6"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 (M) – 2 (</w:t>
            </w:r>
            <w:proofErr w:type="gramStart"/>
            <w:r w:rsidRPr="0017709F">
              <w:rPr>
                <w:rFonts w:cstheme="minorHAnsi"/>
                <w:sz w:val="20"/>
                <w:szCs w:val="20"/>
                <w:lang w:val="en-GB"/>
              </w:rPr>
              <w:t>M ,F</w:t>
            </w:r>
            <w:proofErr w:type="gramEnd"/>
            <w:r w:rsidRPr="0017709F">
              <w:rPr>
                <w:rFonts w:cstheme="minorHAnsi"/>
                <w:sz w:val="20"/>
                <w:szCs w:val="20"/>
                <w:lang w:val="en-GB"/>
              </w:rPr>
              <w:t>)</w:t>
            </w:r>
          </w:p>
        </w:tc>
        <w:tc>
          <w:tcPr>
            <w:tcW w:w="851" w:type="dxa"/>
          </w:tcPr>
          <w:p w14:paraId="6DE9B5FE"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134" w:type="dxa"/>
          </w:tcPr>
          <w:p w14:paraId="39F7D659"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2693" w:type="dxa"/>
          </w:tcPr>
          <w:p w14:paraId="73E6DE9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05.10.2017</w:t>
            </w:r>
          </w:p>
        </w:tc>
      </w:tr>
      <w:tr w:rsidR="00846421" w:rsidRPr="0017709F" w14:paraId="238FEA51" w14:textId="77777777" w:rsidTr="00060BBA">
        <w:trPr>
          <w:trHeight w:val="473"/>
        </w:trPr>
        <w:tc>
          <w:tcPr>
            <w:tcW w:w="744" w:type="dxa"/>
            <w:vMerge/>
          </w:tcPr>
          <w:p w14:paraId="499A0050" w14:textId="77777777" w:rsidR="00846421" w:rsidRPr="0017709F" w:rsidRDefault="00846421" w:rsidP="005F3D47">
            <w:pPr>
              <w:spacing w:before="120" w:after="120"/>
              <w:jc w:val="both"/>
              <w:rPr>
                <w:rFonts w:cstheme="minorHAnsi"/>
                <w:sz w:val="20"/>
                <w:szCs w:val="20"/>
                <w:lang w:val="en-GB"/>
              </w:rPr>
            </w:pPr>
          </w:p>
        </w:tc>
        <w:tc>
          <w:tcPr>
            <w:tcW w:w="1584" w:type="dxa"/>
          </w:tcPr>
          <w:p w14:paraId="340AD81A"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Jul 2018</w:t>
            </w:r>
          </w:p>
        </w:tc>
        <w:tc>
          <w:tcPr>
            <w:tcW w:w="2062" w:type="dxa"/>
            <w:vMerge/>
          </w:tcPr>
          <w:p w14:paraId="1F112B86" w14:textId="77777777" w:rsidR="00846421" w:rsidRPr="0017709F" w:rsidRDefault="00846421" w:rsidP="005F3D47">
            <w:pPr>
              <w:spacing w:before="120" w:after="120"/>
              <w:jc w:val="both"/>
              <w:rPr>
                <w:rFonts w:cstheme="minorHAnsi"/>
                <w:sz w:val="20"/>
                <w:szCs w:val="20"/>
                <w:lang w:val="en-GB"/>
              </w:rPr>
            </w:pPr>
          </w:p>
        </w:tc>
        <w:tc>
          <w:tcPr>
            <w:tcW w:w="2268" w:type="dxa"/>
            <w:vMerge/>
          </w:tcPr>
          <w:p w14:paraId="70BF717E" w14:textId="77777777" w:rsidR="00846421" w:rsidRPr="0017709F" w:rsidRDefault="00846421" w:rsidP="005F3D47">
            <w:pPr>
              <w:spacing w:before="120" w:after="120"/>
              <w:jc w:val="both"/>
              <w:rPr>
                <w:rFonts w:cstheme="minorHAnsi"/>
                <w:sz w:val="20"/>
                <w:szCs w:val="20"/>
                <w:lang w:val="en-GB"/>
              </w:rPr>
            </w:pPr>
          </w:p>
        </w:tc>
        <w:tc>
          <w:tcPr>
            <w:tcW w:w="992" w:type="dxa"/>
          </w:tcPr>
          <w:p w14:paraId="7B71E95A"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850" w:type="dxa"/>
          </w:tcPr>
          <w:p w14:paraId="5C122831"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843" w:type="dxa"/>
          </w:tcPr>
          <w:p w14:paraId="3F9CBB70"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2 (M, F)</w:t>
            </w:r>
          </w:p>
        </w:tc>
        <w:tc>
          <w:tcPr>
            <w:tcW w:w="851" w:type="dxa"/>
          </w:tcPr>
          <w:p w14:paraId="7ACF972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134" w:type="dxa"/>
          </w:tcPr>
          <w:p w14:paraId="08E65005"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2693" w:type="dxa"/>
          </w:tcPr>
          <w:p w14:paraId="069880C0"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w:t>
            </w:r>
          </w:p>
        </w:tc>
      </w:tr>
      <w:tr w:rsidR="00846421" w:rsidRPr="0017709F" w14:paraId="094D9C1A" w14:textId="77777777" w:rsidTr="00060BBA">
        <w:trPr>
          <w:trHeight w:val="704"/>
        </w:trPr>
        <w:tc>
          <w:tcPr>
            <w:tcW w:w="744" w:type="dxa"/>
          </w:tcPr>
          <w:p w14:paraId="631CF17A"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7</w:t>
            </w:r>
          </w:p>
        </w:tc>
        <w:tc>
          <w:tcPr>
            <w:tcW w:w="1584" w:type="dxa"/>
          </w:tcPr>
          <w:p w14:paraId="6868BD2B"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Aug 2018, Nov 2018</w:t>
            </w:r>
          </w:p>
        </w:tc>
        <w:tc>
          <w:tcPr>
            <w:tcW w:w="2062" w:type="dxa"/>
          </w:tcPr>
          <w:p w14:paraId="152E1163" w14:textId="77777777" w:rsidR="00846421" w:rsidRPr="0017709F" w:rsidRDefault="00846421" w:rsidP="005F3D47">
            <w:pPr>
              <w:spacing w:before="120" w:after="120"/>
              <w:jc w:val="both"/>
              <w:rPr>
                <w:rFonts w:cstheme="minorHAnsi"/>
                <w:sz w:val="20"/>
                <w:szCs w:val="20"/>
                <w:lang w:val="en-GB"/>
              </w:rPr>
            </w:pPr>
            <w:r w:rsidRPr="0017709F">
              <w:rPr>
                <w:rFonts w:cstheme="minorHAnsi"/>
                <w:color w:val="000000"/>
                <w:sz w:val="20"/>
                <w:szCs w:val="20"/>
                <w:lang w:val="en-GB"/>
              </w:rPr>
              <w:t>192.6</w:t>
            </w:r>
          </w:p>
        </w:tc>
        <w:tc>
          <w:tcPr>
            <w:tcW w:w="2268" w:type="dxa"/>
          </w:tcPr>
          <w:p w14:paraId="235DB29F"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12.7</w:t>
            </w:r>
          </w:p>
        </w:tc>
        <w:tc>
          <w:tcPr>
            <w:tcW w:w="992" w:type="dxa"/>
          </w:tcPr>
          <w:p w14:paraId="5C9A4551"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850" w:type="dxa"/>
          </w:tcPr>
          <w:p w14:paraId="2562202D"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1843" w:type="dxa"/>
          </w:tcPr>
          <w:p w14:paraId="40791977"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851" w:type="dxa"/>
          </w:tcPr>
          <w:p w14:paraId="00D2D023"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w:t>
            </w:r>
          </w:p>
        </w:tc>
        <w:tc>
          <w:tcPr>
            <w:tcW w:w="1134" w:type="dxa"/>
          </w:tcPr>
          <w:p w14:paraId="32878364"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1</w:t>
            </w:r>
          </w:p>
        </w:tc>
        <w:tc>
          <w:tcPr>
            <w:tcW w:w="2693" w:type="dxa"/>
          </w:tcPr>
          <w:p w14:paraId="13C86168" w14:textId="77777777" w:rsidR="00846421" w:rsidRPr="0017709F" w:rsidRDefault="00846421" w:rsidP="005F3D47">
            <w:pPr>
              <w:spacing w:before="120" w:after="120"/>
              <w:jc w:val="both"/>
              <w:rPr>
                <w:rFonts w:cstheme="minorHAnsi"/>
                <w:sz w:val="20"/>
                <w:szCs w:val="20"/>
                <w:lang w:val="en-GB"/>
              </w:rPr>
            </w:pPr>
            <w:r w:rsidRPr="0017709F">
              <w:rPr>
                <w:rFonts w:cstheme="minorHAnsi"/>
                <w:sz w:val="20"/>
                <w:szCs w:val="20"/>
                <w:lang w:val="en-GB"/>
              </w:rPr>
              <w:t>01.11.2018</w:t>
            </w:r>
          </w:p>
        </w:tc>
      </w:tr>
    </w:tbl>
    <w:p w14:paraId="0210257F" w14:textId="74216F93" w:rsidR="0046637E" w:rsidRDefault="0046637E"/>
    <w:p w14:paraId="41C2531D" w14:textId="77F4120C" w:rsidR="00ED37D9" w:rsidRDefault="00ED37D9">
      <w:pPr>
        <w:rPr>
          <w:rFonts w:cstheme="minorHAnsi"/>
          <w:sz w:val="20"/>
          <w:szCs w:val="20"/>
          <w:lang w:val="en-US"/>
        </w:rPr>
      </w:pPr>
      <w:r>
        <w:rPr>
          <w:rFonts w:cstheme="minorHAnsi"/>
          <w:sz w:val="20"/>
          <w:szCs w:val="20"/>
          <w:lang w:val="en-US"/>
        </w:rPr>
        <w:t xml:space="preserve">* </w:t>
      </w:r>
      <w:r w:rsidRPr="00ED37D9">
        <w:rPr>
          <w:rFonts w:cstheme="minorHAnsi"/>
          <w:sz w:val="20"/>
          <w:szCs w:val="20"/>
          <w:lang w:val="en-US"/>
        </w:rPr>
        <w:t xml:space="preserve">We estimated an infant’s date of birth as the midpoint between the dates when a group was last seen without and first seen with an infant. The difference between these dates varied between 0 and 26 days. For Group 3, the date of birth could only be estimated within a month based on body size as the group already had an infant when we started to follow it. However, at the end of the study period the infant still did not begin to travel independently, indicating that it was younger </w:t>
      </w:r>
      <w:r w:rsidRPr="00F651BF">
        <w:rPr>
          <w:rFonts w:cstheme="minorHAnsi"/>
          <w:sz w:val="20"/>
          <w:szCs w:val="20"/>
          <w:lang w:val="en-US"/>
        </w:rPr>
        <w:t>than 4 months</w:t>
      </w:r>
      <w:r w:rsidR="00F651BF" w:rsidRPr="00F651BF">
        <w:rPr>
          <w:rFonts w:cstheme="minorHAnsi"/>
          <w:sz w:val="20"/>
          <w:szCs w:val="20"/>
          <w:lang w:val="en-US"/>
        </w:rPr>
        <w:t xml:space="preserve"> </w:t>
      </w:r>
      <w:r w:rsidR="00F651BF" w:rsidRPr="00F651BF">
        <w:rPr>
          <w:rFonts w:cstheme="minorHAnsi"/>
          <w:sz w:val="20"/>
          <w:szCs w:val="20"/>
          <w:lang w:val="en-US"/>
        </w:rPr>
        <w:fldChar w:fldCharType="begin" w:fldLock="1"/>
      </w:r>
      <w:r w:rsidR="00F651BF">
        <w:rPr>
          <w:rFonts w:cstheme="minorHAnsi"/>
          <w:sz w:val="20"/>
          <w:szCs w:val="20"/>
          <w:lang w:val="en-US"/>
        </w:rPr>
        <w:instrText>ADDIN CSL_CITATION {"citationItems":[{"id":"ITEM-1","itemData":{"DOI":"10.1002/ajp.1350020207","ISSN":"0275-2565","author":[{"dropping-particle":"","family":"Fragaszy","given":"D. M.","non-dropping-particle":"","parse-names":false,"suffix":""},{"dropping-particle":"","family":"Schwarz","given":"S.","non-dropping-particle":"","parse-names":false,"suffix":""},{"dropping-particle":"","family":"Shimosaka","given":"D.","non-dropping-particle":"","parse-names":false,"suffix":""}],"container-title":"American Journal of Primatology","id":"ITEM-1","issue":"2","issued":{"date-parts":[["1982"]]},"page":"191-200","publisher":"John Wiley &amp; Sons, Ltd","title":"Longitudinal observations of care and development of infant titi monkeys (&lt;i&gt;Callicebus moloch&lt;/i&gt;)","type":"article-journal","volume":"2"},"uris":["http://www.mendeley.com/documents/?uuid=cb5b8a0f-efa3-3d20-ba4e-e45ab4a80b62"]},{"id":"ITEM-2","itemData":{"author":[{"dropping-particle":"","family":"Wright","given":"Patricia C.","non-dropping-particle":"","parse-names":false,"suffix":""}],"container-title":"Female primates: studies by women primatologists","editor":[{"dropping-particle":"","family":"Small","given":"M. F.","non-dropping-particle":"","parse-names":false,"suffix":""}],"id":"ITEM-2","issued":{"date-parts":[["1984"]]},"page":"59-75","publisher":"Alan R. Liss","publisher-place":"New York, NY","title":"Biparental care in &lt;i&gt;Aotus trivirgatus&lt;/i&gt; and &lt;i&gt;Callicebus moloch&lt;/i&gt;","type":"chapter"},"uris":["http://www.mendeley.com/documents/?uuid=8a0c6729-5a00-484b-a6c4-b063a1514a67"]}],"mendeley":{"formattedCitation":"(1,2)","plainTextFormattedCitation":"(1,2)","previouslyFormattedCitation":"(28,35)"},"properties":{"noteIndex":0},"schema":"https://github.com/citation-style-language/schema/raw/master/csl-citation.json"}</w:instrText>
      </w:r>
      <w:r w:rsidR="00F651BF" w:rsidRPr="00F651BF">
        <w:rPr>
          <w:rFonts w:cstheme="minorHAnsi"/>
          <w:sz w:val="20"/>
          <w:szCs w:val="20"/>
          <w:lang w:val="en-US"/>
        </w:rPr>
        <w:fldChar w:fldCharType="separate"/>
      </w:r>
      <w:r w:rsidR="00F651BF" w:rsidRPr="00F651BF">
        <w:rPr>
          <w:rFonts w:cstheme="minorHAnsi"/>
          <w:noProof/>
          <w:sz w:val="20"/>
          <w:szCs w:val="20"/>
          <w:lang w:val="en-US"/>
        </w:rPr>
        <w:t>(1,2)</w:t>
      </w:r>
      <w:r w:rsidR="00F651BF" w:rsidRPr="00F651BF">
        <w:rPr>
          <w:rFonts w:cstheme="minorHAnsi"/>
          <w:sz w:val="20"/>
          <w:szCs w:val="20"/>
          <w:lang w:val="en-US"/>
        </w:rPr>
        <w:fldChar w:fldCharType="end"/>
      </w:r>
      <w:r w:rsidRPr="00F651BF">
        <w:rPr>
          <w:rFonts w:cstheme="minorHAnsi"/>
          <w:sz w:val="20"/>
          <w:szCs w:val="20"/>
          <w:lang w:val="en-US"/>
        </w:rPr>
        <w:t>.</w:t>
      </w:r>
    </w:p>
    <w:p w14:paraId="1200DBED" w14:textId="4601D8DB" w:rsidR="00F651BF" w:rsidRDefault="00F651BF">
      <w:pPr>
        <w:rPr>
          <w:sz w:val="20"/>
          <w:szCs w:val="20"/>
        </w:rPr>
      </w:pPr>
    </w:p>
    <w:p w14:paraId="2446ED93" w14:textId="74844C76" w:rsidR="00F651BF" w:rsidRPr="00F651BF" w:rsidRDefault="00F651BF" w:rsidP="00F651BF">
      <w:pPr>
        <w:widowControl w:val="0"/>
        <w:autoSpaceDE w:val="0"/>
        <w:autoSpaceDN w:val="0"/>
        <w:adjustRightInd w:val="0"/>
        <w:ind w:left="640" w:hanging="640"/>
        <w:rPr>
          <w:rFonts w:ascii="Calibri" w:hAnsi="Calibri" w:cs="Calibri"/>
          <w:noProof/>
          <w:sz w:val="20"/>
          <w:lang w:val="en-US"/>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Pr="00F651BF">
        <w:rPr>
          <w:rFonts w:ascii="Calibri" w:hAnsi="Calibri" w:cs="Calibri"/>
          <w:noProof/>
          <w:sz w:val="20"/>
          <w:lang w:val="en-US"/>
        </w:rPr>
        <w:t xml:space="preserve">1. </w:t>
      </w:r>
      <w:r w:rsidRPr="00F651BF">
        <w:rPr>
          <w:rFonts w:ascii="Calibri" w:hAnsi="Calibri" w:cs="Calibri"/>
          <w:noProof/>
          <w:sz w:val="20"/>
          <w:lang w:val="en-US"/>
        </w:rPr>
        <w:tab/>
        <w:t>Fragaszy DM, Schwarz S, Shimosaka D. Longitudinal observations of care and development of infant titi monkeys (</w:t>
      </w:r>
      <w:r w:rsidRPr="00F651BF">
        <w:rPr>
          <w:rFonts w:ascii="Calibri" w:hAnsi="Calibri" w:cs="Calibri"/>
          <w:i/>
          <w:iCs/>
          <w:noProof/>
          <w:sz w:val="20"/>
          <w:lang w:val="en-US"/>
        </w:rPr>
        <w:t>Callicebus moloch</w:t>
      </w:r>
      <w:r w:rsidRPr="00F651BF">
        <w:rPr>
          <w:rFonts w:ascii="Calibri" w:hAnsi="Calibri" w:cs="Calibri"/>
          <w:noProof/>
          <w:sz w:val="20"/>
          <w:lang w:val="en-US"/>
        </w:rPr>
        <w:t>). Am J Primatol. 1982;doi:2:191–200. 10.1002/ajp.1350020207</w:t>
      </w:r>
    </w:p>
    <w:p w14:paraId="5014E3B0" w14:textId="77777777" w:rsidR="00F651BF" w:rsidRPr="00F651BF" w:rsidRDefault="00F651BF" w:rsidP="00F651BF">
      <w:pPr>
        <w:widowControl w:val="0"/>
        <w:autoSpaceDE w:val="0"/>
        <w:autoSpaceDN w:val="0"/>
        <w:adjustRightInd w:val="0"/>
        <w:ind w:left="640" w:hanging="640"/>
        <w:rPr>
          <w:rFonts w:ascii="Calibri" w:hAnsi="Calibri" w:cs="Calibri"/>
          <w:noProof/>
          <w:sz w:val="20"/>
        </w:rPr>
      </w:pPr>
      <w:r w:rsidRPr="00F651BF">
        <w:rPr>
          <w:rFonts w:ascii="Calibri" w:hAnsi="Calibri" w:cs="Calibri"/>
          <w:noProof/>
          <w:sz w:val="20"/>
          <w:lang w:val="en-US"/>
        </w:rPr>
        <w:t xml:space="preserve">2. </w:t>
      </w:r>
      <w:r w:rsidRPr="00F651BF">
        <w:rPr>
          <w:rFonts w:ascii="Calibri" w:hAnsi="Calibri" w:cs="Calibri"/>
          <w:noProof/>
          <w:sz w:val="20"/>
          <w:lang w:val="en-US"/>
        </w:rPr>
        <w:tab/>
        <w:t xml:space="preserve">Wright PC. Biparental care in </w:t>
      </w:r>
      <w:r w:rsidRPr="00F651BF">
        <w:rPr>
          <w:rFonts w:ascii="Calibri" w:hAnsi="Calibri" w:cs="Calibri"/>
          <w:i/>
          <w:iCs/>
          <w:noProof/>
          <w:sz w:val="20"/>
          <w:lang w:val="en-US"/>
        </w:rPr>
        <w:t>Aotus trivirgatus</w:t>
      </w:r>
      <w:r w:rsidRPr="00F651BF">
        <w:rPr>
          <w:rFonts w:ascii="Calibri" w:hAnsi="Calibri" w:cs="Calibri"/>
          <w:noProof/>
          <w:sz w:val="20"/>
          <w:lang w:val="en-US"/>
        </w:rPr>
        <w:t xml:space="preserve"> </w:t>
      </w:r>
      <w:bookmarkStart w:id="0" w:name="_GoBack"/>
      <w:bookmarkEnd w:id="0"/>
      <w:r w:rsidRPr="00F651BF">
        <w:rPr>
          <w:rFonts w:ascii="Calibri" w:hAnsi="Calibri" w:cs="Calibri"/>
          <w:noProof/>
          <w:sz w:val="20"/>
          <w:lang w:val="en-US"/>
        </w:rPr>
        <w:t xml:space="preserve">and </w:t>
      </w:r>
      <w:r w:rsidRPr="00F651BF">
        <w:rPr>
          <w:rFonts w:ascii="Calibri" w:hAnsi="Calibri" w:cs="Calibri"/>
          <w:i/>
          <w:iCs/>
          <w:noProof/>
          <w:sz w:val="20"/>
          <w:lang w:val="en-US"/>
        </w:rPr>
        <w:t>Callicebus moloch</w:t>
      </w:r>
      <w:r w:rsidRPr="00F651BF">
        <w:rPr>
          <w:rFonts w:ascii="Calibri" w:hAnsi="Calibri" w:cs="Calibri"/>
          <w:noProof/>
          <w:sz w:val="20"/>
          <w:lang w:val="en-US"/>
        </w:rPr>
        <w:t xml:space="preserve">. In: Small MF, editor. Female primates: studies by women primatologists. New York, NY: Alan R. Liss; 1984. p. 59–75. </w:t>
      </w:r>
    </w:p>
    <w:p w14:paraId="4FE92785" w14:textId="69654CAB" w:rsidR="00F651BF" w:rsidRPr="00F651BF" w:rsidRDefault="00F651BF">
      <w:pPr>
        <w:rPr>
          <w:sz w:val="20"/>
          <w:szCs w:val="20"/>
        </w:rPr>
      </w:pPr>
      <w:r>
        <w:rPr>
          <w:sz w:val="20"/>
          <w:szCs w:val="20"/>
        </w:rPr>
        <w:fldChar w:fldCharType="end"/>
      </w:r>
    </w:p>
    <w:sectPr w:rsidR="00F651BF" w:rsidRPr="00F651BF" w:rsidSect="00772A47">
      <w:pgSz w:w="16840" w:h="11900" w:orient="landscape"/>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21"/>
    <w:rsid w:val="00060BBA"/>
    <w:rsid w:val="0046637E"/>
    <w:rsid w:val="00772A47"/>
    <w:rsid w:val="00794C84"/>
    <w:rsid w:val="00846421"/>
    <w:rsid w:val="00ED37D9"/>
    <w:rsid w:val="00F65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D643"/>
  <w15:chartTrackingRefBased/>
  <w15:docId w15:val="{64C5094C-5A96-504B-979D-A5CB8C1E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159E-AF35-EF40-ABDB-B2D47FA3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734</Words>
  <Characters>2974</Characters>
  <Application>Microsoft Office Word</Application>
  <DocSecurity>0</DocSecurity>
  <Lines>297</Lines>
  <Paragraphs>264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2019-07-25T15:49:00Z</dcterms:created>
  <dcterms:modified xsi:type="dcterms:W3CDTF">2019-08-15T11:16:00Z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http://csl.mendeley.com/styles/449692741/vancouver-2</vt:lpwstr>
  </property>
  <property fmtid="{D5CDD505-2E9C-101B-9397-08002B2CF9AE}" pid="19" name="Mendeley Recent Style Name 8_1">
    <vt:lpwstr>Vancouver - Sofya Dolotovskaya</vt:lpwstr>
  </property>
  <property fmtid="{D5CDD505-2E9C-101B-9397-08002B2CF9AE}" pid="20" name="Mendeley Recent Style Id 9_1">
    <vt:lpwstr>https://csl.mendeley.com/styles/449692741/vancouver-2</vt:lpwstr>
  </property>
  <property fmtid="{D5CDD505-2E9C-101B-9397-08002B2CF9AE}" pid="21" name="Mendeley Recent Style Name 9_1">
    <vt:lpwstr>Vancouver - Sofya Dolotovskaya</vt:lpwstr>
  </property>
  <property fmtid="{D5CDD505-2E9C-101B-9397-08002B2CF9AE}" pid="22" name="Mendeley Document_1">
    <vt:lpwstr>True</vt:lpwstr>
  </property>
  <property fmtid="{D5CDD505-2E9C-101B-9397-08002B2CF9AE}" pid="23" name="Mendeley Unique User Id_1">
    <vt:lpwstr>5815a7e9-8dff-3cf2-a4ec-2ef46b1a0880</vt:lpwstr>
  </property>
  <property fmtid="{D5CDD505-2E9C-101B-9397-08002B2CF9AE}" pid="24" name="Mendeley Citation Style_1">
    <vt:lpwstr>https://csl.mendeley.com/styles/449692741/vancouver-2</vt:lpwstr>
  </property>
</Properties>
</file>