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7BBF1" w14:textId="6311CC17" w:rsidR="00B70E6C" w:rsidRPr="00B70E6C" w:rsidRDefault="00B70E6C" w:rsidP="00B70E6C">
      <w:pPr>
        <w:tabs>
          <w:tab w:val="left" w:pos="426"/>
          <w:tab w:val="left" w:pos="700"/>
          <w:tab w:val="left" w:pos="1100"/>
          <w:tab w:val="left" w:pos="1400"/>
          <w:tab w:val="left" w:pos="2140"/>
          <w:tab w:val="left" w:pos="8140"/>
        </w:tabs>
        <w:ind w:left="706" w:hanging="706"/>
        <w:outlineLvl w:val="0"/>
        <w:rPr>
          <w:rStyle w:val="None"/>
          <w:rFonts w:eastAsia="Times New Roman"/>
        </w:rPr>
      </w:pPr>
      <w:r>
        <w:rPr>
          <w:rStyle w:val="None"/>
        </w:rPr>
        <w:t xml:space="preserve">Electronic supplementary material for </w:t>
      </w:r>
      <w:r w:rsidRPr="00B70E6C">
        <w:rPr>
          <w:rStyle w:val="None"/>
        </w:rPr>
        <w:t xml:space="preserve">Luo, S-X., L-J. Zhang, S. Yuan, Z-H. Ma, D-X. Zhang, and </w:t>
      </w:r>
      <w:r w:rsidRPr="00B70E6C">
        <w:rPr>
          <w:rStyle w:val="None"/>
          <w:bCs/>
        </w:rPr>
        <w:t>S. S. Renner</w:t>
      </w:r>
      <w:r w:rsidRPr="00B70E6C">
        <w:rPr>
          <w:rStyle w:val="None"/>
        </w:rPr>
        <w:t xml:space="preserve">. 2017. </w:t>
      </w:r>
      <w:r w:rsidRPr="00B70E6C">
        <w:t xml:space="preserve">The largest early-diverging angiosperm family is mostly pollinated by </w:t>
      </w:r>
      <w:proofErr w:type="spellStart"/>
      <w:r w:rsidRPr="00B70E6C">
        <w:t>ovipositing</w:t>
      </w:r>
      <w:proofErr w:type="spellEnd"/>
      <w:r w:rsidRPr="00B70E6C">
        <w:t xml:space="preserve"> insects and so are most surviving lineages of early angiosperms</w:t>
      </w:r>
      <w:r w:rsidRPr="00B70E6C">
        <w:rPr>
          <w:rFonts w:eastAsia="Times New Roman"/>
        </w:rPr>
        <w:t xml:space="preserve">. </w:t>
      </w:r>
      <w:r w:rsidRPr="00B70E6C">
        <w:rPr>
          <w:rStyle w:val="None"/>
        </w:rPr>
        <w:t>Proc. Roy. Soc. B, accepted 16 Nov. 2017</w:t>
      </w:r>
    </w:p>
    <w:p w14:paraId="542063A2" w14:textId="77777777" w:rsidR="00B70E6C" w:rsidRPr="00B70E6C" w:rsidRDefault="00B70E6C" w:rsidP="00055F85">
      <w:pPr>
        <w:spacing w:line="360" w:lineRule="auto"/>
        <w:rPr>
          <w:rStyle w:val="None"/>
          <w:bCs/>
          <w:color w:val="1A1A1A"/>
          <w:u w:color="1A1A1A"/>
        </w:rPr>
      </w:pPr>
    </w:p>
    <w:p w14:paraId="109BD778" w14:textId="77777777" w:rsidR="00055F85" w:rsidRPr="00B70E6C" w:rsidRDefault="00055F85" w:rsidP="0008424F">
      <w:pPr>
        <w:pStyle w:val="1"/>
        <w:spacing w:line="360" w:lineRule="auto"/>
        <w:jc w:val="left"/>
        <w:rPr>
          <w:rStyle w:val="None"/>
          <w:b/>
          <w:bCs/>
          <w:color w:val="1A1A1A"/>
          <w:sz w:val="24"/>
          <w:szCs w:val="24"/>
          <w:u w:color="1A1A1A"/>
        </w:rPr>
      </w:pPr>
      <w:r w:rsidRPr="00B70E6C">
        <w:rPr>
          <w:rStyle w:val="None"/>
          <w:b/>
          <w:bCs/>
          <w:color w:val="1A1A1A"/>
          <w:sz w:val="24"/>
          <w:szCs w:val="24"/>
          <w:u w:color="1A1A1A"/>
        </w:rPr>
        <w:t>Materials and methods</w:t>
      </w:r>
    </w:p>
    <w:p w14:paraId="45A5C62C" w14:textId="77777777" w:rsidR="00055F85" w:rsidRPr="00326A11" w:rsidRDefault="00055F85" w:rsidP="00055F85">
      <w:pPr>
        <w:pStyle w:val="1"/>
        <w:numPr>
          <w:ilvl w:val="0"/>
          <w:numId w:val="2"/>
        </w:numPr>
        <w:spacing w:line="360" w:lineRule="auto"/>
        <w:jc w:val="left"/>
        <w:rPr>
          <w:rStyle w:val="None"/>
          <w:iCs/>
          <w:sz w:val="24"/>
          <w:szCs w:val="24"/>
        </w:rPr>
      </w:pPr>
      <w:r w:rsidRPr="00326A11">
        <w:rPr>
          <w:rStyle w:val="None"/>
          <w:iCs/>
          <w:sz w:val="24"/>
          <w:szCs w:val="24"/>
        </w:rPr>
        <w:t>Study species, study sites, and observation periods</w:t>
      </w:r>
    </w:p>
    <w:p w14:paraId="03B06CF1" w14:textId="77777777" w:rsidR="00055F85" w:rsidRDefault="00055F85" w:rsidP="00055F85">
      <w:pPr>
        <w:pStyle w:val="1"/>
        <w:spacing w:line="360" w:lineRule="auto"/>
        <w:jc w:val="left"/>
        <w:rPr>
          <w:color w:val="231F20"/>
          <w:sz w:val="24"/>
          <w:szCs w:val="24"/>
        </w:rPr>
      </w:pPr>
      <w:r w:rsidRPr="002D17B7">
        <w:rPr>
          <w:rStyle w:val="None"/>
          <w:sz w:val="24"/>
          <w:szCs w:val="24"/>
        </w:rPr>
        <w:t xml:space="preserve">Flower phenology and morphology were monitored every few weeks by local assistants who visited marked plants and took photos of the floral (or fruiting) stages, which they sent the first author via email, so he could plan his visits to coincide with maximal flowering. </w:t>
      </w:r>
      <w:r w:rsidRPr="002D17B7">
        <w:rPr>
          <w:color w:val="231F20"/>
          <w:sz w:val="24"/>
          <w:szCs w:val="24"/>
        </w:rPr>
        <w:t>To determine pollen viability and the period of stigma receptivity, we used 3-(4 5-dimethylthiazol-2-yl)-2 5-di</w:t>
      </w:r>
      <w:r>
        <w:rPr>
          <w:color w:val="231F20"/>
          <w:sz w:val="24"/>
          <w:szCs w:val="24"/>
        </w:rPr>
        <w:t xml:space="preserve">phenyltetrazolium bromide </w:t>
      </w:r>
      <w:r w:rsidRPr="002D17B7">
        <w:rPr>
          <w:color w:val="231F20"/>
          <w:sz w:val="24"/>
          <w:szCs w:val="24"/>
        </w:rPr>
        <w:t>to test for the presence of dehydrogenase on pollen grains and stigma papillae (Rodriguez-</w:t>
      </w:r>
      <w:proofErr w:type="spellStart"/>
      <w:r w:rsidRPr="002D17B7">
        <w:rPr>
          <w:color w:val="231F20"/>
          <w:sz w:val="24"/>
          <w:szCs w:val="24"/>
        </w:rPr>
        <w:t>Riaño</w:t>
      </w:r>
      <w:proofErr w:type="spellEnd"/>
      <w:r w:rsidRPr="002D17B7">
        <w:rPr>
          <w:color w:val="231F20"/>
          <w:sz w:val="24"/>
          <w:szCs w:val="24"/>
        </w:rPr>
        <w:t xml:space="preserve"> and Dafni 2000).</w:t>
      </w:r>
    </w:p>
    <w:p w14:paraId="1A56BFB2" w14:textId="77777777" w:rsidR="00CF36CD" w:rsidRPr="002D17B7" w:rsidRDefault="00CF36CD" w:rsidP="00CF36CD">
      <w:pPr>
        <w:pStyle w:val="1"/>
        <w:spacing w:line="360" w:lineRule="auto"/>
        <w:jc w:val="left"/>
        <w:rPr>
          <w:rStyle w:val="None"/>
          <w:sz w:val="24"/>
          <w:szCs w:val="24"/>
        </w:rPr>
      </w:pPr>
    </w:p>
    <w:p w14:paraId="0D04DF51" w14:textId="19A59D17" w:rsidR="00CF36CD" w:rsidRPr="00326A11" w:rsidRDefault="00CF36CD" w:rsidP="0008424F">
      <w:pPr>
        <w:pStyle w:val="1"/>
        <w:numPr>
          <w:ilvl w:val="0"/>
          <w:numId w:val="2"/>
        </w:numPr>
        <w:spacing w:line="360" w:lineRule="auto"/>
        <w:jc w:val="left"/>
        <w:rPr>
          <w:rStyle w:val="None"/>
          <w:sz w:val="24"/>
          <w:szCs w:val="24"/>
        </w:rPr>
      </w:pPr>
      <w:r w:rsidRPr="00326A11">
        <w:rPr>
          <w:rStyle w:val="None"/>
          <w:iCs/>
          <w:sz w:val="24"/>
          <w:szCs w:val="24"/>
        </w:rPr>
        <w:t>Behavior, morphology, and life cycle of resin gall midges</w:t>
      </w:r>
    </w:p>
    <w:p w14:paraId="0EF7DD20" w14:textId="77777777" w:rsidR="00CF36CD" w:rsidRDefault="00CF36CD" w:rsidP="00CF36CD">
      <w:pPr>
        <w:pStyle w:val="1"/>
        <w:spacing w:line="360" w:lineRule="auto"/>
        <w:jc w:val="left"/>
        <w:rPr>
          <w:rStyle w:val="None"/>
          <w:sz w:val="24"/>
          <w:szCs w:val="24"/>
        </w:rPr>
      </w:pPr>
      <w:r w:rsidRPr="002D17B7">
        <w:rPr>
          <w:rStyle w:val="None"/>
          <w:sz w:val="24"/>
          <w:szCs w:val="24"/>
        </w:rPr>
        <w:t xml:space="preserve">Nocturnal and diurnal observations of flowering visitors were made for each species, covering the entire flowering period. Midge visiting and </w:t>
      </w:r>
      <w:proofErr w:type="spellStart"/>
      <w:r w:rsidRPr="002D17B7">
        <w:rPr>
          <w:rStyle w:val="None"/>
          <w:sz w:val="24"/>
          <w:szCs w:val="24"/>
        </w:rPr>
        <w:t>ovipositing</w:t>
      </w:r>
      <w:proofErr w:type="spellEnd"/>
      <w:r w:rsidRPr="002D17B7">
        <w:rPr>
          <w:rStyle w:val="None"/>
          <w:sz w:val="24"/>
          <w:szCs w:val="24"/>
        </w:rPr>
        <w:t xml:space="preserve"> behavior were studied by direct observation and by filming. Midges that had visited flowers were examined for pollen loads under a stereoscope as well as under SEM, focusing particularly on the abdomens and distal cerci (the ovipositor cannot easily be seen, but the cerci are conspicuous). We also used the videos to analyze detail</w:t>
      </w:r>
      <w:r>
        <w:rPr>
          <w:rStyle w:val="None"/>
          <w:sz w:val="24"/>
          <w:szCs w:val="24"/>
        </w:rPr>
        <w:t xml:space="preserve">s of </w:t>
      </w:r>
      <w:proofErr w:type="spellStart"/>
      <w:r>
        <w:rPr>
          <w:rStyle w:val="None"/>
          <w:sz w:val="24"/>
          <w:szCs w:val="24"/>
        </w:rPr>
        <w:t>ovipositing</w:t>
      </w:r>
      <w:proofErr w:type="spellEnd"/>
      <w:r>
        <w:rPr>
          <w:rStyle w:val="None"/>
          <w:sz w:val="24"/>
          <w:szCs w:val="24"/>
        </w:rPr>
        <w:t xml:space="preserve"> behavio</w:t>
      </w:r>
      <w:r w:rsidRPr="002D17B7">
        <w:rPr>
          <w:rStyle w:val="None"/>
          <w:sz w:val="24"/>
          <w:szCs w:val="24"/>
        </w:rPr>
        <w:t xml:space="preserve">r. Numbers of eggs and larvae in flowers were counted, and egg hatching and larval development were monitored and recorded. Previous work shows that flowers of at least four species of </w:t>
      </w:r>
      <w:proofErr w:type="spellStart"/>
      <w:r w:rsidRPr="002D17B7">
        <w:rPr>
          <w:rStyle w:val="None"/>
          <w:i/>
          <w:iCs/>
          <w:sz w:val="24"/>
          <w:szCs w:val="24"/>
        </w:rPr>
        <w:t>Kadsura</w:t>
      </w:r>
      <w:proofErr w:type="spellEnd"/>
      <w:r w:rsidRPr="002D17B7">
        <w:rPr>
          <w:rStyle w:val="None"/>
          <w:sz w:val="24"/>
          <w:szCs w:val="24"/>
        </w:rPr>
        <w:t xml:space="preserve"> produce resin in floral tissues wounded by midges, the larva of which then feed on the resin (Luo et al., 2017). We therefore checked for the presence of resin in all studied species and monitored feeding behavior of midge larvae. We also checked the precise </w:t>
      </w:r>
      <w:proofErr w:type="spellStart"/>
      <w:r w:rsidRPr="002D17B7">
        <w:rPr>
          <w:rStyle w:val="None"/>
          <w:sz w:val="24"/>
          <w:szCs w:val="24"/>
        </w:rPr>
        <w:t>ovipositioning</w:t>
      </w:r>
      <w:proofErr w:type="spellEnd"/>
      <w:r w:rsidRPr="002D17B7">
        <w:rPr>
          <w:rStyle w:val="None"/>
          <w:sz w:val="24"/>
          <w:szCs w:val="24"/>
        </w:rPr>
        <w:t xml:space="preserve"> sites of the midges in flowers of different morphologies (bisexual or unisexual). </w:t>
      </w:r>
    </w:p>
    <w:p w14:paraId="27B4E9FA" w14:textId="77777777" w:rsidR="00CF36CD" w:rsidRDefault="00CF36CD" w:rsidP="00CF36CD">
      <w:pPr>
        <w:pStyle w:val="1"/>
        <w:spacing w:line="360" w:lineRule="auto"/>
        <w:ind w:firstLine="420"/>
        <w:jc w:val="left"/>
        <w:rPr>
          <w:rStyle w:val="None"/>
          <w:sz w:val="24"/>
          <w:szCs w:val="24"/>
        </w:rPr>
      </w:pPr>
      <w:r w:rsidRPr="002D17B7">
        <w:rPr>
          <w:rStyle w:val="None"/>
          <w:sz w:val="24"/>
          <w:szCs w:val="24"/>
        </w:rPr>
        <w:t xml:space="preserve">For three species that turned out to be beetle pollinated, we monitored the beetles’ visiting behavior and documented whether they carried pollen. Beetles were stored in a jar with silica gel, while midges collected for identification were preserved in 95% ethanol. Voucher specimens are in the first author’s collection. </w:t>
      </w:r>
    </w:p>
    <w:p w14:paraId="3C8BC5A2" w14:textId="77777777" w:rsidR="00F51C47" w:rsidRPr="002D17B7" w:rsidRDefault="00F51C47" w:rsidP="00CF36CD">
      <w:pPr>
        <w:pStyle w:val="1"/>
        <w:spacing w:line="360" w:lineRule="auto"/>
        <w:ind w:firstLine="420"/>
        <w:jc w:val="left"/>
        <w:rPr>
          <w:rStyle w:val="None"/>
          <w:sz w:val="24"/>
          <w:szCs w:val="24"/>
        </w:rPr>
      </w:pPr>
    </w:p>
    <w:p w14:paraId="79D9C783" w14:textId="4D36960F" w:rsidR="00F51C47" w:rsidRPr="00326A11" w:rsidRDefault="0008424F" w:rsidP="00F51C47">
      <w:pPr>
        <w:pStyle w:val="1"/>
        <w:spacing w:line="360" w:lineRule="auto"/>
        <w:jc w:val="left"/>
        <w:rPr>
          <w:rStyle w:val="None"/>
          <w:iCs/>
          <w:sz w:val="24"/>
          <w:szCs w:val="24"/>
        </w:rPr>
      </w:pPr>
      <w:r>
        <w:rPr>
          <w:rStyle w:val="None"/>
          <w:iCs/>
          <w:sz w:val="24"/>
          <w:szCs w:val="24"/>
        </w:rPr>
        <w:t xml:space="preserve">  </w:t>
      </w:r>
      <w:r>
        <w:rPr>
          <w:rStyle w:val="None"/>
          <w:iCs/>
          <w:sz w:val="24"/>
          <w:szCs w:val="24"/>
        </w:rPr>
        <w:tab/>
      </w:r>
      <w:r w:rsidR="00F51C47">
        <w:rPr>
          <w:rStyle w:val="None"/>
          <w:iCs/>
          <w:sz w:val="24"/>
          <w:szCs w:val="24"/>
        </w:rPr>
        <w:t xml:space="preserve">(c) </w:t>
      </w:r>
      <w:r w:rsidR="00F51C47" w:rsidRPr="00326A11">
        <w:rPr>
          <w:rStyle w:val="None"/>
          <w:iCs/>
          <w:sz w:val="24"/>
          <w:szCs w:val="24"/>
        </w:rPr>
        <w:t>Population- and community-level investigations</w:t>
      </w:r>
    </w:p>
    <w:p w14:paraId="32C7F842" w14:textId="77777777" w:rsidR="00F51C47" w:rsidRDefault="00F51C47" w:rsidP="00F51C47">
      <w:pPr>
        <w:pStyle w:val="1"/>
        <w:spacing w:line="360" w:lineRule="auto"/>
        <w:jc w:val="left"/>
        <w:rPr>
          <w:rStyle w:val="None"/>
          <w:sz w:val="24"/>
          <w:szCs w:val="24"/>
        </w:rPr>
      </w:pPr>
      <w:r w:rsidRPr="002D17B7">
        <w:rPr>
          <w:rStyle w:val="None"/>
          <w:sz w:val="24"/>
          <w:szCs w:val="24"/>
        </w:rPr>
        <w:t xml:space="preserve">To test if gall midges might be species-specific pollinators, we sequenced multiple midges per study species and site as well as midges from two or three populations of a few widespread species that we studied at multiple sites (as shown in Table S2: </w:t>
      </w:r>
      <w:proofErr w:type="spellStart"/>
      <w:r w:rsidRPr="002D17B7">
        <w:rPr>
          <w:rStyle w:val="None"/>
          <w:i/>
          <w:iCs/>
          <w:sz w:val="24"/>
          <w:szCs w:val="24"/>
        </w:rPr>
        <w:t>Illicium</w:t>
      </w:r>
      <w:proofErr w:type="spellEnd"/>
      <w:r w:rsidRPr="002D17B7">
        <w:rPr>
          <w:rStyle w:val="None"/>
          <w:i/>
          <w:iCs/>
          <w:sz w:val="24"/>
          <w:szCs w:val="24"/>
        </w:rPr>
        <w:t xml:space="preserve"> </w:t>
      </w:r>
      <w:proofErr w:type="spellStart"/>
      <w:r w:rsidRPr="002D17B7">
        <w:rPr>
          <w:rStyle w:val="None"/>
          <w:i/>
          <w:iCs/>
          <w:sz w:val="24"/>
          <w:szCs w:val="24"/>
        </w:rPr>
        <w:t>lanceolatum</w:t>
      </w:r>
      <w:proofErr w:type="spellEnd"/>
      <w:r w:rsidRPr="002D17B7">
        <w:rPr>
          <w:rStyle w:val="None"/>
          <w:i/>
          <w:iCs/>
          <w:sz w:val="24"/>
          <w:szCs w:val="24"/>
        </w:rPr>
        <w:t xml:space="preserve">, I. </w:t>
      </w:r>
      <w:proofErr w:type="spellStart"/>
      <w:r w:rsidRPr="002D17B7">
        <w:rPr>
          <w:rStyle w:val="None"/>
          <w:i/>
          <w:iCs/>
          <w:sz w:val="24"/>
          <w:szCs w:val="24"/>
        </w:rPr>
        <w:lastRenderedPageBreak/>
        <w:t>micranthum</w:t>
      </w:r>
      <w:proofErr w:type="spellEnd"/>
      <w:r w:rsidRPr="002D17B7">
        <w:rPr>
          <w:rStyle w:val="None"/>
          <w:i/>
          <w:iCs/>
          <w:sz w:val="24"/>
          <w:szCs w:val="24"/>
        </w:rPr>
        <w:t xml:space="preserve"> </w:t>
      </w:r>
      <w:hyperlink r:id="rId5" w:history="1">
        <w:bookmarkStart w:id="0" w:name="OLE_LINK125"/>
        <w:r w:rsidRPr="002D17B7">
          <w:rPr>
            <w:rStyle w:val="Hyperlink1"/>
          </w:rPr>
          <w:t>I</w:t>
        </w:r>
        <w:bookmarkStart w:id="1" w:name="OLE_LINK37"/>
        <w:bookmarkEnd w:id="0"/>
        <w:r w:rsidRPr="002D17B7">
          <w:rPr>
            <w:rStyle w:val="Hyperlink1"/>
          </w:rPr>
          <w:t>.</w:t>
        </w:r>
        <w:bookmarkStart w:id="2" w:name="OLE_LINK38"/>
        <w:bookmarkEnd w:id="1"/>
        <w:r w:rsidRPr="002D17B7">
          <w:rPr>
            <w:rStyle w:val="Hyperlink1"/>
          </w:rPr>
          <w:t xml:space="preserve"> </w:t>
        </w:r>
        <w:proofErr w:type="spellStart"/>
        <w:r w:rsidRPr="002D17B7">
          <w:rPr>
            <w:rStyle w:val="Hyperlink1"/>
          </w:rPr>
          <w:t>ver</w:t>
        </w:r>
        <w:bookmarkEnd w:id="2"/>
        <w:r w:rsidRPr="002D17B7">
          <w:rPr>
            <w:rStyle w:val="Hyperlink1"/>
          </w:rPr>
          <w:t>um</w:t>
        </w:r>
        <w:proofErr w:type="spellEnd"/>
      </w:hyperlink>
      <w:r w:rsidRPr="002D17B7">
        <w:rPr>
          <w:rStyle w:val="None"/>
          <w:sz w:val="24"/>
          <w:szCs w:val="24"/>
        </w:rPr>
        <w:t xml:space="preserve">, </w:t>
      </w:r>
      <w:proofErr w:type="spellStart"/>
      <w:r w:rsidRPr="002D17B7">
        <w:rPr>
          <w:rStyle w:val="Hyperlink1"/>
        </w:rPr>
        <w:t>Kadsura</w:t>
      </w:r>
      <w:proofErr w:type="spellEnd"/>
      <w:r w:rsidRPr="002D17B7">
        <w:rPr>
          <w:rStyle w:val="Hyperlink1"/>
        </w:rPr>
        <w:t xml:space="preserve"> </w:t>
      </w:r>
      <w:proofErr w:type="spellStart"/>
      <w:r w:rsidRPr="002D17B7">
        <w:rPr>
          <w:rStyle w:val="Hyperlink1"/>
        </w:rPr>
        <w:t>coccinea</w:t>
      </w:r>
      <w:proofErr w:type="spellEnd"/>
      <w:r w:rsidRPr="002D17B7">
        <w:rPr>
          <w:rStyle w:val="None"/>
          <w:sz w:val="24"/>
          <w:szCs w:val="24"/>
        </w:rPr>
        <w:t xml:space="preserve">, </w:t>
      </w:r>
      <w:r w:rsidRPr="002D17B7">
        <w:rPr>
          <w:rStyle w:val="Hyperlink1"/>
        </w:rPr>
        <w:t xml:space="preserve">K. </w:t>
      </w:r>
      <w:proofErr w:type="spellStart"/>
      <w:r w:rsidRPr="002D17B7">
        <w:rPr>
          <w:rStyle w:val="Hyperlink1"/>
        </w:rPr>
        <w:t>longipedunculata</w:t>
      </w:r>
      <w:proofErr w:type="spellEnd"/>
      <w:r w:rsidRPr="002D17B7">
        <w:rPr>
          <w:rStyle w:val="Hyperlink1"/>
        </w:rPr>
        <w:t xml:space="preserve">, </w:t>
      </w:r>
      <w:hyperlink r:id="rId6" w:history="1">
        <w:proofErr w:type="spellStart"/>
        <w:r w:rsidRPr="002D17B7">
          <w:rPr>
            <w:rStyle w:val="Hyperlink1"/>
          </w:rPr>
          <w:t>Schisandra</w:t>
        </w:r>
        <w:proofErr w:type="spellEnd"/>
        <w:r w:rsidRPr="002D17B7">
          <w:rPr>
            <w:rStyle w:val="Hyperlink1"/>
          </w:rPr>
          <w:t xml:space="preserve"> </w:t>
        </w:r>
        <w:proofErr w:type="spellStart"/>
        <w:r w:rsidRPr="002D17B7">
          <w:rPr>
            <w:rStyle w:val="Hyperlink1"/>
          </w:rPr>
          <w:t>sphenanthera</w:t>
        </w:r>
        <w:proofErr w:type="spellEnd"/>
      </w:hyperlink>
      <w:r w:rsidRPr="002D17B7">
        <w:rPr>
          <w:rStyle w:val="None"/>
          <w:sz w:val="24"/>
          <w:szCs w:val="24"/>
        </w:rPr>
        <w:t xml:space="preserve">). We also collected midges from species co-occurring at the same location. This was done at </w:t>
      </w:r>
      <w:proofErr w:type="spellStart"/>
      <w:r w:rsidRPr="002D17B7">
        <w:rPr>
          <w:rStyle w:val="None"/>
          <w:sz w:val="24"/>
          <w:szCs w:val="24"/>
        </w:rPr>
        <w:t>Emeishan</w:t>
      </w:r>
      <w:proofErr w:type="spellEnd"/>
      <w:r w:rsidRPr="002D17B7">
        <w:rPr>
          <w:rStyle w:val="None"/>
          <w:sz w:val="24"/>
          <w:szCs w:val="24"/>
        </w:rPr>
        <w:t xml:space="preserve"> in the west of China where we studied </w:t>
      </w:r>
      <w:r w:rsidRPr="002D17B7">
        <w:rPr>
          <w:rStyle w:val="Hyperlink1"/>
        </w:rPr>
        <w:t xml:space="preserve">S. </w:t>
      </w:r>
      <w:proofErr w:type="spellStart"/>
      <w:r w:rsidRPr="002D17B7">
        <w:rPr>
          <w:rStyle w:val="Hyperlink1"/>
        </w:rPr>
        <w:t>henryi</w:t>
      </w:r>
      <w:proofErr w:type="spellEnd"/>
      <w:r w:rsidRPr="002D17B7">
        <w:rPr>
          <w:rStyle w:val="Hyperlink1"/>
        </w:rPr>
        <w:t xml:space="preserve">, S. </w:t>
      </w:r>
      <w:proofErr w:type="spellStart"/>
      <w:r w:rsidRPr="002D17B7">
        <w:rPr>
          <w:rStyle w:val="Hyperlink1"/>
        </w:rPr>
        <w:t>micranthum</w:t>
      </w:r>
      <w:proofErr w:type="spellEnd"/>
      <w:r w:rsidRPr="002D17B7">
        <w:rPr>
          <w:rStyle w:val="Hyperlink1"/>
        </w:rPr>
        <w:t xml:space="preserve">, S. </w:t>
      </w:r>
      <w:proofErr w:type="spellStart"/>
      <w:r w:rsidRPr="002D17B7">
        <w:rPr>
          <w:rStyle w:val="Hyperlink1"/>
        </w:rPr>
        <w:t>rubriflora</w:t>
      </w:r>
      <w:proofErr w:type="spellEnd"/>
      <w:r w:rsidRPr="002D17B7">
        <w:rPr>
          <w:rStyle w:val="Hyperlink1"/>
        </w:rPr>
        <w:t xml:space="preserve">, </w:t>
      </w:r>
      <w:r w:rsidRPr="002D17B7">
        <w:rPr>
          <w:rStyle w:val="None"/>
          <w:sz w:val="24"/>
          <w:szCs w:val="24"/>
        </w:rPr>
        <w:t xml:space="preserve">and </w:t>
      </w:r>
      <w:r w:rsidRPr="002D17B7">
        <w:rPr>
          <w:rStyle w:val="Hyperlink1"/>
        </w:rPr>
        <w:t xml:space="preserve">S. </w:t>
      </w:r>
      <w:proofErr w:type="spellStart"/>
      <w:r w:rsidRPr="002D17B7">
        <w:rPr>
          <w:rStyle w:val="Hyperlink1"/>
        </w:rPr>
        <w:t>sphenanthera</w:t>
      </w:r>
      <w:proofErr w:type="spellEnd"/>
      <w:r w:rsidRPr="002D17B7">
        <w:rPr>
          <w:rStyle w:val="None"/>
          <w:sz w:val="24"/>
          <w:szCs w:val="24"/>
        </w:rPr>
        <w:t xml:space="preserve">; at </w:t>
      </w:r>
      <w:proofErr w:type="spellStart"/>
      <w:r w:rsidRPr="002D17B7">
        <w:rPr>
          <w:rStyle w:val="None"/>
          <w:sz w:val="24"/>
          <w:szCs w:val="24"/>
        </w:rPr>
        <w:t>Hengshan</w:t>
      </w:r>
      <w:proofErr w:type="spellEnd"/>
      <w:r w:rsidRPr="002D17B7">
        <w:rPr>
          <w:rStyle w:val="None"/>
          <w:sz w:val="24"/>
          <w:szCs w:val="24"/>
        </w:rPr>
        <w:t xml:space="preserve"> in the </w:t>
      </w:r>
      <w:proofErr w:type="spellStart"/>
      <w:r w:rsidRPr="002D17B7">
        <w:rPr>
          <w:rStyle w:val="None"/>
          <w:sz w:val="24"/>
          <w:szCs w:val="24"/>
        </w:rPr>
        <w:t>centre</w:t>
      </w:r>
      <w:proofErr w:type="spellEnd"/>
      <w:r w:rsidRPr="002D17B7">
        <w:rPr>
          <w:rStyle w:val="None"/>
          <w:sz w:val="24"/>
          <w:szCs w:val="24"/>
        </w:rPr>
        <w:t xml:space="preserve"> of China where we studied </w:t>
      </w:r>
      <w:proofErr w:type="spellStart"/>
      <w:r w:rsidRPr="002D17B7">
        <w:rPr>
          <w:rStyle w:val="Hyperlink1"/>
        </w:rPr>
        <w:t>Schisandra</w:t>
      </w:r>
      <w:proofErr w:type="spellEnd"/>
      <w:r w:rsidRPr="002D17B7">
        <w:rPr>
          <w:rStyle w:val="None"/>
          <w:sz w:val="24"/>
          <w:szCs w:val="24"/>
        </w:rPr>
        <w:t xml:space="preserve"> spec. Wang 193, </w:t>
      </w:r>
      <w:r w:rsidRPr="002D17B7">
        <w:rPr>
          <w:rStyle w:val="Hyperlink1"/>
        </w:rPr>
        <w:t xml:space="preserve">S. </w:t>
      </w:r>
      <w:proofErr w:type="spellStart"/>
      <w:r w:rsidRPr="002D17B7">
        <w:rPr>
          <w:rStyle w:val="Hyperlink1"/>
        </w:rPr>
        <w:t>lanceolatum</w:t>
      </w:r>
      <w:proofErr w:type="spellEnd"/>
      <w:r w:rsidRPr="002D17B7">
        <w:rPr>
          <w:rStyle w:val="None"/>
          <w:sz w:val="24"/>
          <w:szCs w:val="24"/>
        </w:rPr>
        <w:t xml:space="preserve">, and </w:t>
      </w:r>
      <w:hyperlink r:id="rId7" w:history="1">
        <w:r w:rsidRPr="002D17B7">
          <w:rPr>
            <w:rStyle w:val="Hyperlink1"/>
          </w:rPr>
          <w:t xml:space="preserve">S. </w:t>
        </w:r>
        <w:proofErr w:type="spellStart"/>
        <w:r w:rsidRPr="002D17B7">
          <w:rPr>
            <w:rStyle w:val="Hyperlink1"/>
          </w:rPr>
          <w:t>sphenanthera</w:t>
        </w:r>
        <w:proofErr w:type="spellEnd"/>
      </w:hyperlink>
      <w:r w:rsidRPr="002D17B7">
        <w:rPr>
          <w:rStyle w:val="None"/>
          <w:sz w:val="24"/>
          <w:szCs w:val="24"/>
        </w:rPr>
        <w:t xml:space="preserve">; at </w:t>
      </w:r>
      <w:proofErr w:type="spellStart"/>
      <w:r w:rsidRPr="002D17B7">
        <w:rPr>
          <w:rStyle w:val="None"/>
          <w:sz w:val="24"/>
          <w:szCs w:val="24"/>
        </w:rPr>
        <w:t>Tianjinshan</w:t>
      </w:r>
      <w:proofErr w:type="spellEnd"/>
      <w:r w:rsidRPr="002D17B7">
        <w:rPr>
          <w:rStyle w:val="None"/>
          <w:sz w:val="24"/>
          <w:szCs w:val="24"/>
        </w:rPr>
        <w:t xml:space="preserve"> in the south of China where we studied </w:t>
      </w:r>
      <w:proofErr w:type="spellStart"/>
      <w:r w:rsidRPr="002D17B7">
        <w:rPr>
          <w:rStyle w:val="Hyperlink1"/>
        </w:rPr>
        <w:t>Illicium</w:t>
      </w:r>
      <w:proofErr w:type="spellEnd"/>
      <w:r w:rsidRPr="002D17B7">
        <w:rPr>
          <w:rStyle w:val="Hyperlink1"/>
        </w:rPr>
        <w:t xml:space="preserve"> </w:t>
      </w:r>
      <w:r w:rsidRPr="002D17B7">
        <w:rPr>
          <w:rStyle w:val="None"/>
          <w:sz w:val="24"/>
          <w:szCs w:val="24"/>
        </w:rPr>
        <w:t xml:space="preserve">spec. Cui 184, </w:t>
      </w:r>
      <w:proofErr w:type="spellStart"/>
      <w:r w:rsidRPr="002D17B7">
        <w:rPr>
          <w:rStyle w:val="Hyperlink1"/>
        </w:rPr>
        <w:t>llicium</w:t>
      </w:r>
      <w:proofErr w:type="spellEnd"/>
      <w:r w:rsidRPr="002D17B7">
        <w:rPr>
          <w:rStyle w:val="Hyperlink1"/>
        </w:rPr>
        <w:t xml:space="preserve"> </w:t>
      </w:r>
      <w:proofErr w:type="spellStart"/>
      <w:r w:rsidRPr="002D17B7">
        <w:rPr>
          <w:rStyle w:val="Hyperlink1"/>
        </w:rPr>
        <w:t>jiadifengpi</w:t>
      </w:r>
      <w:proofErr w:type="spellEnd"/>
      <w:r w:rsidRPr="002D17B7">
        <w:rPr>
          <w:rStyle w:val="None"/>
          <w:sz w:val="24"/>
          <w:szCs w:val="24"/>
        </w:rPr>
        <w:t xml:space="preserve">, and </w:t>
      </w:r>
      <w:proofErr w:type="spellStart"/>
      <w:r w:rsidRPr="002D17B7">
        <w:rPr>
          <w:rStyle w:val="Hyperlink1"/>
        </w:rPr>
        <w:t>Kadsura</w:t>
      </w:r>
      <w:proofErr w:type="spellEnd"/>
      <w:r w:rsidRPr="002D17B7">
        <w:rPr>
          <w:rStyle w:val="Hyperlink1"/>
        </w:rPr>
        <w:t xml:space="preserve"> </w:t>
      </w:r>
      <w:proofErr w:type="spellStart"/>
      <w:r w:rsidRPr="002D17B7">
        <w:rPr>
          <w:rStyle w:val="Hyperlink1"/>
        </w:rPr>
        <w:t>coccinea</w:t>
      </w:r>
      <w:proofErr w:type="spellEnd"/>
      <w:r w:rsidRPr="002D17B7">
        <w:rPr>
          <w:rStyle w:val="None"/>
          <w:sz w:val="24"/>
          <w:szCs w:val="24"/>
        </w:rPr>
        <w:t xml:space="preserve">, and at </w:t>
      </w:r>
      <w:proofErr w:type="spellStart"/>
      <w:r w:rsidRPr="002D17B7">
        <w:rPr>
          <w:rStyle w:val="None"/>
          <w:sz w:val="24"/>
          <w:szCs w:val="24"/>
        </w:rPr>
        <w:t>Daweishan</w:t>
      </w:r>
      <w:proofErr w:type="spellEnd"/>
      <w:r w:rsidRPr="002D17B7">
        <w:rPr>
          <w:rStyle w:val="None"/>
          <w:sz w:val="24"/>
          <w:szCs w:val="24"/>
        </w:rPr>
        <w:t xml:space="preserve"> in the Southwest of China where we studied </w:t>
      </w:r>
      <w:proofErr w:type="spellStart"/>
      <w:r w:rsidRPr="002D17B7">
        <w:rPr>
          <w:rStyle w:val="Hyperlink1"/>
        </w:rPr>
        <w:t>Illicium</w:t>
      </w:r>
      <w:proofErr w:type="spellEnd"/>
      <w:r w:rsidRPr="002D17B7">
        <w:rPr>
          <w:rStyle w:val="Hyperlink1"/>
        </w:rPr>
        <w:t xml:space="preserve"> </w:t>
      </w:r>
      <w:proofErr w:type="spellStart"/>
      <w:r w:rsidRPr="002D17B7">
        <w:rPr>
          <w:rStyle w:val="Hyperlink1"/>
        </w:rPr>
        <w:t>majus</w:t>
      </w:r>
      <w:proofErr w:type="spellEnd"/>
      <w:r w:rsidRPr="002D17B7">
        <w:rPr>
          <w:rStyle w:val="Hyperlink1"/>
        </w:rPr>
        <w:t xml:space="preserve"> </w:t>
      </w:r>
      <w:r w:rsidRPr="002D17B7">
        <w:rPr>
          <w:rStyle w:val="None"/>
          <w:sz w:val="24"/>
          <w:szCs w:val="24"/>
        </w:rPr>
        <w:t xml:space="preserve">and </w:t>
      </w:r>
      <w:proofErr w:type="spellStart"/>
      <w:r w:rsidRPr="002D17B7">
        <w:rPr>
          <w:rStyle w:val="Hyperlink1"/>
        </w:rPr>
        <w:t>Schisandra</w:t>
      </w:r>
      <w:proofErr w:type="spellEnd"/>
      <w:r w:rsidRPr="002D17B7">
        <w:rPr>
          <w:rStyle w:val="None"/>
          <w:sz w:val="24"/>
          <w:szCs w:val="24"/>
        </w:rPr>
        <w:t xml:space="preserve"> spec. Luo 761.</w:t>
      </w:r>
    </w:p>
    <w:p w14:paraId="3507199D" w14:textId="77777777" w:rsidR="00FF74EF" w:rsidRDefault="00FF74EF" w:rsidP="00F51C47">
      <w:pPr>
        <w:pStyle w:val="1"/>
        <w:spacing w:line="360" w:lineRule="auto"/>
        <w:jc w:val="left"/>
        <w:rPr>
          <w:rStyle w:val="None"/>
          <w:sz w:val="24"/>
          <w:szCs w:val="24"/>
        </w:rPr>
      </w:pPr>
    </w:p>
    <w:p w14:paraId="1FE6FE14" w14:textId="77777777" w:rsidR="00F70CF7" w:rsidRPr="00C06648" w:rsidRDefault="00F70CF7" w:rsidP="00F70CF7">
      <w:pPr>
        <w:pStyle w:val="1"/>
        <w:numPr>
          <w:ilvl w:val="0"/>
          <w:numId w:val="4"/>
        </w:numPr>
        <w:spacing w:line="360" w:lineRule="auto"/>
        <w:jc w:val="left"/>
        <w:rPr>
          <w:rStyle w:val="Hyperlink1"/>
          <w:i w:val="0"/>
        </w:rPr>
      </w:pPr>
      <w:r w:rsidRPr="00C06648">
        <w:rPr>
          <w:rStyle w:val="Hyperlink1"/>
          <w:i w:val="0"/>
        </w:rPr>
        <w:t>Taxon sampling, DNA barcoding of midges, and co-phylogenetic analyses</w:t>
      </w:r>
    </w:p>
    <w:p w14:paraId="7BAE14C3" w14:textId="77777777" w:rsidR="00F70CF7" w:rsidRPr="002D17B7" w:rsidRDefault="00F70CF7" w:rsidP="00F70CF7">
      <w:pPr>
        <w:pStyle w:val="1"/>
        <w:spacing w:line="360" w:lineRule="auto"/>
        <w:jc w:val="left"/>
        <w:rPr>
          <w:rStyle w:val="None"/>
          <w:sz w:val="24"/>
          <w:szCs w:val="24"/>
        </w:rPr>
      </w:pPr>
      <w:r w:rsidRPr="002D17B7">
        <w:rPr>
          <w:rStyle w:val="None"/>
          <w:sz w:val="24"/>
          <w:szCs w:val="24"/>
        </w:rPr>
        <w:t>For the plant phylogeny, we enlarged the matrix from Luo et al. (2017), which comprises the nuclear ribosomal DNA region ITS1-5.8S-ITS2 and two plastid regions (</w:t>
      </w:r>
      <w:proofErr w:type="spellStart"/>
      <w:r w:rsidRPr="002D17B7">
        <w:rPr>
          <w:rStyle w:val="Hyperlink1"/>
        </w:rPr>
        <w:t>trnL</w:t>
      </w:r>
      <w:proofErr w:type="spellEnd"/>
      <w:r w:rsidRPr="002D17B7">
        <w:rPr>
          <w:rStyle w:val="None"/>
          <w:sz w:val="24"/>
          <w:szCs w:val="24"/>
        </w:rPr>
        <w:t xml:space="preserve"> intron, </w:t>
      </w:r>
      <w:proofErr w:type="spellStart"/>
      <w:r w:rsidRPr="002D17B7">
        <w:rPr>
          <w:rStyle w:val="Hyperlink1"/>
        </w:rPr>
        <w:t>trnL</w:t>
      </w:r>
      <w:r w:rsidRPr="002D17B7">
        <w:rPr>
          <w:rStyle w:val="None"/>
          <w:sz w:val="24"/>
          <w:szCs w:val="24"/>
        </w:rPr>
        <w:t>-</w:t>
      </w:r>
      <w:r w:rsidRPr="002D17B7">
        <w:rPr>
          <w:rStyle w:val="Hyperlink1"/>
        </w:rPr>
        <w:t>trnF</w:t>
      </w:r>
      <w:proofErr w:type="spellEnd"/>
      <w:r w:rsidRPr="002D17B7">
        <w:rPr>
          <w:rStyle w:val="None"/>
          <w:sz w:val="24"/>
          <w:szCs w:val="24"/>
        </w:rPr>
        <w:t xml:space="preserve"> spacer, and </w:t>
      </w:r>
      <w:proofErr w:type="spellStart"/>
      <w:r w:rsidRPr="002D17B7">
        <w:rPr>
          <w:rStyle w:val="Hyperlink1"/>
        </w:rPr>
        <w:t>trnS</w:t>
      </w:r>
      <w:r w:rsidRPr="002D17B7">
        <w:rPr>
          <w:rStyle w:val="None"/>
          <w:sz w:val="24"/>
          <w:szCs w:val="24"/>
        </w:rPr>
        <w:t>-trnG</w:t>
      </w:r>
      <w:proofErr w:type="spellEnd"/>
      <w:r w:rsidRPr="002D17B7">
        <w:rPr>
          <w:rStyle w:val="None"/>
          <w:sz w:val="24"/>
          <w:szCs w:val="24"/>
        </w:rPr>
        <w:t xml:space="preserve">), which in combination have proven useful in earlier studies of </w:t>
      </w:r>
      <w:proofErr w:type="spellStart"/>
      <w:r w:rsidRPr="002D17B7">
        <w:rPr>
          <w:rStyle w:val="None"/>
          <w:sz w:val="24"/>
          <w:szCs w:val="24"/>
        </w:rPr>
        <w:t>Schisandraceae</w:t>
      </w:r>
      <w:proofErr w:type="spellEnd"/>
      <w:r w:rsidRPr="002D17B7">
        <w:rPr>
          <w:rStyle w:val="None"/>
          <w:sz w:val="24"/>
          <w:szCs w:val="24"/>
        </w:rPr>
        <w:t xml:space="preserve"> (Liu et al., 2006; Morris et al., 2007; Luo et al., 2010, 2017). Primers and PCR conditions were as in Morris et al. (2007). Newly generated sequences were submitted to </w:t>
      </w:r>
      <w:proofErr w:type="spellStart"/>
      <w:r w:rsidRPr="002D17B7">
        <w:rPr>
          <w:rStyle w:val="None"/>
          <w:sz w:val="24"/>
          <w:szCs w:val="24"/>
        </w:rPr>
        <w:t>GenBank</w:t>
      </w:r>
      <w:proofErr w:type="spellEnd"/>
      <w:r w:rsidRPr="002D17B7">
        <w:rPr>
          <w:rStyle w:val="None"/>
          <w:sz w:val="24"/>
          <w:szCs w:val="24"/>
        </w:rPr>
        <w:t>, and all sequences, along with voucher information (also for all sequences from earlier studies), are shown in Table S3. Sequence alignment was performed in MAFFT v. 7 in the online server (</w:t>
      </w:r>
      <w:hyperlink r:id="rId8" w:history="1">
        <w:r w:rsidRPr="002D17B7">
          <w:rPr>
            <w:rStyle w:val="Hyperlink0"/>
          </w:rPr>
          <w:t>http://mafft.cbrc.jp/alignment/</w:t>
        </w:r>
      </w:hyperlink>
      <w:r w:rsidRPr="002D17B7">
        <w:rPr>
          <w:rStyle w:val="None"/>
          <w:sz w:val="24"/>
          <w:szCs w:val="24"/>
        </w:rPr>
        <w:t xml:space="preserve"> </w:t>
      </w:r>
      <w:proofErr w:type="spellStart"/>
      <w:r w:rsidRPr="002D17B7">
        <w:rPr>
          <w:rStyle w:val="None"/>
          <w:color w:val="1A1A1A"/>
          <w:sz w:val="24"/>
          <w:szCs w:val="24"/>
          <w:u w:color="1A1A1A"/>
        </w:rPr>
        <w:t>Katoh</w:t>
      </w:r>
      <w:proofErr w:type="spellEnd"/>
      <w:r w:rsidRPr="002D17B7">
        <w:rPr>
          <w:rStyle w:val="None"/>
          <w:color w:val="1A1A1A"/>
          <w:sz w:val="24"/>
          <w:szCs w:val="24"/>
          <w:u w:color="1A1A1A"/>
        </w:rPr>
        <w:t xml:space="preserve"> &amp; </w:t>
      </w:r>
      <w:proofErr w:type="spellStart"/>
      <w:r w:rsidRPr="002D17B7">
        <w:rPr>
          <w:rStyle w:val="None"/>
          <w:color w:val="1A1A1A"/>
          <w:sz w:val="24"/>
          <w:szCs w:val="24"/>
          <w:u w:color="1A1A1A"/>
        </w:rPr>
        <w:t>Standley</w:t>
      </w:r>
      <w:proofErr w:type="spellEnd"/>
      <w:r w:rsidRPr="002D17B7">
        <w:rPr>
          <w:rStyle w:val="None"/>
          <w:color w:val="1A1A1A"/>
          <w:sz w:val="24"/>
          <w:szCs w:val="24"/>
          <w:u w:color="1A1A1A"/>
        </w:rPr>
        <w:t>, 2013</w:t>
      </w:r>
      <w:r w:rsidRPr="002D17B7">
        <w:rPr>
          <w:rStyle w:val="None"/>
          <w:sz w:val="24"/>
          <w:szCs w:val="24"/>
        </w:rPr>
        <w:t>) under standard parameters except for the ITS region which was aligned under Q-INS-</w:t>
      </w:r>
      <w:proofErr w:type="spellStart"/>
      <w:r w:rsidRPr="002D17B7">
        <w:rPr>
          <w:rStyle w:val="None"/>
          <w:sz w:val="24"/>
          <w:szCs w:val="24"/>
        </w:rPr>
        <w:t>i</w:t>
      </w:r>
      <w:proofErr w:type="spellEnd"/>
      <w:r w:rsidRPr="002D17B7">
        <w:rPr>
          <w:rStyle w:val="None"/>
          <w:sz w:val="24"/>
          <w:szCs w:val="24"/>
        </w:rPr>
        <w:t xml:space="preserve"> optimization, which takes </w:t>
      </w:r>
      <w:proofErr w:type="spellStart"/>
      <w:r w:rsidRPr="002D17B7">
        <w:rPr>
          <w:rStyle w:val="None"/>
          <w:sz w:val="24"/>
          <w:szCs w:val="24"/>
        </w:rPr>
        <w:t>rRNA</w:t>
      </w:r>
      <w:proofErr w:type="spellEnd"/>
      <w:r w:rsidRPr="002D17B7">
        <w:rPr>
          <w:rStyle w:val="None"/>
          <w:sz w:val="24"/>
          <w:szCs w:val="24"/>
        </w:rPr>
        <w:t xml:space="preserve"> secondary structure into consideration. The final matrix consisted of 2416 </w:t>
      </w:r>
      <w:r>
        <w:rPr>
          <w:rStyle w:val="None"/>
          <w:sz w:val="24"/>
          <w:szCs w:val="24"/>
        </w:rPr>
        <w:t>base pairs</w:t>
      </w:r>
      <w:r w:rsidRPr="002D17B7">
        <w:rPr>
          <w:rStyle w:val="None"/>
          <w:sz w:val="24"/>
          <w:szCs w:val="24"/>
        </w:rPr>
        <w:t xml:space="preserve"> sequenced for 46 of the ca. 90 species of </w:t>
      </w:r>
      <w:proofErr w:type="spellStart"/>
      <w:r w:rsidRPr="002D17B7">
        <w:rPr>
          <w:rStyle w:val="None"/>
          <w:sz w:val="24"/>
          <w:szCs w:val="24"/>
        </w:rPr>
        <w:t>Schisandraceae</w:t>
      </w:r>
      <w:proofErr w:type="spellEnd"/>
      <w:r w:rsidRPr="002D17B7">
        <w:rPr>
          <w:rStyle w:val="None"/>
          <w:sz w:val="24"/>
          <w:szCs w:val="24"/>
        </w:rPr>
        <w:t xml:space="preserve">. We rooted our trees between </w:t>
      </w:r>
      <w:proofErr w:type="spellStart"/>
      <w:r w:rsidRPr="002D17B7">
        <w:rPr>
          <w:rStyle w:val="Hyperlink1"/>
        </w:rPr>
        <w:t>Illicium</w:t>
      </w:r>
      <w:proofErr w:type="spellEnd"/>
      <w:r w:rsidRPr="002D17B7">
        <w:rPr>
          <w:rStyle w:val="None"/>
          <w:sz w:val="24"/>
          <w:szCs w:val="24"/>
        </w:rPr>
        <w:t xml:space="preserve"> and </w:t>
      </w:r>
      <w:proofErr w:type="spellStart"/>
      <w:r w:rsidRPr="002D17B7">
        <w:rPr>
          <w:rStyle w:val="Hyperlink1"/>
        </w:rPr>
        <w:t>Kadsura</w:t>
      </w:r>
      <w:proofErr w:type="spellEnd"/>
      <w:r w:rsidRPr="002D17B7">
        <w:rPr>
          <w:rStyle w:val="Hyperlink1"/>
        </w:rPr>
        <w:t>/</w:t>
      </w:r>
      <w:proofErr w:type="spellStart"/>
      <w:r w:rsidRPr="002D17B7">
        <w:rPr>
          <w:rStyle w:val="Hyperlink1"/>
        </w:rPr>
        <w:t>Schisandra</w:t>
      </w:r>
      <w:proofErr w:type="spellEnd"/>
      <w:r w:rsidRPr="002D17B7">
        <w:rPr>
          <w:rStyle w:val="None"/>
          <w:sz w:val="24"/>
          <w:szCs w:val="24"/>
        </w:rPr>
        <w:t xml:space="preserve">, a sister group relationship found in previous studies (e.g., Liu et al., 2006; Morris et al., 2007). Maximum likelihood analyses of the plant matrix (as well as the midge matrix; below) relied on </w:t>
      </w:r>
      <w:proofErr w:type="spellStart"/>
      <w:r w:rsidRPr="002D17B7">
        <w:rPr>
          <w:rStyle w:val="None"/>
          <w:sz w:val="24"/>
          <w:szCs w:val="24"/>
        </w:rPr>
        <w:t>RAxML</w:t>
      </w:r>
      <w:proofErr w:type="spellEnd"/>
      <w:r w:rsidRPr="002D17B7">
        <w:rPr>
          <w:rStyle w:val="None"/>
          <w:sz w:val="24"/>
          <w:szCs w:val="24"/>
        </w:rPr>
        <w:t xml:space="preserve"> v8.0 (</w:t>
      </w:r>
      <w:proofErr w:type="spellStart"/>
      <w:r w:rsidRPr="002D17B7">
        <w:rPr>
          <w:rStyle w:val="None"/>
          <w:sz w:val="24"/>
          <w:szCs w:val="24"/>
        </w:rPr>
        <w:t>Stamatakis</w:t>
      </w:r>
      <w:proofErr w:type="spellEnd"/>
      <w:r w:rsidRPr="002D17B7">
        <w:rPr>
          <w:rStyle w:val="None"/>
          <w:sz w:val="24"/>
          <w:szCs w:val="24"/>
        </w:rPr>
        <w:t xml:space="preserve"> et al., 2008), using the GTR + G model of substitution with 100 replicate heuristic searches.</w:t>
      </w:r>
    </w:p>
    <w:p w14:paraId="605F7253" w14:textId="77777777" w:rsidR="00F70CF7" w:rsidRPr="002D17B7" w:rsidRDefault="00F70CF7" w:rsidP="00F70CF7">
      <w:pPr>
        <w:pStyle w:val="1"/>
        <w:spacing w:line="360" w:lineRule="auto"/>
        <w:ind w:firstLine="420"/>
        <w:jc w:val="left"/>
        <w:rPr>
          <w:rStyle w:val="None"/>
          <w:sz w:val="24"/>
          <w:szCs w:val="24"/>
        </w:rPr>
      </w:pPr>
      <w:r w:rsidRPr="002D17B7">
        <w:rPr>
          <w:rStyle w:val="None"/>
          <w:sz w:val="24"/>
          <w:szCs w:val="24"/>
        </w:rPr>
        <w:t xml:space="preserve">For the midge phylogeny, we enlarged the matrix of Luo et al. (2017), following the same methods of DNA isolation, sequencing, and alignment. Table S4 provides specimen information and </w:t>
      </w:r>
      <w:proofErr w:type="spellStart"/>
      <w:r w:rsidRPr="002D17B7">
        <w:rPr>
          <w:rStyle w:val="None"/>
          <w:sz w:val="24"/>
          <w:szCs w:val="24"/>
        </w:rPr>
        <w:t>GenBank</w:t>
      </w:r>
      <w:proofErr w:type="spellEnd"/>
      <w:r w:rsidRPr="002D17B7">
        <w:rPr>
          <w:rStyle w:val="None"/>
          <w:sz w:val="24"/>
          <w:szCs w:val="24"/>
        </w:rPr>
        <w:t xml:space="preserve"> accession numbers for all newly sequenced midges. We combined our sequences with additional cytochro</w:t>
      </w:r>
      <w:r>
        <w:rPr>
          <w:rStyle w:val="None"/>
          <w:sz w:val="24"/>
          <w:szCs w:val="24"/>
        </w:rPr>
        <w:t xml:space="preserve">me oxidase subunit I gene (COI) </w:t>
      </w:r>
      <w:r w:rsidRPr="002D17B7">
        <w:rPr>
          <w:rStyle w:val="None"/>
          <w:sz w:val="24"/>
          <w:szCs w:val="24"/>
        </w:rPr>
        <w:t>sequences of super</w:t>
      </w:r>
      <w:r>
        <w:rPr>
          <w:rStyle w:val="None"/>
          <w:sz w:val="24"/>
          <w:szCs w:val="24"/>
        </w:rPr>
        <w:t>-</w:t>
      </w:r>
      <w:r w:rsidRPr="002D17B7">
        <w:rPr>
          <w:rStyle w:val="None"/>
          <w:sz w:val="24"/>
          <w:szCs w:val="24"/>
        </w:rPr>
        <w:t xml:space="preserve">tribe </w:t>
      </w:r>
      <w:proofErr w:type="spellStart"/>
      <w:r w:rsidRPr="002D17B7">
        <w:rPr>
          <w:rStyle w:val="None"/>
          <w:sz w:val="24"/>
          <w:szCs w:val="24"/>
        </w:rPr>
        <w:t>Cecidomyiidi</w:t>
      </w:r>
      <w:proofErr w:type="spellEnd"/>
      <w:r w:rsidRPr="002D17B7">
        <w:rPr>
          <w:rStyle w:val="None"/>
          <w:sz w:val="24"/>
          <w:szCs w:val="24"/>
        </w:rPr>
        <w:t xml:space="preserve"> from </w:t>
      </w:r>
      <w:proofErr w:type="spellStart"/>
      <w:r w:rsidRPr="002D17B7">
        <w:rPr>
          <w:rStyle w:val="None"/>
          <w:sz w:val="24"/>
          <w:szCs w:val="24"/>
        </w:rPr>
        <w:t>GenBank</w:t>
      </w:r>
      <w:proofErr w:type="spellEnd"/>
      <w:r w:rsidRPr="002D17B7">
        <w:rPr>
          <w:rStyle w:val="None"/>
          <w:sz w:val="24"/>
          <w:szCs w:val="24"/>
        </w:rPr>
        <w:t xml:space="preserve">, most importantly those of Yukawa et al. (2009, 2011). This </w:t>
      </w:r>
      <w:proofErr w:type="spellStart"/>
      <w:r w:rsidRPr="002D17B7">
        <w:rPr>
          <w:rStyle w:val="None"/>
          <w:sz w:val="24"/>
          <w:szCs w:val="24"/>
        </w:rPr>
        <w:t>supertribe</w:t>
      </w:r>
      <w:proofErr w:type="spellEnd"/>
      <w:r w:rsidRPr="002D17B7">
        <w:rPr>
          <w:rStyle w:val="None"/>
          <w:sz w:val="24"/>
          <w:szCs w:val="24"/>
        </w:rPr>
        <w:t xml:space="preserve"> has 2395 species in 11 tribes of which we included representatives of </w:t>
      </w:r>
      <w:proofErr w:type="spellStart"/>
      <w:r w:rsidRPr="002D17B7">
        <w:rPr>
          <w:rStyle w:val="None"/>
          <w:sz w:val="24"/>
          <w:szCs w:val="24"/>
        </w:rPr>
        <w:t>Aphidoletini</w:t>
      </w:r>
      <w:proofErr w:type="spellEnd"/>
      <w:r w:rsidRPr="002D17B7">
        <w:rPr>
          <w:rStyle w:val="None"/>
          <w:sz w:val="24"/>
          <w:szCs w:val="24"/>
        </w:rPr>
        <w:t xml:space="preserve">, </w:t>
      </w:r>
      <w:proofErr w:type="spellStart"/>
      <w:r w:rsidRPr="002D17B7">
        <w:rPr>
          <w:rStyle w:val="None"/>
          <w:sz w:val="24"/>
          <w:szCs w:val="24"/>
        </w:rPr>
        <w:t>Asphondyliini</w:t>
      </w:r>
      <w:proofErr w:type="spellEnd"/>
      <w:r w:rsidRPr="002D17B7">
        <w:rPr>
          <w:rStyle w:val="None"/>
          <w:sz w:val="24"/>
          <w:szCs w:val="24"/>
        </w:rPr>
        <w:t xml:space="preserve">, </w:t>
      </w:r>
      <w:proofErr w:type="spellStart"/>
      <w:r w:rsidRPr="002D17B7">
        <w:rPr>
          <w:rStyle w:val="None"/>
          <w:sz w:val="24"/>
          <w:szCs w:val="24"/>
        </w:rPr>
        <w:t>Cecidomyiini</w:t>
      </w:r>
      <w:proofErr w:type="spellEnd"/>
      <w:r w:rsidRPr="002D17B7">
        <w:rPr>
          <w:rStyle w:val="None"/>
          <w:sz w:val="24"/>
          <w:szCs w:val="24"/>
        </w:rPr>
        <w:t xml:space="preserve">, </w:t>
      </w:r>
      <w:proofErr w:type="spellStart"/>
      <w:r w:rsidRPr="002D17B7">
        <w:rPr>
          <w:rStyle w:val="None"/>
          <w:sz w:val="24"/>
          <w:szCs w:val="24"/>
        </w:rPr>
        <w:t>Lestodiplosini</w:t>
      </w:r>
      <w:proofErr w:type="spellEnd"/>
      <w:r w:rsidRPr="002D17B7">
        <w:rPr>
          <w:rStyle w:val="None"/>
          <w:sz w:val="24"/>
          <w:szCs w:val="24"/>
        </w:rPr>
        <w:t xml:space="preserve">, </w:t>
      </w:r>
      <w:proofErr w:type="spellStart"/>
      <w:r w:rsidRPr="002D17B7">
        <w:rPr>
          <w:rStyle w:val="None"/>
          <w:sz w:val="24"/>
          <w:szCs w:val="24"/>
        </w:rPr>
        <w:t>Lopesiini</w:t>
      </w:r>
      <w:proofErr w:type="spellEnd"/>
      <w:r w:rsidRPr="002D17B7">
        <w:rPr>
          <w:rStyle w:val="None"/>
          <w:sz w:val="24"/>
          <w:szCs w:val="24"/>
        </w:rPr>
        <w:t xml:space="preserve">, with three species of </w:t>
      </w:r>
      <w:proofErr w:type="spellStart"/>
      <w:r w:rsidRPr="002D17B7">
        <w:rPr>
          <w:rStyle w:val="None"/>
          <w:sz w:val="24"/>
          <w:szCs w:val="24"/>
        </w:rPr>
        <w:t>Lasiopteridi</w:t>
      </w:r>
      <w:proofErr w:type="spellEnd"/>
      <w:r w:rsidRPr="002D17B7">
        <w:rPr>
          <w:rStyle w:val="None"/>
          <w:sz w:val="24"/>
          <w:szCs w:val="24"/>
        </w:rPr>
        <w:t xml:space="preserve"> (genus </w:t>
      </w:r>
      <w:proofErr w:type="spellStart"/>
      <w:r w:rsidRPr="002D17B7">
        <w:rPr>
          <w:rStyle w:val="Hyperlink1"/>
        </w:rPr>
        <w:t>Asteromyia</w:t>
      </w:r>
      <w:proofErr w:type="spellEnd"/>
      <w:r w:rsidRPr="002D17B7">
        <w:rPr>
          <w:rStyle w:val="None"/>
          <w:sz w:val="24"/>
          <w:szCs w:val="24"/>
        </w:rPr>
        <w:t>) used as the outgroup based on (Joy, 2013).</w:t>
      </w:r>
    </w:p>
    <w:p w14:paraId="48B1D329" w14:textId="77777777" w:rsidR="00F70CF7" w:rsidRPr="002D17B7" w:rsidRDefault="00F70CF7" w:rsidP="00F70CF7">
      <w:pPr>
        <w:pStyle w:val="1"/>
        <w:spacing w:line="360" w:lineRule="auto"/>
        <w:jc w:val="left"/>
        <w:rPr>
          <w:rStyle w:val="Hyperlink1"/>
        </w:rPr>
      </w:pPr>
    </w:p>
    <w:p w14:paraId="68FEB325" w14:textId="77777777" w:rsidR="00F70CF7" w:rsidRPr="00030F0A" w:rsidRDefault="00F70CF7" w:rsidP="00F70CF7">
      <w:pPr>
        <w:pStyle w:val="1"/>
        <w:numPr>
          <w:ilvl w:val="0"/>
          <w:numId w:val="4"/>
        </w:numPr>
        <w:spacing w:line="360" w:lineRule="auto"/>
        <w:jc w:val="left"/>
        <w:rPr>
          <w:rStyle w:val="Hyperlink1"/>
          <w:i w:val="0"/>
        </w:rPr>
      </w:pPr>
      <w:r w:rsidRPr="00030F0A">
        <w:rPr>
          <w:rStyle w:val="Hyperlink1"/>
          <w:i w:val="0"/>
        </w:rPr>
        <w:t>Molecular clock dating</w:t>
      </w:r>
    </w:p>
    <w:p w14:paraId="0E2B77D3" w14:textId="77777777" w:rsidR="00F70CF7" w:rsidRPr="002D17B7" w:rsidRDefault="00F70CF7" w:rsidP="00F70CF7">
      <w:pPr>
        <w:pStyle w:val="1"/>
        <w:spacing w:line="360" w:lineRule="auto"/>
        <w:jc w:val="left"/>
        <w:rPr>
          <w:rStyle w:val="None"/>
          <w:sz w:val="24"/>
          <w:szCs w:val="24"/>
        </w:rPr>
      </w:pPr>
      <w:r>
        <w:rPr>
          <w:rStyle w:val="None"/>
          <w:sz w:val="24"/>
          <w:szCs w:val="24"/>
        </w:rPr>
        <w:t>Molecular clock dating relied on</w:t>
      </w:r>
      <w:r w:rsidRPr="002D17B7">
        <w:rPr>
          <w:rStyle w:val="None"/>
          <w:sz w:val="24"/>
          <w:szCs w:val="24"/>
        </w:rPr>
        <w:t xml:space="preserve"> BEAST 1.8.4 (Drummond et al., 2012) under an uncorrelated lognormal (UCLN) clock model and the GTR+G model of substitution, using Yule tree priors, with Markov chain Monte Carlo (MCMC) chain length of 10 to 25 million trees, sampling every 1000</w:t>
      </w:r>
      <w:r w:rsidRPr="002D17B7">
        <w:rPr>
          <w:rStyle w:val="None"/>
          <w:sz w:val="24"/>
          <w:szCs w:val="24"/>
          <w:vertAlign w:val="superscript"/>
        </w:rPr>
        <w:t>th</w:t>
      </w:r>
      <w:r w:rsidRPr="002D17B7">
        <w:rPr>
          <w:rStyle w:val="None"/>
          <w:sz w:val="24"/>
          <w:szCs w:val="24"/>
        </w:rPr>
        <w:t xml:space="preserve"> or 5000</w:t>
      </w:r>
      <w:r w:rsidRPr="002D17B7">
        <w:rPr>
          <w:rStyle w:val="None"/>
          <w:sz w:val="24"/>
          <w:szCs w:val="24"/>
          <w:vertAlign w:val="superscript"/>
        </w:rPr>
        <w:t>th</w:t>
      </w:r>
      <w:r w:rsidRPr="002D17B7">
        <w:rPr>
          <w:rStyle w:val="None"/>
          <w:sz w:val="24"/>
          <w:szCs w:val="24"/>
        </w:rPr>
        <w:t xml:space="preserve"> generation with chain length depending on convergence as determined by examining the log files in Tracer v. 1.6 (</w:t>
      </w:r>
      <w:hyperlink r:id="rId9" w:history="1">
        <w:r w:rsidRPr="002D17B7">
          <w:rPr>
            <w:rStyle w:val="Hyperlink0"/>
          </w:rPr>
          <w:t>http://beast.bio.ed.ac.uk/</w:t>
        </w:r>
      </w:hyperlink>
      <w:r w:rsidRPr="002D17B7">
        <w:rPr>
          <w:rStyle w:val="None"/>
          <w:sz w:val="24"/>
          <w:szCs w:val="24"/>
        </w:rPr>
        <w:t xml:space="preserve">) after removal of an initial burn-in proportion of 10% of the trees (1000 of 10000 trees). We made sure that all </w:t>
      </w:r>
      <w:r>
        <w:rPr>
          <w:rStyle w:val="None"/>
          <w:sz w:val="24"/>
          <w:szCs w:val="24"/>
        </w:rPr>
        <w:t>effective sample size v</w:t>
      </w:r>
      <w:r w:rsidRPr="002D17B7">
        <w:rPr>
          <w:rStyle w:val="None"/>
          <w:sz w:val="24"/>
          <w:szCs w:val="24"/>
        </w:rPr>
        <w:t xml:space="preserve">alues were well above 300 as recommended in the BEAST manual. To calibrate the </w:t>
      </w:r>
      <w:proofErr w:type="spellStart"/>
      <w:r w:rsidRPr="002D17B7">
        <w:rPr>
          <w:rStyle w:val="None"/>
          <w:sz w:val="24"/>
          <w:szCs w:val="24"/>
        </w:rPr>
        <w:t>Schisandraceae</w:t>
      </w:r>
      <w:proofErr w:type="spellEnd"/>
      <w:r w:rsidRPr="002D17B7">
        <w:rPr>
          <w:rStyle w:val="None"/>
          <w:sz w:val="24"/>
          <w:szCs w:val="24"/>
        </w:rPr>
        <w:t xml:space="preserve"> phylogeny, we used three </w:t>
      </w:r>
      <w:proofErr w:type="spellStart"/>
      <w:r w:rsidRPr="002D17B7">
        <w:rPr>
          <w:rStyle w:val="None"/>
          <w:sz w:val="24"/>
          <w:szCs w:val="24"/>
        </w:rPr>
        <w:t>Schisandraceae</w:t>
      </w:r>
      <w:proofErr w:type="spellEnd"/>
      <w:r w:rsidRPr="002D17B7">
        <w:rPr>
          <w:rStyle w:val="None"/>
          <w:sz w:val="24"/>
          <w:szCs w:val="24"/>
        </w:rPr>
        <w:t xml:space="preserve"> fossils as justified in detail in Luo et al. (2017). First, </w:t>
      </w:r>
      <w:proofErr w:type="spellStart"/>
      <w:r w:rsidRPr="002D17B7">
        <w:rPr>
          <w:rStyle w:val="Hyperlink1"/>
        </w:rPr>
        <w:t>Schisandra</w:t>
      </w:r>
      <w:proofErr w:type="spellEnd"/>
      <w:r w:rsidRPr="002D17B7">
        <w:rPr>
          <w:rStyle w:val="Hyperlink1"/>
        </w:rPr>
        <w:t xml:space="preserve"> </w:t>
      </w:r>
      <w:proofErr w:type="spellStart"/>
      <w:r w:rsidRPr="002D17B7">
        <w:rPr>
          <w:rStyle w:val="Hyperlink1"/>
        </w:rPr>
        <w:t>oregonensis</w:t>
      </w:r>
      <w:proofErr w:type="spellEnd"/>
      <w:r w:rsidRPr="002D17B7">
        <w:rPr>
          <w:rStyle w:val="None"/>
          <w:sz w:val="24"/>
          <w:szCs w:val="24"/>
        </w:rPr>
        <w:t xml:space="preserve"> seed fossils from the Middle Eocene </w:t>
      </w:r>
      <w:proofErr w:type="spellStart"/>
      <w:r w:rsidRPr="002D17B7">
        <w:rPr>
          <w:rStyle w:val="None"/>
          <w:sz w:val="24"/>
          <w:szCs w:val="24"/>
        </w:rPr>
        <w:t>Clarno</w:t>
      </w:r>
      <w:proofErr w:type="spellEnd"/>
      <w:r w:rsidRPr="002D17B7">
        <w:rPr>
          <w:rStyle w:val="None"/>
          <w:sz w:val="24"/>
          <w:szCs w:val="24"/>
        </w:rPr>
        <w:t xml:space="preserve"> Formation of Orego</w:t>
      </w:r>
      <w:r>
        <w:rPr>
          <w:rStyle w:val="None"/>
          <w:sz w:val="24"/>
          <w:szCs w:val="24"/>
        </w:rPr>
        <w:t>n dated to 44 million years (my</w:t>
      </w:r>
      <w:r w:rsidRPr="002D17B7">
        <w:rPr>
          <w:rStyle w:val="None"/>
          <w:sz w:val="24"/>
          <w:szCs w:val="24"/>
        </w:rPr>
        <w:t xml:space="preserve">; Manchester, 1994), which provide a minimum age for the split between the </w:t>
      </w:r>
      <w:r w:rsidRPr="002D17B7">
        <w:rPr>
          <w:rStyle w:val="Hyperlink1"/>
        </w:rPr>
        <w:t xml:space="preserve">S. </w:t>
      </w:r>
      <w:proofErr w:type="spellStart"/>
      <w:r w:rsidRPr="002D17B7">
        <w:rPr>
          <w:rStyle w:val="Hyperlink1"/>
        </w:rPr>
        <w:t>glabra</w:t>
      </w:r>
      <w:proofErr w:type="spellEnd"/>
      <w:r w:rsidRPr="002D17B7">
        <w:rPr>
          <w:rStyle w:val="None"/>
          <w:sz w:val="24"/>
          <w:szCs w:val="24"/>
        </w:rPr>
        <w:t xml:space="preserve"> clade (</w:t>
      </w:r>
      <w:r w:rsidRPr="002D17B7">
        <w:rPr>
          <w:rStyle w:val="Hyperlink1"/>
        </w:rPr>
        <w:t xml:space="preserve">S. </w:t>
      </w:r>
      <w:proofErr w:type="spellStart"/>
      <w:r w:rsidRPr="002D17B7">
        <w:rPr>
          <w:rStyle w:val="Hyperlink1"/>
        </w:rPr>
        <w:t>glabra</w:t>
      </w:r>
      <w:proofErr w:type="spellEnd"/>
      <w:r w:rsidRPr="002D17B7">
        <w:rPr>
          <w:rStyle w:val="None"/>
          <w:sz w:val="24"/>
          <w:szCs w:val="24"/>
        </w:rPr>
        <w:t xml:space="preserve"> being the only </w:t>
      </w:r>
      <w:proofErr w:type="spellStart"/>
      <w:r w:rsidRPr="002D17B7">
        <w:rPr>
          <w:rStyle w:val="Hyperlink1"/>
        </w:rPr>
        <w:t>Schisandra</w:t>
      </w:r>
      <w:proofErr w:type="spellEnd"/>
      <w:r w:rsidRPr="002D17B7">
        <w:rPr>
          <w:rStyle w:val="None"/>
          <w:sz w:val="24"/>
          <w:szCs w:val="24"/>
        </w:rPr>
        <w:t xml:space="preserve"> in North America) and the remaining </w:t>
      </w:r>
      <w:proofErr w:type="spellStart"/>
      <w:r w:rsidRPr="002D17B7">
        <w:rPr>
          <w:rStyle w:val="Hyperlink1"/>
        </w:rPr>
        <w:t>Schisandra</w:t>
      </w:r>
      <w:proofErr w:type="spellEnd"/>
      <w:r w:rsidRPr="002D17B7">
        <w:rPr>
          <w:rStyle w:val="None"/>
          <w:sz w:val="24"/>
          <w:szCs w:val="24"/>
        </w:rPr>
        <w:t xml:space="preserve"> species. For this constraint</w:t>
      </w:r>
      <w:r>
        <w:rPr>
          <w:rStyle w:val="None"/>
          <w:sz w:val="24"/>
          <w:szCs w:val="24"/>
        </w:rPr>
        <w:t>,</w:t>
      </w:r>
      <w:r w:rsidRPr="002D17B7">
        <w:rPr>
          <w:rStyle w:val="None"/>
          <w:sz w:val="24"/>
          <w:szCs w:val="24"/>
        </w:rPr>
        <w:t xml:space="preserve"> we used a normal prior distribution with a range of 42-46 </w:t>
      </w:r>
      <w:proofErr w:type="gramStart"/>
      <w:r w:rsidRPr="002D17B7">
        <w:rPr>
          <w:rStyle w:val="None"/>
          <w:sz w:val="24"/>
          <w:szCs w:val="24"/>
        </w:rPr>
        <w:t>my</w:t>
      </w:r>
      <w:proofErr w:type="gramEnd"/>
      <w:r w:rsidRPr="002D17B7">
        <w:rPr>
          <w:rStyle w:val="None"/>
          <w:sz w:val="24"/>
          <w:szCs w:val="24"/>
        </w:rPr>
        <w:t xml:space="preserve">. Second, leaves of </w:t>
      </w:r>
      <w:proofErr w:type="spellStart"/>
      <w:r w:rsidRPr="002D17B7">
        <w:rPr>
          <w:rStyle w:val="Hyperlink1"/>
        </w:rPr>
        <w:t>Illicium</w:t>
      </w:r>
      <w:proofErr w:type="spellEnd"/>
      <w:r w:rsidRPr="002D17B7">
        <w:rPr>
          <w:rStyle w:val="None"/>
          <w:sz w:val="24"/>
          <w:szCs w:val="24"/>
        </w:rPr>
        <w:t xml:space="preserve"> spec. 1 and 2 from the Middle Eocene </w:t>
      </w:r>
      <w:proofErr w:type="spellStart"/>
      <w:r w:rsidRPr="002D17B7">
        <w:rPr>
          <w:rStyle w:val="None"/>
          <w:sz w:val="24"/>
          <w:szCs w:val="24"/>
        </w:rPr>
        <w:t>Geiseltal</w:t>
      </w:r>
      <w:proofErr w:type="spellEnd"/>
      <w:r w:rsidRPr="002D17B7">
        <w:rPr>
          <w:rStyle w:val="None"/>
          <w:sz w:val="24"/>
          <w:szCs w:val="24"/>
        </w:rPr>
        <w:t xml:space="preserve"> flora near Halle, Germany, resemble the modern East Asian species </w:t>
      </w:r>
      <w:r w:rsidRPr="002D17B7">
        <w:rPr>
          <w:rStyle w:val="Hyperlink1"/>
        </w:rPr>
        <w:t xml:space="preserve">I. </w:t>
      </w:r>
      <w:proofErr w:type="spellStart"/>
      <w:r w:rsidRPr="002D17B7">
        <w:rPr>
          <w:rStyle w:val="Hyperlink1"/>
        </w:rPr>
        <w:t>simonsii</w:t>
      </w:r>
      <w:proofErr w:type="spellEnd"/>
      <w:r w:rsidRPr="002D17B7">
        <w:rPr>
          <w:rStyle w:val="None"/>
          <w:sz w:val="24"/>
          <w:szCs w:val="24"/>
        </w:rPr>
        <w:t xml:space="preserve">, </w:t>
      </w:r>
      <w:r w:rsidRPr="002D17B7">
        <w:rPr>
          <w:rStyle w:val="Hyperlink1"/>
        </w:rPr>
        <w:t xml:space="preserve">I. </w:t>
      </w:r>
      <w:proofErr w:type="spellStart"/>
      <w:r w:rsidRPr="002D17B7">
        <w:rPr>
          <w:rStyle w:val="Hyperlink1"/>
        </w:rPr>
        <w:t>lanceolatum</w:t>
      </w:r>
      <w:proofErr w:type="spellEnd"/>
      <w:r w:rsidRPr="002D17B7">
        <w:rPr>
          <w:rStyle w:val="None"/>
          <w:sz w:val="24"/>
          <w:szCs w:val="24"/>
        </w:rPr>
        <w:t>, I</w:t>
      </w:r>
      <w:r w:rsidRPr="002D17B7">
        <w:rPr>
          <w:rStyle w:val="Hyperlink1"/>
        </w:rPr>
        <w:t xml:space="preserve">. </w:t>
      </w:r>
      <w:proofErr w:type="spellStart"/>
      <w:r w:rsidRPr="002D17B7">
        <w:rPr>
          <w:rStyle w:val="Hyperlink1"/>
        </w:rPr>
        <w:t>henryi</w:t>
      </w:r>
      <w:proofErr w:type="spellEnd"/>
      <w:r w:rsidRPr="002D17B7">
        <w:rPr>
          <w:rStyle w:val="None"/>
          <w:sz w:val="24"/>
          <w:szCs w:val="24"/>
        </w:rPr>
        <w:t xml:space="preserve">, </w:t>
      </w:r>
      <w:r w:rsidRPr="002D17B7">
        <w:rPr>
          <w:rStyle w:val="Hyperlink1"/>
        </w:rPr>
        <w:t xml:space="preserve">I. </w:t>
      </w:r>
      <w:proofErr w:type="spellStart"/>
      <w:r w:rsidRPr="002D17B7">
        <w:rPr>
          <w:rStyle w:val="Hyperlink1"/>
        </w:rPr>
        <w:t>dunnianum</w:t>
      </w:r>
      <w:proofErr w:type="spellEnd"/>
      <w:r w:rsidRPr="002D17B7">
        <w:rPr>
          <w:rStyle w:val="None"/>
          <w:sz w:val="24"/>
          <w:szCs w:val="24"/>
        </w:rPr>
        <w:t xml:space="preserve">, </w:t>
      </w:r>
      <w:r w:rsidRPr="002D17B7">
        <w:rPr>
          <w:rStyle w:val="Hyperlink1"/>
        </w:rPr>
        <w:t xml:space="preserve">I. </w:t>
      </w:r>
      <w:proofErr w:type="spellStart"/>
      <w:r w:rsidRPr="002D17B7">
        <w:rPr>
          <w:rStyle w:val="Hyperlink1"/>
        </w:rPr>
        <w:t>arborescens</w:t>
      </w:r>
      <w:proofErr w:type="spellEnd"/>
      <w:r w:rsidRPr="002D17B7">
        <w:rPr>
          <w:rStyle w:val="None"/>
          <w:sz w:val="24"/>
          <w:szCs w:val="24"/>
        </w:rPr>
        <w:t xml:space="preserve">, and </w:t>
      </w:r>
      <w:r w:rsidRPr="002D17B7">
        <w:rPr>
          <w:rStyle w:val="Hyperlink1"/>
        </w:rPr>
        <w:t xml:space="preserve">I. </w:t>
      </w:r>
      <w:proofErr w:type="spellStart"/>
      <w:r w:rsidRPr="002D17B7">
        <w:rPr>
          <w:rStyle w:val="Hyperlink1"/>
        </w:rPr>
        <w:t>verum</w:t>
      </w:r>
      <w:proofErr w:type="spellEnd"/>
      <w:r w:rsidRPr="002D17B7">
        <w:rPr>
          <w:rStyle w:val="None"/>
          <w:sz w:val="24"/>
          <w:szCs w:val="24"/>
        </w:rPr>
        <w:t xml:space="preserve"> (Oh et al., 2003) and provide a minimum age for the </w:t>
      </w:r>
      <w:proofErr w:type="spellStart"/>
      <w:r w:rsidRPr="002D17B7">
        <w:rPr>
          <w:rStyle w:val="Hyperlink1"/>
        </w:rPr>
        <w:t>Illicium</w:t>
      </w:r>
      <w:proofErr w:type="spellEnd"/>
      <w:r>
        <w:rPr>
          <w:rStyle w:val="None"/>
          <w:sz w:val="24"/>
          <w:szCs w:val="24"/>
        </w:rPr>
        <w:t xml:space="preserve"> crown group of 45 </w:t>
      </w:r>
      <w:proofErr w:type="gramStart"/>
      <w:r>
        <w:rPr>
          <w:rStyle w:val="None"/>
          <w:sz w:val="24"/>
          <w:szCs w:val="24"/>
        </w:rPr>
        <w:t>my</w:t>
      </w:r>
      <w:proofErr w:type="gramEnd"/>
      <w:r w:rsidRPr="002D17B7">
        <w:rPr>
          <w:rStyle w:val="None"/>
          <w:sz w:val="24"/>
          <w:szCs w:val="24"/>
        </w:rPr>
        <w:t>. For this constraint, we used a normal prior dis</w:t>
      </w:r>
      <w:r>
        <w:rPr>
          <w:rStyle w:val="None"/>
          <w:sz w:val="24"/>
          <w:szCs w:val="24"/>
        </w:rPr>
        <w:t xml:space="preserve">tribution with a range of 43-47 </w:t>
      </w:r>
      <w:proofErr w:type="gramStart"/>
      <w:r w:rsidRPr="002D17B7">
        <w:rPr>
          <w:rStyle w:val="None"/>
          <w:sz w:val="24"/>
          <w:szCs w:val="24"/>
        </w:rPr>
        <w:t>my</w:t>
      </w:r>
      <w:proofErr w:type="gramEnd"/>
      <w:r w:rsidRPr="002D17B7">
        <w:rPr>
          <w:rStyle w:val="None"/>
          <w:sz w:val="24"/>
          <w:szCs w:val="24"/>
        </w:rPr>
        <w:t xml:space="preserve">. Thirdly, </w:t>
      </w:r>
      <w:proofErr w:type="spellStart"/>
      <w:r w:rsidRPr="002D17B7">
        <w:rPr>
          <w:rStyle w:val="None"/>
          <w:i/>
          <w:iCs/>
          <w:color w:val="231F20"/>
          <w:sz w:val="24"/>
          <w:szCs w:val="24"/>
          <w:u w:color="231F20"/>
        </w:rPr>
        <w:t>Illicium</w:t>
      </w:r>
      <w:proofErr w:type="spellEnd"/>
      <w:r w:rsidRPr="002D17B7">
        <w:rPr>
          <w:rStyle w:val="None"/>
          <w:i/>
          <w:iCs/>
          <w:color w:val="231F20"/>
          <w:sz w:val="24"/>
          <w:szCs w:val="24"/>
          <w:u w:color="231F20"/>
        </w:rPr>
        <w:t xml:space="preserve"> </w:t>
      </w:r>
      <w:proofErr w:type="spellStart"/>
      <w:r w:rsidRPr="002D17B7">
        <w:rPr>
          <w:rStyle w:val="None"/>
          <w:i/>
          <w:iCs/>
          <w:color w:val="231F20"/>
          <w:sz w:val="24"/>
          <w:szCs w:val="24"/>
          <w:u w:color="231F20"/>
        </w:rPr>
        <w:t>avitum</w:t>
      </w:r>
      <w:proofErr w:type="spellEnd"/>
      <w:r w:rsidRPr="002D17B7">
        <w:rPr>
          <w:rStyle w:val="None"/>
          <w:color w:val="231F20"/>
          <w:sz w:val="24"/>
          <w:szCs w:val="24"/>
          <w:u w:color="231F20"/>
        </w:rPr>
        <w:t xml:space="preserve">, known from seven immature fruiting axes from the Brandon Lignite of Vermont dated to the Early Miocene (16.4– 23.8 my; </w:t>
      </w:r>
      <w:r w:rsidRPr="002D17B7">
        <w:rPr>
          <w:rStyle w:val="None"/>
          <w:sz w:val="24"/>
          <w:szCs w:val="24"/>
        </w:rPr>
        <w:t xml:space="preserve">Tiffney &amp; </w:t>
      </w:r>
      <w:proofErr w:type="spellStart"/>
      <w:r w:rsidRPr="002D17B7">
        <w:rPr>
          <w:rStyle w:val="None"/>
          <w:sz w:val="24"/>
          <w:szCs w:val="24"/>
        </w:rPr>
        <w:t>Barghoorn</w:t>
      </w:r>
      <w:proofErr w:type="spellEnd"/>
      <w:r w:rsidRPr="002D17B7">
        <w:rPr>
          <w:rStyle w:val="None"/>
          <w:sz w:val="24"/>
          <w:szCs w:val="24"/>
        </w:rPr>
        <w:t>, 1979</w:t>
      </w:r>
      <w:r w:rsidRPr="002D17B7">
        <w:rPr>
          <w:rStyle w:val="None"/>
          <w:color w:val="231F20"/>
          <w:sz w:val="24"/>
          <w:szCs w:val="24"/>
          <w:u w:color="231F20"/>
        </w:rPr>
        <w:t xml:space="preserve">), provides a minimum age for the New World </w:t>
      </w:r>
      <w:proofErr w:type="spellStart"/>
      <w:r w:rsidRPr="002D17B7">
        <w:rPr>
          <w:rStyle w:val="None"/>
          <w:i/>
          <w:iCs/>
          <w:color w:val="231F20"/>
          <w:sz w:val="24"/>
          <w:szCs w:val="24"/>
          <w:u w:color="231F20"/>
        </w:rPr>
        <w:t>Illicium</w:t>
      </w:r>
      <w:proofErr w:type="spellEnd"/>
      <w:r w:rsidRPr="002D17B7">
        <w:rPr>
          <w:rStyle w:val="None"/>
          <w:color w:val="231F20"/>
          <w:sz w:val="24"/>
          <w:szCs w:val="24"/>
          <w:u w:color="231F20"/>
        </w:rPr>
        <w:t xml:space="preserve"> clade. </w:t>
      </w:r>
      <w:r w:rsidRPr="002D17B7">
        <w:rPr>
          <w:rStyle w:val="None"/>
          <w:sz w:val="24"/>
          <w:szCs w:val="24"/>
        </w:rPr>
        <w:t xml:space="preserve">For this constraint, we used a lognormal prior distribution with an offset at 16.4 my and a range back to 23.5 </w:t>
      </w:r>
      <w:proofErr w:type="gramStart"/>
      <w:r w:rsidRPr="002D17B7">
        <w:rPr>
          <w:rStyle w:val="None"/>
          <w:sz w:val="24"/>
          <w:szCs w:val="24"/>
        </w:rPr>
        <w:t>my</w:t>
      </w:r>
      <w:proofErr w:type="gramEnd"/>
      <w:r w:rsidRPr="002D17B7">
        <w:rPr>
          <w:rStyle w:val="None"/>
          <w:sz w:val="24"/>
          <w:szCs w:val="24"/>
        </w:rPr>
        <w:t xml:space="preserve">. </w:t>
      </w:r>
    </w:p>
    <w:p w14:paraId="34A083EA" w14:textId="77777777" w:rsidR="00F70CF7" w:rsidRPr="002D17B7" w:rsidRDefault="00F70CF7" w:rsidP="00F70CF7">
      <w:pPr>
        <w:pStyle w:val="1"/>
        <w:spacing w:line="360" w:lineRule="auto"/>
        <w:ind w:firstLine="420"/>
        <w:jc w:val="left"/>
      </w:pPr>
      <w:r w:rsidRPr="002D17B7">
        <w:rPr>
          <w:rStyle w:val="None"/>
          <w:sz w:val="24"/>
          <w:szCs w:val="24"/>
        </w:rPr>
        <w:t xml:space="preserve">To calibrate the midge phylogeny, we removed zero-length branches (from population-level sampling of midges) and then used the UCLN clock model with a COI substitution rate of 0.01% per million years as in other </w:t>
      </w:r>
      <w:proofErr w:type="spellStart"/>
      <w:r w:rsidRPr="002D17B7">
        <w:rPr>
          <w:rStyle w:val="None"/>
          <w:sz w:val="24"/>
          <w:szCs w:val="24"/>
        </w:rPr>
        <w:t>Cecidomyiidae</w:t>
      </w:r>
      <w:proofErr w:type="spellEnd"/>
      <w:r w:rsidRPr="002D17B7">
        <w:rPr>
          <w:rStyle w:val="None"/>
          <w:sz w:val="24"/>
          <w:szCs w:val="24"/>
        </w:rPr>
        <w:t xml:space="preserve"> dating studies (</w:t>
      </w:r>
      <w:proofErr w:type="spellStart"/>
      <w:r w:rsidRPr="002D17B7">
        <w:rPr>
          <w:rStyle w:val="None"/>
          <w:sz w:val="24"/>
          <w:szCs w:val="24"/>
        </w:rPr>
        <w:t>Stireman</w:t>
      </w:r>
      <w:proofErr w:type="spellEnd"/>
      <w:r w:rsidRPr="002D17B7">
        <w:rPr>
          <w:rStyle w:val="None"/>
          <w:sz w:val="24"/>
          <w:szCs w:val="24"/>
        </w:rPr>
        <w:t xml:space="preserve"> et al., 2010). The rate was assigned a normal distribution, with mean 0.01 and SD of 1.0. Using these settings,</w:t>
      </w:r>
      <w:r>
        <w:rPr>
          <w:rStyle w:val="None"/>
          <w:sz w:val="24"/>
          <w:szCs w:val="24"/>
        </w:rPr>
        <w:t xml:space="preserve"> we obtained an age of 3.94 </w:t>
      </w:r>
      <w:proofErr w:type="gramStart"/>
      <w:r>
        <w:rPr>
          <w:rStyle w:val="None"/>
          <w:sz w:val="24"/>
          <w:szCs w:val="24"/>
        </w:rPr>
        <w:t>m</w:t>
      </w:r>
      <w:r w:rsidRPr="002D17B7">
        <w:rPr>
          <w:rStyle w:val="None"/>
          <w:sz w:val="24"/>
          <w:szCs w:val="24"/>
        </w:rPr>
        <w:t>y</w:t>
      </w:r>
      <w:proofErr w:type="gramEnd"/>
      <w:r w:rsidRPr="002D17B7">
        <w:rPr>
          <w:rStyle w:val="None"/>
          <w:b/>
          <w:bCs/>
          <w:sz w:val="24"/>
          <w:szCs w:val="24"/>
        </w:rPr>
        <w:t xml:space="preserve"> </w:t>
      </w:r>
      <w:r w:rsidRPr="002D17B7">
        <w:rPr>
          <w:rStyle w:val="None"/>
          <w:sz w:val="24"/>
          <w:szCs w:val="24"/>
        </w:rPr>
        <w:t xml:space="preserve">for the </w:t>
      </w:r>
      <w:proofErr w:type="spellStart"/>
      <w:r w:rsidRPr="002D17B7">
        <w:rPr>
          <w:rStyle w:val="None"/>
          <w:i/>
          <w:iCs/>
          <w:sz w:val="24"/>
          <w:szCs w:val="24"/>
        </w:rPr>
        <w:t>Asteromyia</w:t>
      </w:r>
      <w:proofErr w:type="spellEnd"/>
      <w:r w:rsidRPr="002D17B7">
        <w:rPr>
          <w:rStyle w:val="None"/>
          <w:i/>
          <w:iCs/>
          <w:sz w:val="24"/>
          <w:szCs w:val="24"/>
        </w:rPr>
        <w:t xml:space="preserve"> </w:t>
      </w:r>
      <w:proofErr w:type="spellStart"/>
      <w:r w:rsidRPr="002D17B7">
        <w:rPr>
          <w:rStyle w:val="None"/>
          <w:i/>
          <w:iCs/>
          <w:sz w:val="24"/>
          <w:szCs w:val="24"/>
        </w:rPr>
        <w:t>laeviana</w:t>
      </w:r>
      <w:proofErr w:type="spellEnd"/>
      <w:r w:rsidRPr="002D17B7">
        <w:rPr>
          <w:rStyle w:val="None"/>
          <w:sz w:val="24"/>
          <w:szCs w:val="24"/>
        </w:rPr>
        <w:t xml:space="preserve"> divergence, while </w:t>
      </w:r>
      <w:proofErr w:type="spellStart"/>
      <w:r w:rsidRPr="002D17B7">
        <w:rPr>
          <w:rStyle w:val="None"/>
          <w:sz w:val="24"/>
          <w:szCs w:val="24"/>
        </w:rPr>
        <w:t>Stireman</w:t>
      </w:r>
      <w:proofErr w:type="spellEnd"/>
      <w:r w:rsidRPr="002D17B7">
        <w:rPr>
          <w:rStyle w:val="None"/>
          <w:sz w:val="24"/>
          <w:szCs w:val="24"/>
        </w:rPr>
        <w:t xml:space="preserve"> et al. </w:t>
      </w:r>
      <w:r>
        <w:rPr>
          <w:rStyle w:val="None"/>
          <w:sz w:val="24"/>
          <w:szCs w:val="24"/>
        </w:rPr>
        <w:t>(2010) obtained an age of 3.76 m</w:t>
      </w:r>
      <w:r w:rsidRPr="002D17B7">
        <w:rPr>
          <w:rStyle w:val="None"/>
          <w:sz w:val="24"/>
          <w:szCs w:val="24"/>
        </w:rPr>
        <w:t>y for the same node. Also, the standard deviations of the rate estimates (</w:t>
      </w:r>
      <w:proofErr w:type="spellStart"/>
      <w:proofErr w:type="gramStart"/>
      <w:r w:rsidRPr="002D17B7">
        <w:rPr>
          <w:rStyle w:val="None"/>
          <w:sz w:val="24"/>
          <w:szCs w:val="24"/>
        </w:rPr>
        <w:t>ucld.stdev</w:t>
      </w:r>
      <w:proofErr w:type="spellEnd"/>
      <w:proofErr w:type="gramEnd"/>
      <w:r w:rsidRPr="002D17B7">
        <w:rPr>
          <w:rStyle w:val="None"/>
          <w:sz w:val="24"/>
          <w:szCs w:val="24"/>
        </w:rPr>
        <w:t>) were relatively low (e.g., 0.5), suggesting that substitution accumulation in this data set is relatively clock like.</w:t>
      </w:r>
    </w:p>
    <w:p w14:paraId="1AEA0C4F" w14:textId="77777777" w:rsidR="00F70CF7" w:rsidRPr="002D17B7" w:rsidRDefault="00F70CF7" w:rsidP="00F51C47">
      <w:pPr>
        <w:pStyle w:val="1"/>
        <w:spacing w:line="360" w:lineRule="auto"/>
        <w:jc w:val="left"/>
        <w:rPr>
          <w:rStyle w:val="None"/>
          <w:sz w:val="24"/>
          <w:szCs w:val="24"/>
        </w:rPr>
      </w:pPr>
    </w:p>
    <w:p w14:paraId="7BD6EED6" w14:textId="77777777" w:rsidR="00740D37" w:rsidRDefault="00740D37" w:rsidP="00740D37">
      <w:pPr>
        <w:pStyle w:val="1"/>
        <w:spacing w:line="360" w:lineRule="auto"/>
        <w:ind w:left="720" w:hanging="720"/>
        <w:jc w:val="left"/>
        <w:rPr>
          <w:rStyle w:val="None"/>
          <w:sz w:val="24"/>
          <w:szCs w:val="24"/>
        </w:rPr>
      </w:pPr>
      <w:r w:rsidRPr="002D17B7">
        <w:rPr>
          <w:rStyle w:val="None"/>
          <w:sz w:val="24"/>
          <w:szCs w:val="24"/>
        </w:rPr>
        <w:t xml:space="preserve">Drummond, A. J., </w:t>
      </w:r>
      <w:proofErr w:type="spellStart"/>
      <w:r w:rsidRPr="002D17B7">
        <w:rPr>
          <w:rStyle w:val="None"/>
          <w:sz w:val="24"/>
          <w:szCs w:val="24"/>
        </w:rPr>
        <w:t>Suchard</w:t>
      </w:r>
      <w:proofErr w:type="spellEnd"/>
      <w:r w:rsidRPr="002D17B7">
        <w:rPr>
          <w:rStyle w:val="None"/>
          <w:sz w:val="24"/>
          <w:szCs w:val="24"/>
        </w:rPr>
        <w:t xml:space="preserve">, M. A., </w:t>
      </w:r>
      <w:proofErr w:type="spellStart"/>
      <w:r w:rsidRPr="002D17B7">
        <w:rPr>
          <w:rStyle w:val="None"/>
          <w:sz w:val="24"/>
          <w:szCs w:val="24"/>
        </w:rPr>
        <w:t>Xie</w:t>
      </w:r>
      <w:proofErr w:type="spellEnd"/>
      <w:r w:rsidRPr="002D17B7">
        <w:rPr>
          <w:rStyle w:val="None"/>
          <w:sz w:val="24"/>
          <w:szCs w:val="24"/>
        </w:rPr>
        <w:t xml:space="preserve">, D., and </w:t>
      </w:r>
      <w:proofErr w:type="spellStart"/>
      <w:r w:rsidRPr="002D17B7">
        <w:rPr>
          <w:rStyle w:val="None"/>
          <w:sz w:val="24"/>
          <w:szCs w:val="24"/>
        </w:rPr>
        <w:t>Rambaut</w:t>
      </w:r>
      <w:proofErr w:type="spellEnd"/>
      <w:r w:rsidRPr="002D17B7">
        <w:rPr>
          <w:rStyle w:val="None"/>
          <w:sz w:val="24"/>
          <w:szCs w:val="24"/>
        </w:rPr>
        <w:t xml:space="preserve">, A. 2012. Bayesian </w:t>
      </w:r>
      <w:proofErr w:type="spellStart"/>
      <w:r w:rsidRPr="002D17B7">
        <w:rPr>
          <w:rStyle w:val="None"/>
          <w:sz w:val="24"/>
          <w:szCs w:val="24"/>
        </w:rPr>
        <w:t>phylogenetics</w:t>
      </w:r>
      <w:proofErr w:type="spellEnd"/>
      <w:r w:rsidRPr="002D17B7">
        <w:rPr>
          <w:rStyle w:val="None"/>
          <w:sz w:val="24"/>
          <w:szCs w:val="24"/>
        </w:rPr>
        <w:t xml:space="preserve"> with </w:t>
      </w:r>
      <w:proofErr w:type="spellStart"/>
      <w:r w:rsidRPr="002D17B7">
        <w:rPr>
          <w:rStyle w:val="None"/>
          <w:sz w:val="24"/>
          <w:szCs w:val="24"/>
        </w:rPr>
        <w:t>BEAUti</w:t>
      </w:r>
      <w:proofErr w:type="spellEnd"/>
      <w:r w:rsidRPr="002D17B7">
        <w:rPr>
          <w:rStyle w:val="None"/>
          <w:sz w:val="24"/>
          <w:szCs w:val="24"/>
        </w:rPr>
        <w:t xml:space="preserve"> and the BEAST 1.7 </w:t>
      </w:r>
      <w:r w:rsidRPr="002D17B7">
        <w:rPr>
          <w:rStyle w:val="Hyperlink1"/>
        </w:rPr>
        <w:t xml:space="preserve">Mol. Bio. </w:t>
      </w:r>
      <w:proofErr w:type="spellStart"/>
      <w:r w:rsidRPr="002D17B7">
        <w:rPr>
          <w:rStyle w:val="Hyperlink1"/>
        </w:rPr>
        <w:t>Evol</w:t>
      </w:r>
      <w:proofErr w:type="spellEnd"/>
      <w:r w:rsidRPr="002D17B7">
        <w:rPr>
          <w:rStyle w:val="Hyperlink1"/>
        </w:rPr>
        <w:t>.</w:t>
      </w:r>
      <w:r w:rsidRPr="002D17B7">
        <w:rPr>
          <w:rStyle w:val="None"/>
          <w:sz w:val="24"/>
          <w:szCs w:val="24"/>
        </w:rPr>
        <w:t xml:space="preserve"> 29: 1969–1973. </w:t>
      </w:r>
    </w:p>
    <w:p w14:paraId="53652A2F" w14:textId="706F7B8D" w:rsidR="00740D37" w:rsidRDefault="00740D37" w:rsidP="00740D37">
      <w:pPr>
        <w:pStyle w:val="1"/>
        <w:spacing w:line="360" w:lineRule="auto"/>
        <w:ind w:left="720" w:hanging="720"/>
        <w:jc w:val="left"/>
        <w:rPr>
          <w:rStyle w:val="None"/>
          <w:color w:val="231F20"/>
          <w:sz w:val="24"/>
          <w:szCs w:val="24"/>
          <w:u w:color="231F20"/>
        </w:rPr>
      </w:pPr>
      <w:r>
        <w:rPr>
          <w:rStyle w:val="None"/>
          <w:color w:val="231F20"/>
          <w:sz w:val="24"/>
          <w:szCs w:val="24"/>
          <w:u w:color="231F20"/>
        </w:rPr>
        <w:t xml:space="preserve">Joy, J. B. 2013. </w:t>
      </w:r>
      <w:r w:rsidRPr="002D17B7">
        <w:rPr>
          <w:rStyle w:val="None"/>
          <w:color w:val="231F20"/>
          <w:sz w:val="24"/>
          <w:szCs w:val="24"/>
          <w:u w:color="231F20"/>
        </w:rPr>
        <w:t>Symbiosis</w:t>
      </w:r>
      <w:r w:rsidRPr="002D17B7">
        <w:rPr>
          <w:rStyle w:val="None"/>
          <w:sz w:val="24"/>
          <w:szCs w:val="24"/>
        </w:rPr>
        <w:t xml:space="preserve"> </w:t>
      </w:r>
      <w:proofErr w:type="spellStart"/>
      <w:r w:rsidRPr="002D17B7">
        <w:rPr>
          <w:rStyle w:val="None"/>
          <w:color w:val="231F20"/>
          <w:sz w:val="24"/>
          <w:szCs w:val="24"/>
          <w:u w:color="231F20"/>
        </w:rPr>
        <w:t>catalyses</w:t>
      </w:r>
      <w:proofErr w:type="spellEnd"/>
      <w:r w:rsidRPr="002D17B7">
        <w:rPr>
          <w:rStyle w:val="None"/>
          <w:color w:val="231F20"/>
          <w:sz w:val="24"/>
          <w:szCs w:val="24"/>
          <w:u w:color="231F20"/>
        </w:rPr>
        <w:t xml:space="preserve"> niche expansion and diversification.</w:t>
      </w:r>
      <w:r w:rsidRPr="002D17B7">
        <w:rPr>
          <w:rStyle w:val="None"/>
          <w:sz w:val="24"/>
          <w:szCs w:val="24"/>
        </w:rPr>
        <w:t xml:space="preserve"> </w:t>
      </w:r>
      <w:r w:rsidRPr="002D17B7">
        <w:rPr>
          <w:rStyle w:val="None"/>
          <w:i/>
          <w:iCs/>
          <w:color w:val="231F20"/>
          <w:sz w:val="24"/>
          <w:szCs w:val="24"/>
          <w:u w:color="231F20"/>
        </w:rPr>
        <w:t xml:space="preserve">Proc Roy. Soc. B </w:t>
      </w:r>
      <w:r w:rsidRPr="002D17B7">
        <w:rPr>
          <w:rStyle w:val="None"/>
          <w:color w:val="231F20"/>
          <w:sz w:val="24"/>
          <w:szCs w:val="24"/>
          <w:u w:color="231F20"/>
        </w:rPr>
        <w:t>280: 20122820.</w:t>
      </w:r>
      <w:r w:rsidRPr="002D17B7">
        <w:rPr>
          <w:rStyle w:val="None"/>
          <w:sz w:val="24"/>
          <w:szCs w:val="24"/>
        </w:rPr>
        <w:t xml:space="preserve"> </w:t>
      </w:r>
      <w:hyperlink r:id="rId10" w:history="1">
        <w:r w:rsidRPr="002D17B7">
          <w:rPr>
            <w:rStyle w:val="Hyperlink0"/>
          </w:rPr>
          <w:t>http://dx.doi.org/10.1098/rspb.2012.2820</w:t>
        </w:r>
      </w:hyperlink>
      <w:r w:rsidRPr="002D17B7">
        <w:rPr>
          <w:rStyle w:val="None"/>
          <w:color w:val="231F20"/>
          <w:sz w:val="24"/>
          <w:szCs w:val="24"/>
          <w:u w:color="231F20"/>
        </w:rPr>
        <w:t>.</w:t>
      </w:r>
    </w:p>
    <w:p w14:paraId="3D9D2DCB" w14:textId="77777777" w:rsidR="00B54617" w:rsidRPr="002D17B7" w:rsidRDefault="00B54617" w:rsidP="00B54617">
      <w:pPr>
        <w:pStyle w:val="1"/>
        <w:spacing w:line="360" w:lineRule="auto"/>
        <w:ind w:left="720" w:hanging="720"/>
        <w:jc w:val="left"/>
        <w:rPr>
          <w:rStyle w:val="None"/>
          <w:color w:val="1A1A1A"/>
          <w:sz w:val="24"/>
          <w:szCs w:val="24"/>
          <w:u w:color="1A1A1A"/>
        </w:rPr>
      </w:pPr>
      <w:proofErr w:type="spellStart"/>
      <w:r w:rsidRPr="002D17B7">
        <w:rPr>
          <w:rStyle w:val="None"/>
          <w:color w:val="1A1A1A"/>
          <w:sz w:val="24"/>
          <w:szCs w:val="24"/>
          <w:u w:color="1A1A1A"/>
        </w:rPr>
        <w:t>Katoh</w:t>
      </w:r>
      <w:proofErr w:type="spellEnd"/>
      <w:r w:rsidRPr="002D17B7">
        <w:rPr>
          <w:rStyle w:val="None"/>
          <w:color w:val="1A1A1A"/>
          <w:sz w:val="24"/>
          <w:szCs w:val="24"/>
          <w:u w:color="1A1A1A"/>
        </w:rPr>
        <w:t xml:space="preserve">, K., and </w:t>
      </w:r>
      <w:proofErr w:type="spellStart"/>
      <w:r w:rsidRPr="002D17B7">
        <w:rPr>
          <w:rStyle w:val="None"/>
          <w:color w:val="1A1A1A"/>
          <w:sz w:val="24"/>
          <w:szCs w:val="24"/>
          <w:u w:color="1A1A1A"/>
        </w:rPr>
        <w:t>Standley</w:t>
      </w:r>
      <w:proofErr w:type="spellEnd"/>
      <w:r w:rsidRPr="002D17B7">
        <w:rPr>
          <w:rStyle w:val="None"/>
          <w:color w:val="1A1A1A"/>
          <w:sz w:val="24"/>
          <w:szCs w:val="24"/>
          <w:u w:color="1A1A1A"/>
        </w:rPr>
        <w:t xml:space="preserve">, D. M. 2013. MAFFT multiple sequence alignment software version 7: improvements in performance and usability. </w:t>
      </w:r>
      <w:r w:rsidRPr="002D17B7">
        <w:rPr>
          <w:rStyle w:val="None"/>
          <w:i/>
          <w:iCs/>
          <w:color w:val="1A1A1A"/>
          <w:sz w:val="24"/>
          <w:szCs w:val="24"/>
          <w:u w:color="1A1A1A"/>
        </w:rPr>
        <w:t xml:space="preserve">Mol. Biol. </w:t>
      </w:r>
      <w:proofErr w:type="spellStart"/>
      <w:r w:rsidRPr="002D17B7">
        <w:rPr>
          <w:rStyle w:val="None"/>
          <w:i/>
          <w:iCs/>
          <w:color w:val="1A1A1A"/>
          <w:sz w:val="24"/>
          <w:szCs w:val="24"/>
          <w:u w:color="1A1A1A"/>
        </w:rPr>
        <w:t>Evol</w:t>
      </w:r>
      <w:proofErr w:type="spellEnd"/>
      <w:r w:rsidRPr="002D17B7">
        <w:rPr>
          <w:rStyle w:val="None"/>
          <w:i/>
          <w:iCs/>
          <w:color w:val="1A1A1A"/>
          <w:sz w:val="24"/>
          <w:szCs w:val="24"/>
          <w:u w:color="1A1A1A"/>
        </w:rPr>
        <w:t xml:space="preserve">. </w:t>
      </w:r>
      <w:r w:rsidRPr="002D17B7">
        <w:rPr>
          <w:rStyle w:val="None"/>
          <w:color w:val="1A1A1A"/>
          <w:sz w:val="24"/>
          <w:szCs w:val="24"/>
          <w:u w:color="1A1A1A"/>
        </w:rPr>
        <w:t>30: 772780.</w:t>
      </w:r>
    </w:p>
    <w:p w14:paraId="1A6A15B5" w14:textId="77777777" w:rsidR="00B54617" w:rsidRPr="002D17B7" w:rsidRDefault="00B54617" w:rsidP="00B54617">
      <w:pPr>
        <w:pStyle w:val="1"/>
        <w:spacing w:line="360" w:lineRule="auto"/>
        <w:ind w:left="720" w:hanging="720"/>
        <w:jc w:val="left"/>
        <w:rPr>
          <w:rStyle w:val="None"/>
          <w:sz w:val="24"/>
          <w:szCs w:val="24"/>
        </w:rPr>
      </w:pPr>
      <w:proofErr w:type="spellStart"/>
      <w:r w:rsidRPr="002D17B7">
        <w:rPr>
          <w:rStyle w:val="None"/>
          <w:sz w:val="24"/>
          <w:szCs w:val="24"/>
        </w:rPr>
        <w:t>Kawakita</w:t>
      </w:r>
      <w:proofErr w:type="spellEnd"/>
      <w:r w:rsidRPr="002D17B7">
        <w:rPr>
          <w:rStyle w:val="None"/>
          <w:sz w:val="24"/>
          <w:szCs w:val="24"/>
        </w:rPr>
        <w:t>, A, and Kato M, 2006. Assessment of the diversity and species specificity of the</w:t>
      </w:r>
      <w:r w:rsidRPr="002D17B7">
        <w:rPr>
          <w:rStyle w:val="None"/>
          <w:color w:val="1A1A1A"/>
          <w:sz w:val="24"/>
          <w:szCs w:val="24"/>
          <w:u w:color="1A1A1A"/>
        </w:rPr>
        <w:t xml:space="preserve"> </w:t>
      </w:r>
      <w:r w:rsidRPr="002D17B7">
        <w:rPr>
          <w:rStyle w:val="None"/>
          <w:sz w:val="24"/>
          <w:szCs w:val="24"/>
        </w:rPr>
        <w:t>mutualistic association between</w:t>
      </w:r>
      <w:r w:rsidRPr="002D17B7">
        <w:rPr>
          <w:rStyle w:val="None"/>
          <w:color w:val="1A1A1A"/>
          <w:sz w:val="24"/>
          <w:szCs w:val="24"/>
          <w:u w:color="1A1A1A"/>
        </w:rPr>
        <w:t xml:space="preserve"> </w:t>
      </w:r>
      <w:proofErr w:type="spellStart"/>
      <w:r w:rsidRPr="002D17B7">
        <w:rPr>
          <w:rStyle w:val="Hyperlink1"/>
        </w:rPr>
        <w:t>Epicephala</w:t>
      </w:r>
      <w:proofErr w:type="spellEnd"/>
      <w:r w:rsidRPr="002D17B7">
        <w:rPr>
          <w:rStyle w:val="None"/>
          <w:color w:val="1A1A1A"/>
          <w:sz w:val="24"/>
          <w:szCs w:val="24"/>
          <w:u w:color="1A1A1A"/>
        </w:rPr>
        <w:t xml:space="preserve"> </w:t>
      </w:r>
      <w:r w:rsidRPr="002D17B7">
        <w:rPr>
          <w:rStyle w:val="None"/>
          <w:sz w:val="24"/>
          <w:szCs w:val="24"/>
        </w:rPr>
        <w:t>moths and</w:t>
      </w:r>
      <w:r w:rsidRPr="002D17B7">
        <w:rPr>
          <w:rStyle w:val="None"/>
          <w:color w:val="1A1A1A"/>
          <w:sz w:val="24"/>
          <w:szCs w:val="24"/>
          <w:u w:color="1A1A1A"/>
        </w:rPr>
        <w:t xml:space="preserve"> </w:t>
      </w:r>
      <w:proofErr w:type="spellStart"/>
      <w:r w:rsidRPr="002D17B7">
        <w:rPr>
          <w:rStyle w:val="Hyperlink1"/>
        </w:rPr>
        <w:t>Glochidion</w:t>
      </w:r>
      <w:proofErr w:type="spellEnd"/>
      <w:r w:rsidRPr="002D17B7">
        <w:rPr>
          <w:rStyle w:val="None"/>
          <w:color w:val="1A1A1A"/>
          <w:sz w:val="24"/>
          <w:szCs w:val="24"/>
          <w:u w:color="1A1A1A"/>
        </w:rPr>
        <w:t xml:space="preserve"> </w:t>
      </w:r>
      <w:r w:rsidRPr="002D17B7">
        <w:rPr>
          <w:rStyle w:val="None"/>
          <w:sz w:val="24"/>
          <w:szCs w:val="24"/>
        </w:rPr>
        <w:t xml:space="preserve">trees </w:t>
      </w:r>
      <w:r w:rsidRPr="002D17B7">
        <w:rPr>
          <w:rStyle w:val="Hyperlink1"/>
        </w:rPr>
        <w:t>Mol. Ecol.</w:t>
      </w:r>
      <w:r w:rsidRPr="002D17B7">
        <w:rPr>
          <w:rStyle w:val="None"/>
          <w:sz w:val="24"/>
          <w:szCs w:val="24"/>
        </w:rPr>
        <w:t xml:space="preserve"> 15: 3567–3581.</w:t>
      </w:r>
    </w:p>
    <w:p w14:paraId="3217C68C" w14:textId="77777777" w:rsidR="00B54617" w:rsidRPr="002D17B7" w:rsidRDefault="00B54617" w:rsidP="00B54617">
      <w:pPr>
        <w:pStyle w:val="1"/>
        <w:spacing w:line="360" w:lineRule="auto"/>
        <w:ind w:left="720" w:hanging="720"/>
        <w:jc w:val="left"/>
        <w:rPr>
          <w:rStyle w:val="None"/>
          <w:sz w:val="24"/>
          <w:szCs w:val="24"/>
        </w:rPr>
      </w:pPr>
      <w:r w:rsidRPr="002D17B7">
        <w:rPr>
          <w:rStyle w:val="None"/>
          <w:color w:val="292526"/>
          <w:sz w:val="24"/>
          <w:szCs w:val="24"/>
          <w:u w:color="292526"/>
        </w:rPr>
        <w:t>Manchester SR. 1994. Fruits and seeds of the Middle Eocene Nut</w:t>
      </w:r>
      <w:r w:rsidRPr="002D17B7">
        <w:rPr>
          <w:rStyle w:val="None"/>
          <w:sz w:val="24"/>
          <w:szCs w:val="24"/>
        </w:rPr>
        <w:t xml:space="preserve"> </w:t>
      </w:r>
      <w:r w:rsidRPr="002D17B7">
        <w:rPr>
          <w:rStyle w:val="None"/>
          <w:color w:val="292526"/>
          <w:sz w:val="24"/>
          <w:szCs w:val="24"/>
          <w:u w:color="292526"/>
        </w:rPr>
        <w:t xml:space="preserve">Beds flora, </w:t>
      </w:r>
      <w:proofErr w:type="spellStart"/>
      <w:r w:rsidRPr="002D17B7">
        <w:rPr>
          <w:rStyle w:val="None"/>
          <w:color w:val="292526"/>
          <w:sz w:val="24"/>
          <w:szCs w:val="24"/>
          <w:u w:color="292526"/>
        </w:rPr>
        <w:t>Clarno</w:t>
      </w:r>
      <w:proofErr w:type="spellEnd"/>
      <w:r w:rsidRPr="002D17B7">
        <w:rPr>
          <w:rStyle w:val="None"/>
          <w:color w:val="292526"/>
          <w:sz w:val="24"/>
          <w:szCs w:val="24"/>
          <w:u w:color="292526"/>
        </w:rPr>
        <w:t xml:space="preserve"> Formation, Oregon. </w:t>
      </w:r>
      <w:proofErr w:type="spellStart"/>
      <w:r w:rsidRPr="002D17B7">
        <w:rPr>
          <w:rStyle w:val="None"/>
          <w:i/>
          <w:iCs/>
          <w:color w:val="292526"/>
          <w:sz w:val="24"/>
          <w:szCs w:val="24"/>
          <w:u w:color="292526"/>
        </w:rPr>
        <w:t>Palaeontograph</w:t>
      </w:r>
      <w:proofErr w:type="spellEnd"/>
      <w:r w:rsidRPr="002D17B7">
        <w:rPr>
          <w:rStyle w:val="None"/>
          <w:i/>
          <w:iCs/>
          <w:color w:val="292526"/>
          <w:sz w:val="24"/>
          <w:szCs w:val="24"/>
          <w:u w:color="292526"/>
        </w:rPr>
        <w:t>. Am</w:t>
      </w:r>
      <w:r w:rsidRPr="002D17B7">
        <w:rPr>
          <w:rStyle w:val="None"/>
          <w:color w:val="292526"/>
          <w:sz w:val="24"/>
          <w:szCs w:val="24"/>
          <w:u w:color="292526"/>
        </w:rPr>
        <w:t>. 58: 1–205.</w:t>
      </w:r>
    </w:p>
    <w:p w14:paraId="5528A972" w14:textId="77777777" w:rsidR="00B54617" w:rsidRPr="002D17B7" w:rsidRDefault="00B54617" w:rsidP="00B54617">
      <w:pPr>
        <w:pStyle w:val="1"/>
        <w:spacing w:line="360" w:lineRule="auto"/>
        <w:ind w:left="720" w:hanging="720"/>
        <w:jc w:val="left"/>
        <w:rPr>
          <w:rStyle w:val="None"/>
          <w:sz w:val="24"/>
          <w:szCs w:val="24"/>
        </w:rPr>
      </w:pPr>
      <w:r w:rsidRPr="002D17B7">
        <w:rPr>
          <w:rStyle w:val="None"/>
          <w:sz w:val="24"/>
          <w:szCs w:val="24"/>
        </w:rPr>
        <w:t xml:space="preserve">Morris, A. B., Bell, C. D., Clayton, J. W., Judd, W., </w:t>
      </w:r>
      <w:proofErr w:type="spellStart"/>
      <w:r w:rsidRPr="002D17B7">
        <w:rPr>
          <w:rStyle w:val="None"/>
          <w:sz w:val="24"/>
          <w:szCs w:val="24"/>
        </w:rPr>
        <w:t>Soltis</w:t>
      </w:r>
      <w:proofErr w:type="spellEnd"/>
      <w:r w:rsidRPr="002D17B7">
        <w:rPr>
          <w:rStyle w:val="None"/>
          <w:sz w:val="24"/>
          <w:szCs w:val="24"/>
        </w:rPr>
        <w:t xml:space="preserve">, D. E. and </w:t>
      </w:r>
      <w:proofErr w:type="spellStart"/>
      <w:r w:rsidRPr="002D17B7">
        <w:rPr>
          <w:rStyle w:val="None"/>
          <w:sz w:val="24"/>
          <w:szCs w:val="24"/>
        </w:rPr>
        <w:t>Soltis</w:t>
      </w:r>
      <w:proofErr w:type="spellEnd"/>
      <w:r w:rsidRPr="002D17B7">
        <w:rPr>
          <w:rStyle w:val="None"/>
          <w:sz w:val="24"/>
          <w:szCs w:val="24"/>
        </w:rPr>
        <w:t xml:space="preserve">, P. S. 2007. Phylogeny and divergence time estimation in </w:t>
      </w:r>
      <w:proofErr w:type="spellStart"/>
      <w:r w:rsidRPr="002D17B7">
        <w:rPr>
          <w:rStyle w:val="Hyperlink1"/>
        </w:rPr>
        <w:t>Illicium</w:t>
      </w:r>
      <w:proofErr w:type="spellEnd"/>
      <w:r w:rsidRPr="002D17B7">
        <w:rPr>
          <w:rStyle w:val="None"/>
          <w:sz w:val="24"/>
          <w:szCs w:val="24"/>
        </w:rPr>
        <w:t xml:space="preserve"> with implications for New World biogeography. </w:t>
      </w:r>
      <w:r w:rsidRPr="002D17B7">
        <w:rPr>
          <w:rStyle w:val="Hyperlink1"/>
        </w:rPr>
        <w:t>Syst. Bot.</w:t>
      </w:r>
      <w:r w:rsidRPr="002D17B7">
        <w:rPr>
          <w:rStyle w:val="None"/>
          <w:sz w:val="24"/>
          <w:szCs w:val="24"/>
        </w:rPr>
        <w:t xml:space="preserve"> 32: 236–249.</w:t>
      </w:r>
    </w:p>
    <w:p w14:paraId="13F96A49" w14:textId="77777777" w:rsidR="00B54617" w:rsidRPr="002D17B7" w:rsidRDefault="00B54617" w:rsidP="00B54617">
      <w:pPr>
        <w:pStyle w:val="1"/>
        <w:spacing w:line="360" w:lineRule="auto"/>
        <w:ind w:left="720" w:hanging="720"/>
        <w:jc w:val="left"/>
        <w:rPr>
          <w:rStyle w:val="None"/>
          <w:sz w:val="24"/>
          <w:szCs w:val="24"/>
        </w:rPr>
      </w:pPr>
      <w:r w:rsidRPr="002D17B7">
        <w:rPr>
          <w:rStyle w:val="None"/>
          <w:sz w:val="24"/>
          <w:szCs w:val="24"/>
        </w:rPr>
        <w:t xml:space="preserve">Oh, I-C., </w:t>
      </w:r>
      <w:proofErr w:type="spellStart"/>
      <w:r w:rsidRPr="002D17B7">
        <w:rPr>
          <w:rStyle w:val="None"/>
          <w:sz w:val="24"/>
          <w:szCs w:val="24"/>
        </w:rPr>
        <w:t>Denk</w:t>
      </w:r>
      <w:proofErr w:type="spellEnd"/>
      <w:r w:rsidRPr="002D17B7">
        <w:rPr>
          <w:rStyle w:val="None"/>
          <w:sz w:val="24"/>
          <w:szCs w:val="24"/>
        </w:rPr>
        <w:t xml:space="preserve">, T., and </w:t>
      </w:r>
      <w:proofErr w:type="spellStart"/>
      <w:r w:rsidRPr="002D17B7">
        <w:rPr>
          <w:rStyle w:val="None"/>
          <w:sz w:val="24"/>
          <w:szCs w:val="24"/>
        </w:rPr>
        <w:t>Friis</w:t>
      </w:r>
      <w:proofErr w:type="spellEnd"/>
      <w:r w:rsidRPr="002D17B7">
        <w:rPr>
          <w:rStyle w:val="None"/>
          <w:sz w:val="24"/>
          <w:szCs w:val="24"/>
        </w:rPr>
        <w:t xml:space="preserve">, E. M. 2003. Evolution of </w:t>
      </w:r>
      <w:proofErr w:type="spellStart"/>
      <w:r w:rsidRPr="002D17B7">
        <w:rPr>
          <w:rStyle w:val="Hyperlink1"/>
        </w:rPr>
        <w:t>Illicium</w:t>
      </w:r>
      <w:proofErr w:type="spellEnd"/>
      <w:r w:rsidRPr="002D17B7">
        <w:rPr>
          <w:rStyle w:val="None"/>
          <w:sz w:val="24"/>
          <w:szCs w:val="24"/>
        </w:rPr>
        <w:t xml:space="preserve"> (</w:t>
      </w:r>
      <w:proofErr w:type="spellStart"/>
      <w:r w:rsidRPr="002D17B7">
        <w:rPr>
          <w:rStyle w:val="None"/>
          <w:sz w:val="24"/>
          <w:szCs w:val="24"/>
        </w:rPr>
        <w:t>Illiciaceae</w:t>
      </w:r>
      <w:proofErr w:type="spellEnd"/>
      <w:r w:rsidRPr="002D17B7">
        <w:rPr>
          <w:rStyle w:val="None"/>
          <w:sz w:val="24"/>
          <w:szCs w:val="24"/>
        </w:rPr>
        <w:t xml:space="preserve">): Mapping morphological characters on the molecular tree. </w:t>
      </w:r>
      <w:r w:rsidRPr="002D17B7">
        <w:rPr>
          <w:rStyle w:val="Hyperlink1"/>
        </w:rPr>
        <w:t xml:space="preserve">Plant Syst. </w:t>
      </w:r>
      <w:proofErr w:type="spellStart"/>
      <w:r w:rsidRPr="002D17B7">
        <w:rPr>
          <w:rStyle w:val="Hyperlink1"/>
        </w:rPr>
        <w:t>Evol</w:t>
      </w:r>
      <w:proofErr w:type="spellEnd"/>
      <w:r w:rsidRPr="002D17B7">
        <w:rPr>
          <w:rStyle w:val="Hyperlink1"/>
        </w:rPr>
        <w:t xml:space="preserve">. </w:t>
      </w:r>
      <w:r w:rsidRPr="002D17B7">
        <w:rPr>
          <w:rStyle w:val="None"/>
          <w:sz w:val="24"/>
          <w:szCs w:val="24"/>
        </w:rPr>
        <w:t>240: 175–209.</w:t>
      </w:r>
    </w:p>
    <w:p w14:paraId="61ADAEB1" w14:textId="77777777" w:rsidR="00B54617" w:rsidRPr="002D17B7" w:rsidRDefault="00B54617" w:rsidP="00B54617">
      <w:pPr>
        <w:pStyle w:val="1"/>
        <w:spacing w:line="360" w:lineRule="auto"/>
        <w:ind w:left="720" w:hanging="720"/>
        <w:jc w:val="left"/>
        <w:rPr>
          <w:rStyle w:val="None"/>
          <w:color w:val="1C1C1C"/>
          <w:kern w:val="0"/>
          <w:sz w:val="24"/>
          <w:szCs w:val="24"/>
          <w:u w:color="1C1C1C"/>
        </w:rPr>
      </w:pPr>
      <w:r w:rsidRPr="002D17B7">
        <w:rPr>
          <w:color w:val="231F20"/>
          <w:sz w:val="24"/>
          <w:szCs w:val="24"/>
        </w:rPr>
        <w:t>Rodriguez-</w:t>
      </w:r>
      <w:proofErr w:type="spellStart"/>
      <w:r w:rsidRPr="002D17B7">
        <w:rPr>
          <w:color w:val="231F20"/>
          <w:sz w:val="24"/>
          <w:szCs w:val="24"/>
        </w:rPr>
        <w:t>Riaño</w:t>
      </w:r>
      <w:proofErr w:type="spellEnd"/>
      <w:r w:rsidRPr="002D17B7">
        <w:rPr>
          <w:color w:val="231F20"/>
          <w:sz w:val="24"/>
          <w:szCs w:val="24"/>
        </w:rPr>
        <w:t xml:space="preserve"> T, Dafni A. 2000. A new procedure to assess pollen viability. </w:t>
      </w:r>
      <w:r w:rsidRPr="002D17B7">
        <w:rPr>
          <w:i/>
          <w:color w:val="231F20"/>
          <w:sz w:val="24"/>
          <w:szCs w:val="24"/>
        </w:rPr>
        <w:t>Sexual Plant Reproduction</w:t>
      </w:r>
      <w:r w:rsidRPr="002D17B7">
        <w:rPr>
          <w:color w:val="231F20"/>
          <w:sz w:val="24"/>
          <w:szCs w:val="24"/>
        </w:rPr>
        <w:t xml:space="preserve"> 12: 241–244.</w:t>
      </w:r>
    </w:p>
    <w:p w14:paraId="40CD5F1F" w14:textId="77777777" w:rsidR="00B54617" w:rsidRPr="002D17B7" w:rsidRDefault="00B54617" w:rsidP="00B54617">
      <w:pPr>
        <w:pStyle w:val="1"/>
        <w:spacing w:line="360" w:lineRule="auto"/>
        <w:ind w:left="720" w:hanging="720"/>
        <w:jc w:val="left"/>
        <w:rPr>
          <w:rStyle w:val="None"/>
          <w:color w:val="1A1A1A"/>
          <w:sz w:val="24"/>
          <w:szCs w:val="24"/>
          <w:u w:color="1A1A1A"/>
        </w:rPr>
      </w:pPr>
      <w:proofErr w:type="spellStart"/>
      <w:r w:rsidRPr="002D17B7">
        <w:rPr>
          <w:rStyle w:val="None"/>
          <w:sz w:val="24"/>
          <w:szCs w:val="24"/>
        </w:rPr>
        <w:t>Stamatakis</w:t>
      </w:r>
      <w:proofErr w:type="spellEnd"/>
      <w:r w:rsidRPr="002D17B7">
        <w:rPr>
          <w:rStyle w:val="None"/>
          <w:sz w:val="24"/>
          <w:szCs w:val="24"/>
        </w:rPr>
        <w:t xml:space="preserve">, A., Hoover, P., and </w:t>
      </w:r>
      <w:proofErr w:type="spellStart"/>
      <w:r w:rsidRPr="002D17B7">
        <w:rPr>
          <w:rStyle w:val="None"/>
          <w:sz w:val="24"/>
          <w:szCs w:val="24"/>
        </w:rPr>
        <w:t>Rougemont</w:t>
      </w:r>
      <w:proofErr w:type="spellEnd"/>
      <w:r w:rsidRPr="002D17B7">
        <w:rPr>
          <w:rStyle w:val="None"/>
          <w:sz w:val="24"/>
          <w:szCs w:val="24"/>
        </w:rPr>
        <w:t xml:space="preserve">, J. 2008. A rapid bootstrap algorithm for the </w:t>
      </w:r>
      <w:proofErr w:type="spellStart"/>
      <w:r w:rsidRPr="002D17B7">
        <w:rPr>
          <w:rStyle w:val="None"/>
          <w:sz w:val="24"/>
          <w:szCs w:val="24"/>
        </w:rPr>
        <w:t>RAxML</w:t>
      </w:r>
      <w:proofErr w:type="spellEnd"/>
      <w:r w:rsidRPr="002D17B7">
        <w:rPr>
          <w:rStyle w:val="None"/>
          <w:sz w:val="24"/>
          <w:szCs w:val="24"/>
        </w:rPr>
        <w:t xml:space="preserve"> web-servers. S</w:t>
      </w:r>
      <w:r w:rsidRPr="002D17B7">
        <w:rPr>
          <w:rStyle w:val="Hyperlink1"/>
        </w:rPr>
        <w:t>yst. Bio</w:t>
      </w:r>
      <w:r w:rsidRPr="002D17B7">
        <w:rPr>
          <w:rStyle w:val="None"/>
          <w:sz w:val="24"/>
          <w:szCs w:val="24"/>
        </w:rPr>
        <w:t>. 75: 758–771.</w:t>
      </w:r>
    </w:p>
    <w:p w14:paraId="3BF05963" w14:textId="77777777" w:rsidR="00B54617" w:rsidRPr="002D17B7" w:rsidRDefault="00B54617" w:rsidP="00B54617">
      <w:pPr>
        <w:pStyle w:val="1"/>
        <w:spacing w:line="360" w:lineRule="auto"/>
        <w:ind w:left="720" w:hanging="720"/>
        <w:jc w:val="left"/>
        <w:rPr>
          <w:rStyle w:val="None"/>
          <w:sz w:val="24"/>
          <w:szCs w:val="24"/>
        </w:rPr>
      </w:pPr>
      <w:proofErr w:type="spellStart"/>
      <w:r w:rsidRPr="002D17B7">
        <w:rPr>
          <w:rStyle w:val="None"/>
          <w:sz w:val="24"/>
          <w:szCs w:val="24"/>
        </w:rPr>
        <w:t>St</w:t>
      </w:r>
      <w:r>
        <w:rPr>
          <w:rStyle w:val="None"/>
          <w:sz w:val="24"/>
          <w:szCs w:val="24"/>
        </w:rPr>
        <w:t>ireman</w:t>
      </w:r>
      <w:proofErr w:type="spellEnd"/>
      <w:r>
        <w:rPr>
          <w:rStyle w:val="None"/>
          <w:sz w:val="24"/>
          <w:szCs w:val="24"/>
        </w:rPr>
        <w:t xml:space="preserve">, J. O., Devlin, H., </w:t>
      </w:r>
      <w:proofErr w:type="spellStart"/>
      <w:r>
        <w:rPr>
          <w:rStyle w:val="None"/>
          <w:sz w:val="24"/>
          <w:szCs w:val="24"/>
        </w:rPr>
        <w:t>Carr</w:t>
      </w:r>
      <w:proofErr w:type="spellEnd"/>
      <w:r w:rsidRPr="002D17B7">
        <w:rPr>
          <w:rStyle w:val="None"/>
          <w:sz w:val="24"/>
          <w:szCs w:val="24"/>
        </w:rPr>
        <w:t>,</w:t>
      </w:r>
      <w:r>
        <w:rPr>
          <w:rStyle w:val="None"/>
          <w:sz w:val="24"/>
          <w:szCs w:val="24"/>
        </w:rPr>
        <w:t xml:space="preserve"> </w:t>
      </w:r>
      <w:r w:rsidRPr="002D17B7">
        <w:rPr>
          <w:rStyle w:val="None"/>
          <w:sz w:val="24"/>
          <w:szCs w:val="24"/>
        </w:rPr>
        <w:t xml:space="preserve">T. G., and Abbot, P. 2010. Evolutionary diversification of the gall midge genus </w:t>
      </w:r>
      <w:proofErr w:type="spellStart"/>
      <w:r w:rsidRPr="002D17B7">
        <w:rPr>
          <w:rStyle w:val="Hyperlink1"/>
        </w:rPr>
        <w:t>Asteromyia</w:t>
      </w:r>
      <w:proofErr w:type="spellEnd"/>
      <w:r w:rsidRPr="002D17B7">
        <w:rPr>
          <w:rStyle w:val="None"/>
          <w:sz w:val="24"/>
          <w:szCs w:val="24"/>
        </w:rPr>
        <w:t xml:space="preserve"> (</w:t>
      </w:r>
      <w:proofErr w:type="spellStart"/>
      <w:r w:rsidRPr="002D17B7">
        <w:rPr>
          <w:rStyle w:val="None"/>
          <w:sz w:val="24"/>
          <w:szCs w:val="24"/>
        </w:rPr>
        <w:t>Cecidomyiidae</w:t>
      </w:r>
      <w:proofErr w:type="spellEnd"/>
      <w:r w:rsidRPr="002D17B7">
        <w:rPr>
          <w:rStyle w:val="None"/>
          <w:sz w:val="24"/>
          <w:szCs w:val="24"/>
        </w:rPr>
        <w:t xml:space="preserve">) in a </w:t>
      </w:r>
      <w:proofErr w:type="spellStart"/>
      <w:r w:rsidRPr="002D17B7">
        <w:rPr>
          <w:rStyle w:val="None"/>
          <w:sz w:val="24"/>
          <w:szCs w:val="24"/>
        </w:rPr>
        <w:t>multitrophic</w:t>
      </w:r>
      <w:proofErr w:type="spellEnd"/>
      <w:r w:rsidRPr="002D17B7">
        <w:rPr>
          <w:rStyle w:val="None"/>
          <w:sz w:val="24"/>
          <w:szCs w:val="24"/>
        </w:rPr>
        <w:t xml:space="preserve"> ecological context. </w:t>
      </w:r>
      <w:bookmarkStart w:id="3" w:name="_GoBack"/>
      <w:bookmarkEnd w:id="3"/>
      <w:r w:rsidRPr="002D17B7">
        <w:rPr>
          <w:rStyle w:val="Hyperlink1"/>
        </w:rPr>
        <w:t xml:space="preserve">Mol. </w:t>
      </w:r>
      <w:proofErr w:type="spellStart"/>
      <w:r w:rsidRPr="002D17B7">
        <w:rPr>
          <w:rStyle w:val="Hyperlink1"/>
        </w:rPr>
        <w:t>Phyl</w:t>
      </w:r>
      <w:proofErr w:type="spellEnd"/>
      <w:r w:rsidRPr="002D17B7">
        <w:rPr>
          <w:rStyle w:val="Hyperlink1"/>
        </w:rPr>
        <w:t xml:space="preserve">. </w:t>
      </w:r>
      <w:proofErr w:type="spellStart"/>
      <w:r w:rsidRPr="002D17B7">
        <w:rPr>
          <w:rStyle w:val="Hyperlink1"/>
        </w:rPr>
        <w:t>Evol</w:t>
      </w:r>
      <w:proofErr w:type="spellEnd"/>
      <w:r w:rsidRPr="002D17B7">
        <w:rPr>
          <w:rStyle w:val="Hyperlink1"/>
        </w:rPr>
        <w:t>.</w:t>
      </w:r>
      <w:r w:rsidRPr="002D17B7">
        <w:rPr>
          <w:rStyle w:val="None"/>
          <w:sz w:val="24"/>
          <w:szCs w:val="24"/>
        </w:rPr>
        <w:t xml:space="preserve"> 54. 194–210.</w:t>
      </w:r>
    </w:p>
    <w:p w14:paraId="2180E52E" w14:textId="77777777" w:rsidR="00B54617" w:rsidRPr="002D17B7" w:rsidRDefault="00B54617" w:rsidP="00B54617">
      <w:pPr>
        <w:pStyle w:val="1"/>
        <w:spacing w:line="360" w:lineRule="auto"/>
        <w:ind w:left="720" w:hanging="720"/>
        <w:jc w:val="left"/>
        <w:rPr>
          <w:rStyle w:val="None"/>
          <w:sz w:val="24"/>
          <w:szCs w:val="24"/>
        </w:rPr>
      </w:pPr>
      <w:r w:rsidRPr="002D17B7">
        <w:rPr>
          <w:rStyle w:val="None"/>
          <w:sz w:val="24"/>
          <w:szCs w:val="24"/>
        </w:rPr>
        <w:t xml:space="preserve">Tiffney, B. H. and E. S. </w:t>
      </w:r>
      <w:proofErr w:type="spellStart"/>
      <w:r w:rsidRPr="002D17B7">
        <w:rPr>
          <w:rStyle w:val="None"/>
          <w:sz w:val="24"/>
          <w:szCs w:val="24"/>
        </w:rPr>
        <w:t>Barghoorn</w:t>
      </w:r>
      <w:proofErr w:type="spellEnd"/>
      <w:r w:rsidRPr="002D17B7">
        <w:rPr>
          <w:rStyle w:val="None"/>
          <w:sz w:val="24"/>
          <w:szCs w:val="24"/>
        </w:rPr>
        <w:t xml:space="preserve">. 1979. Flora of the Brandon Lignite. IV. </w:t>
      </w:r>
      <w:proofErr w:type="spellStart"/>
      <w:r w:rsidRPr="002D17B7">
        <w:rPr>
          <w:rStyle w:val="None"/>
          <w:sz w:val="24"/>
          <w:szCs w:val="24"/>
        </w:rPr>
        <w:t>Illiciaceae</w:t>
      </w:r>
      <w:proofErr w:type="spellEnd"/>
      <w:r w:rsidRPr="002D17B7">
        <w:rPr>
          <w:rStyle w:val="None"/>
          <w:sz w:val="24"/>
          <w:szCs w:val="24"/>
        </w:rPr>
        <w:t xml:space="preserve">. </w:t>
      </w:r>
      <w:r w:rsidRPr="002D17B7">
        <w:rPr>
          <w:rStyle w:val="Hyperlink1"/>
        </w:rPr>
        <w:t>Am. J. Bot.</w:t>
      </w:r>
      <w:r w:rsidRPr="002D17B7">
        <w:rPr>
          <w:rStyle w:val="None"/>
          <w:sz w:val="24"/>
          <w:szCs w:val="24"/>
        </w:rPr>
        <w:t xml:space="preserve"> 66: 321–329.</w:t>
      </w:r>
    </w:p>
    <w:p w14:paraId="22E14BBD" w14:textId="77777777" w:rsidR="00B54617" w:rsidRPr="002D17B7" w:rsidRDefault="00B54617" w:rsidP="00B54617">
      <w:pPr>
        <w:pStyle w:val="1"/>
        <w:spacing w:line="360" w:lineRule="auto"/>
        <w:ind w:left="720" w:hanging="720"/>
        <w:jc w:val="left"/>
        <w:rPr>
          <w:rStyle w:val="None"/>
          <w:sz w:val="24"/>
          <w:szCs w:val="24"/>
        </w:rPr>
      </w:pPr>
      <w:proofErr w:type="spellStart"/>
      <w:r w:rsidRPr="002D17B7">
        <w:rPr>
          <w:rStyle w:val="None"/>
          <w:sz w:val="24"/>
          <w:szCs w:val="24"/>
        </w:rPr>
        <w:t>Wikström</w:t>
      </w:r>
      <w:proofErr w:type="spellEnd"/>
      <w:r w:rsidRPr="002D17B7">
        <w:rPr>
          <w:rStyle w:val="None"/>
          <w:sz w:val="24"/>
          <w:szCs w:val="24"/>
        </w:rPr>
        <w:t xml:space="preserve">, N., </w:t>
      </w:r>
      <w:proofErr w:type="spellStart"/>
      <w:r w:rsidRPr="002D17B7">
        <w:rPr>
          <w:rStyle w:val="None"/>
          <w:sz w:val="24"/>
          <w:szCs w:val="24"/>
        </w:rPr>
        <w:t>Savolainen</w:t>
      </w:r>
      <w:proofErr w:type="spellEnd"/>
      <w:r w:rsidRPr="002D17B7">
        <w:rPr>
          <w:rStyle w:val="None"/>
          <w:sz w:val="24"/>
          <w:szCs w:val="24"/>
        </w:rPr>
        <w:t xml:space="preserve">, V., and Chase, M. W. 2001. Evolution of the angiosperms: calibrating the family tree. </w:t>
      </w:r>
      <w:r w:rsidRPr="002D17B7">
        <w:rPr>
          <w:rStyle w:val="None"/>
          <w:i/>
          <w:iCs/>
          <w:color w:val="231F20"/>
          <w:sz w:val="24"/>
          <w:szCs w:val="24"/>
          <w:u w:color="231F20"/>
        </w:rPr>
        <w:t xml:space="preserve">Proc. Roy. Soc. B </w:t>
      </w:r>
      <w:r w:rsidRPr="002D17B7">
        <w:rPr>
          <w:rStyle w:val="None"/>
          <w:sz w:val="24"/>
          <w:szCs w:val="24"/>
        </w:rPr>
        <w:t>268: 2211–2220.</w:t>
      </w:r>
    </w:p>
    <w:p w14:paraId="224FFCB2" w14:textId="77777777" w:rsidR="0078675F" w:rsidRDefault="0078675F"/>
    <w:sectPr w:rsidR="0078675F" w:rsidSect="00F13BA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3CF8"/>
    <w:multiLevelType w:val="hybridMultilevel"/>
    <w:tmpl w:val="817E3E58"/>
    <w:lvl w:ilvl="0" w:tplc="22743C8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27D0D"/>
    <w:multiLevelType w:val="hybridMultilevel"/>
    <w:tmpl w:val="E18E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4D3CB2"/>
    <w:multiLevelType w:val="hybridMultilevel"/>
    <w:tmpl w:val="2DD831EE"/>
    <w:lvl w:ilvl="0" w:tplc="B25C12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7606BD"/>
    <w:multiLevelType w:val="hybridMultilevel"/>
    <w:tmpl w:val="2DD831EE"/>
    <w:lvl w:ilvl="0" w:tplc="B25C12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85"/>
    <w:rsid w:val="00030F0A"/>
    <w:rsid w:val="00055F85"/>
    <w:rsid w:val="0008424F"/>
    <w:rsid w:val="00740D37"/>
    <w:rsid w:val="0078675F"/>
    <w:rsid w:val="00B54617"/>
    <w:rsid w:val="00B70E6C"/>
    <w:rsid w:val="00C06648"/>
    <w:rsid w:val="00CF36CD"/>
    <w:rsid w:val="00F13BA2"/>
    <w:rsid w:val="00F51C47"/>
    <w:rsid w:val="00F70CF7"/>
    <w:rsid w:val="00FF74E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7DAC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0E6C"/>
    <w:rPr>
      <w:rFonts w:ascii="Times New Roman" w:eastAsia="Arial Unicode MS"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055F85"/>
    <w:pPr>
      <w:widowControl w:val="0"/>
      <w:pBdr>
        <w:top w:val="nil"/>
        <w:left w:val="nil"/>
        <w:bottom w:val="nil"/>
        <w:right w:val="nil"/>
        <w:between w:val="nil"/>
        <w:bar w:val="nil"/>
      </w:pBdr>
      <w:jc w:val="both"/>
    </w:pPr>
    <w:rPr>
      <w:rFonts w:ascii="Times New Roman" w:eastAsia="Times New Roman" w:hAnsi="Times New Roman" w:cs="Times New Roman"/>
      <w:color w:val="000000"/>
      <w:kern w:val="2"/>
      <w:sz w:val="21"/>
      <w:szCs w:val="21"/>
      <w:u w:color="000000"/>
      <w:bdr w:val="nil"/>
      <w:lang w:val="en-US" w:eastAsia="en-GB"/>
    </w:rPr>
  </w:style>
  <w:style w:type="character" w:customStyle="1" w:styleId="None">
    <w:name w:val="None"/>
    <w:rsid w:val="00055F85"/>
  </w:style>
  <w:style w:type="character" w:customStyle="1" w:styleId="Hyperlink1">
    <w:name w:val="Hyperlink.1"/>
    <w:basedOn w:val="None"/>
    <w:rsid w:val="00F51C47"/>
    <w:rPr>
      <w:rFonts w:ascii="Times New Roman" w:eastAsia="Times New Roman" w:hAnsi="Times New Roman" w:cs="Times New Roman"/>
      <w:i/>
      <w:iCs/>
      <w:sz w:val="24"/>
      <w:szCs w:val="24"/>
      <w:lang w:val="en-US"/>
    </w:rPr>
  </w:style>
  <w:style w:type="character" w:customStyle="1" w:styleId="Hyperlink0">
    <w:name w:val="Hyperlink.0"/>
    <w:basedOn w:val="None"/>
    <w:rsid w:val="00F70CF7"/>
    <w:rPr>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Taxonomy/Browser/wwwtax.cgi?mode=Info&amp;id=124778&amp;lvl=3&amp;lin=f&amp;keep=1&amp;srchmode=1&amp;unlock" TargetMode="External"/><Relationship Id="rId6" Type="http://schemas.openxmlformats.org/officeDocument/2006/relationships/hyperlink" Target="http://www.ncbi.nlm.nih.gov/Taxonomy/Browser/wwwtax.cgi?mode=Info&amp;id=13674&amp;lvl=3&amp;lin=f&amp;keep=1&amp;srchmode=1&amp;unlock" TargetMode="External"/><Relationship Id="rId7" Type="http://schemas.openxmlformats.org/officeDocument/2006/relationships/hyperlink" Target="http://www.ncbi.nlm.nih.gov/Taxonomy/Browser/wwwtax.cgi?mode=Info&amp;id=13674&amp;lvl=3&amp;lin=f&amp;keep=1&amp;srchmode=1&amp;unlock" TargetMode="External"/><Relationship Id="rId8" Type="http://schemas.openxmlformats.org/officeDocument/2006/relationships/hyperlink" Target="http://mafft.cbrc.jp/alignment/" TargetMode="External"/><Relationship Id="rId9" Type="http://schemas.openxmlformats.org/officeDocument/2006/relationships/hyperlink" Target="http://beast.bio.ed.ac.uk/" TargetMode="External"/><Relationship Id="rId10" Type="http://schemas.openxmlformats.org/officeDocument/2006/relationships/hyperlink" Target="http://dx.doi.org/10.1098/rspb.2012.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1552</Words>
  <Characters>8848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2017-11-28T15:48:00Z</dcterms:created>
  <dcterms:modified xsi:type="dcterms:W3CDTF">2017-11-30T15:55:00Z</dcterms:modified>
</cp:coreProperties>
</file>