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CB46" w14:textId="588CBA96" w:rsidR="00290159" w:rsidRDefault="007C3919">
      <w:pPr>
        <w:rPr>
          <w:rFonts w:cstheme="minorHAnsi"/>
          <w:b/>
        </w:rPr>
      </w:pPr>
      <w:r w:rsidRPr="00B010EB">
        <w:rPr>
          <w:rFonts w:cstheme="minorHAnsi"/>
          <w:b/>
        </w:rPr>
        <w:t>Supplement</w:t>
      </w:r>
      <w:r w:rsidR="00E86CEE">
        <w:rPr>
          <w:rFonts w:cstheme="minorHAnsi"/>
          <w:b/>
        </w:rPr>
        <w:t>ary Materials</w:t>
      </w:r>
      <w:r w:rsidR="00F32A36">
        <w:rPr>
          <w:rFonts w:cstheme="minorHAnsi"/>
          <w:b/>
        </w:rPr>
        <w:t xml:space="preserve"> S1</w:t>
      </w:r>
      <w:bookmarkStart w:id="0" w:name="_GoBack"/>
      <w:bookmarkEnd w:id="0"/>
    </w:p>
    <w:p w14:paraId="76F28F65" w14:textId="0697A831" w:rsidR="00E86CEE" w:rsidRPr="00B010EB" w:rsidRDefault="00E86CEE">
      <w:pPr>
        <w:rPr>
          <w:rFonts w:cstheme="minorHAnsi"/>
          <w:b/>
        </w:rPr>
      </w:pPr>
      <w:r>
        <w:rPr>
          <w:rFonts w:cstheme="minorHAnsi"/>
          <w:b/>
        </w:rPr>
        <w:t>Corticosterone (CORT) Measurement</w:t>
      </w:r>
    </w:p>
    <w:p w14:paraId="2E782DC0" w14:textId="69EFF041" w:rsidR="00245EE0" w:rsidRPr="007C3789" w:rsidRDefault="00245EE0">
      <w:pPr>
        <w:rPr>
          <w:rFonts w:cstheme="minorHAnsi"/>
        </w:rPr>
      </w:pPr>
      <w:r w:rsidRPr="007C3789">
        <w:rPr>
          <w:rFonts w:cstheme="minorHAnsi"/>
        </w:rPr>
        <w:t xml:space="preserve">We validated the Corticosterone High Sensitivity EIA Kit (Immunodiagnostic Systems Ltd., Fountain Hills, AZ, USA) for use in </w:t>
      </w:r>
      <w:r w:rsidRPr="007C3789">
        <w:rPr>
          <w:rFonts w:cstheme="minorHAnsi"/>
          <w:i/>
        </w:rPr>
        <w:t>Anolis sagrei</w:t>
      </w:r>
      <w:r w:rsidRPr="007C3789">
        <w:rPr>
          <w:rFonts w:cstheme="minorHAnsi"/>
        </w:rPr>
        <w:t xml:space="preserve"> by assessing both parallelism and quantitative recovery of a known CORT addition</w:t>
      </w:r>
      <w:r w:rsidR="00B010EB">
        <w:rPr>
          <w:rFonts w:cstheme="minorHAnsi"/>
        </w:rPr>
        <w:t xml:space="preserve"> (spike)</w:t>
      </w:r>
      <w:r w:rsidRPr="007C3789">
        <w:rPr>
          <w:rFonts w:cstheme="minorHAnsi"/>
        </w:rPr>
        <w:t xml:space="preserve">. </w:t>
      </w:r>
    </w:p>
    <w:p w14:paraId="6AADC15C" w14:textId="2B77C761" w:rsidR="00245EE0" w:rsidRPr="007C3789" w:rsidRDefault="00245EE0">
      <w:pPr>
        <w:rPr>
          <w:rFonts w:cstheme="minorHAnsi"/>
          <w:b/>
          <w:i/>
        </w:rPr>
      </w:pPr>
      <w:r w:rsidRPr="007C3789">
        <w:rPr>
          <w:rFonts w:cstheme="minorHAnsi"/>
          <w:b/>
          <w:i/>
        </w:rPr>
        <w:t>Parallelism</w:t>
      </w:r>
    </w:p>
    <w:p w14:paraId="0B57D634" w14:textId="08B6AA57" w:rsidR="00245EE0" w:rsidRDefault="00245EE0">
      <w:pPr>
        <w:rPr>
          <w:rFonts w:cstheme="minorHAnsi"/>
        </w:rPr>
      </w:pPr>
      <w:r w:rsidRPr="007C3789">
        <w:rPr>
          <w:rFonts w:cstheme="minorHAnsi"/>
        </w:rPr>
        <w:t xml:space="preserve">To assess </w:t>
      </w:r>
      <w:proofErr w:type="gramStart"/>
      <w:r w:rsidRPr="007C3789">
        <w:rPr>
          <w:rFonts w:cstheme="minorHAnsi"/>
        </w:rPr>
        <w:t>parallelism</w:t>
      </w:r>
      <w:proofErr w:type="gramEnd"/>
      <w:r w:rsidRPr="007C3789">
        <w:rPr>
          <w:rFonts w:cstheme="minorHAnsi"/>
        </w:rPr>
        <w:t xml:space="preserve"> we generated a pooled plasma sample by combining plasma from both male and female </w:t>
      </w:r>
      <w:r w:rsidRPr="007C3789">
        <w:rPr>
          <w:rFonts w:cstheme="minorHAnsi"/>
          <w:i/>
        </w:rPr>
        <w:t>A. sagrei</w:t>
      </w:r>
      <w:r w:rsidRPr="007C3789">
        <w:rPr>
          <w:rFonts w:cstheme="minorHAnsi"/>
        </w:rPr>
        <w:t xml:space="preserve"> (n=1</w:t>
      </w:r>
      <w:r w:rsidR="00970856" w:rsidRPr="007C3789">
        <w:rPr>
          <w:rFonts w:cstheme="minorHAnsi"/>
        </w:rPr>
        <w:t>5</w:t>
      </w:r>
      <w:r w:rsidRPr="007C3789">
        <w:rPr>
          <w:rFonts w:cstheme="minorHAnsi"/>
        </w:rPr>
        <w:t xml:space="preserve">). We serially diluted the pooled sample from 1:1 to </w:t>
      </w:r>
      <w:r w:rsidR="00970856" w:rsidRPr="007C3789">
        <w:rPr>
          <w:rFonts w:cstheme="minorHAnsi"/>
        </w:rPr>
        <w:t>1:128</w:t>
      </w:r>
      <w:r w:rsidRPr="007C3789">
        <w:rPr>
          <w:rFonts w:cstheme="minorHAnsi"/>
        </w:rPr>
        <w:t xml:space="preserve"> in assay buff</w:t>
      </w:r>
      <w:r w:rsidR="00970856" w:rsidRPr="007C3789">
        <w:rPr>
          <w:rFonts w:cstheme="minorHAnsi"/>
        </w:rPr>
        <w:t xml:space="preserve">er and assessed samples in duplicate. We compared the </w:t>
      </w:r>
      <w:r w:rsidR="00ED4038" w:rsidRPr="007C3789">
        <w:rPr>
          <w:rFonts w:cstheme="minorHAnsi"/>
        </w:rPr>
        <w:t>slope of the</w:t>
      </w:r>
      <w:r w:rsidR="00DC4774" w:rsidRPr="007C3789">
        <w:rPr>
          <w:rFonts w:cstheme="minorHAnsi"/>
        </w:rPr>
        <w:t xml:space="preserve"> </w:t>
      </w:r>
      <w:r w:rsidR="00ED4038" w:rsidRPr="007C3789">
        <w:rPr>
          <w:rFonts w:cstheme="minorHAnsi"/>
        </w:rPr>
        <w:t>dilution curve to the standard curve, and the curves were not different (t</w:t>
      </w:r>
      <w:r w:rsidR="00ED4038" w:rsidRPr="007C3789">
        <w:rPr>
          <w:rFonts w:cstheme="minorHAnsi"/>
          <w:vertAlign w:val="subscript"/>
        </w:rPr>
        <w:t>10</w:t>
      </w:r>
      <w:r w:rsidR="00ED4038" w:rsidRPr="007C3789">
        <w:rPr>
          <w:rFonts w:cstheme="minorHAnsi"/>
        </w:rPr>
        <w:t xml:space="preserve">=-0.368, p=0.720; </w:t>
      </w:r>
      <w:proofErr w:type="spellStart"/>
      <w:r w:rsidR="00ED4038" w:rsidRPr="007C3789">
        <w:rPr>
          <w:rFonts w:cstheme="minorHAnsi"/>
        </w:rPr>
        <w:t>Zar</w:t>
      </w:r>
      <w:proofErr w:type="spellEnd"/>
      <w:r w:rsidR="00ED4038" w:rsidRPr="007C3789">
        <w:rPr>
          <w:rFonts w:cstheme="minorHAnsi"/>
        </w:rPr>
        <w:t xml:space="preserve"> 1996).</w:t>
      </w:r>
      <w:r w:rsidR="00DC4774" w:rsidRPr="007C3789">
        <w:rPr>
          <w:rFonts w:cstheme="minorHAnsi"/>
        </w:rPr>
        <w:t xml:space="preserve"> This indicates the kit measures CORT in </w:t>
      </w:r>
      <w:r w:rsidR="00DC4774" w:rsidRPr="00E86CEE">
        <w:rPr>
          <w:rFonts w:cstheme="minorHAnsi"/>
          <w:i/>
          <w:iCs/>
        </w:rPr>
        <w:t>A. sagrei</w:t>
      </w:r>
      <w:r w:rsidR="00DC4774" w:rsidRPr="007C3789">
        <w:rPr>
          <w:rFonts w:cstheme="minorHAnsi"/>
        </w:rPr>
        <w:t xml:space="preserve"> in a fashion indistinguishable from the standards provided with the kit. The dilution curve was used to determine that a 1:10 dilution for samples was ideal as average samples would fall close to 50% binding values for the assay kit.  </w:t>
      </w:r>
    </w:p>
    <w:p w14:paraId="2E7C8722" w14:textId="66A3BCF4" w:rsidR="001A2997" w:rsidRDefault="00AC0985" w:rsidP="00245EE0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D07F6FE" wp14:editId="65897D95">
            <wp:extent cx="4272915" cy="2497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1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6E429" w14:textId="510914A1" w:rsidR="00AC0985" w:rsidRPr="00AC0985" w:rsidRDefault="00AC0985" w:rsidP="00245EE0">
      <w:pPr>
        <w:rPr>
          <w:rFonts w:cstheme="minorHAnsi"/>
        </w:rPr>
      </w:pPr>
      <w:r w:rsidRPr="00B010EB">
        <w:rPr>
          <w:rFonts w:cstheme="minorHAnsi"/>
          <w:b/>
          <w:i/>
        </w:rPr>
        <w:t>Figure S1.</w:t>
      </w:r>
      <w:r>
        <w:rPr>
          <w:rFonts w:cstheme="minorHAnsi"/>
        </w:rPr>
        <w:t xml:space="preserve"> </w:t>
      </w:r>
      <w:r w:rsidR="00561B17">
        <w:rPr>
          <w:rFonts w:cstheme="minorHAnsi"/>
        </w:rPr>
        <w:t xml:space="preserve">Comparison of slopes produced from serial dilution of control solution provided with kit (Calibration, blue) and </w:t>
      </w:r>
      <w:r w:rsidR="00B010EB">
        <w:rPr>
          <w:rFonts w:cstheme="minorHAnsi"/>
        </w:rPr>
        <w:t xml:space="preserve">from serial dilution of pooled sample (Sample Dilution, orange). Corticosterone concentrations were calculated by fitting absorbance values to a </w:t>
      </w:r>
      <w:proofErr w:type="gramStart"/>
      <w:r w:rsidR="00B010EB">
        <w:rPr>
          <w:rFonts w:cstheme="minorHAnsi"/>
        </w:rPr>
        <w:t>four point</w:t>
      </w:r>
      <w:proofErr w:type="gramEnd"/>
      <w:r w:rsidR="00B010EB">
        <w:rPr>
          <w:rFonts w:cstheme="minorHAnsi"/>
        </w:rPr>
        <w:t xml:space="preserve"> logistic curve. Equation for linear fit to calibration values: </w:t>
      </w:r>
      <w:r w:rsidR="00B010EB" w:rsidRPr="00B010EB">
        <w:rPr>
          <w:rFonts w:cstheme="minorHAnsi"/>
        </w:rPr>
        <w:t>y = -0.0583x + 3.2043</w:t>
      </w:r>
      <w:r w:rsidR="00B010EB">
        <w:rPr>
          <w:rFonts w:cstheme="minorHAnsi"/>
        </w:rPr>
        <w:t xml:space="preserve">; </w:t>
      </w:r>
      <w:r w:rsidR="00B010EB" w:rsidRPr="00B010EB">
        <w:rPr>
          <w:rFonts w:cstheme="minorHAnsi"/>
        </w:rPr>
        <w:t>R² = 0.9869</w:t>
      </w:r>
      <w:r w:rsidR="00B010EB">
        <w:rPr>
          <w:rFonts w:cstheme="minorHAnsi"/>
        </w:rPr>
        <w:t xml:space="preserve">. Equation for linear fit to pooled sample dilution values: </w:t>
      </w:r>
      <w:r w:rsidR="00B010EB" w:rsidRPr="00B010EB">
        <w:rPr>
          <w:rFonts w:cstheme="minorHAnsi"/>
        </w:rPr>
        <w:t>y = -0.0567x + 3.1105</w:t>
      </w:r>
      <w:r w:rsidR="00B010EB">
        <w:rPr>
          <w:rFonts w:cstheme="minorHAnsi"/>
        </w:rPr>
        <w:t xml:space="preserve">; </w:t>
      </w:r>
      <w:r w:rsidR="00B010EB" w:rsidRPr="00B010EB">
        <w:rPr>
          <w:rFonts w:cstheme="minorHAnsi"/>
        </w:rPr>
        <w:t>R² = 0.9882</w:t>
      </w:r>
      <w:r w:rsidR="00B010EB">
        <w:rPr>
          <w:rFonts w:cstheme="minorHAnsi"/>
        </w:rPr>
        <w:t>. Slopes were not significantly different indica</w:t>
      </w:r>
      <w:r w:rsidR="00E86CEE">
        <w:rPr>
          <w:rFonts w:cstheme="minorHAnsi"/>
        </w:rPr>
        <w:t>ting</w:t>
      </w:r>
      <w:r w:rsidR="00B010EB">
        <w:rPr>
          <w:rFonts w:cstheme="minorHAnsi"/>
        </w:rPr>
        <w:t xml:space="preserve"> parallel responses were achieved.</w:t>
      </w:r>
    </w:p>
    <w:p w14:paraId="679CCB9B" w14:textId="3294D833" w:rsidR="00245EE0" w:rsidRPr="007C3789" w:rsidRDefault="00245EE0" w:rsidP="00245EE0">
      <w:pPr>
        <w:rPr>
          <w:rFonts w:cstheme="minorHAnsi"/>
          <w:b/>
          <w:i/>
        </w:rPr>
      </w:pPr>
      <w:r w:rsidRPr="007C3789">
        <w:rPr>
          <w:rFonts w:cstheme="minorHAnsi"/>
          <w:b/>
          <w:i/>
        </w:rPr>
        <w:t>Recovery</w:t>
      </w:r>
    </w:p>
    <w:p w14:paraId="45B0222A" w14:textId="0BD60D03" w:rsidR="00245EE0" w:rsidRPr="007C3789" w:rsidRDefault="00245EE0" w:rsidP="00245EE0">
      <w:pPr>
        <w:rPr>
          <w:rFonts w:cstheme="minorHAnsi"/>
        </w:rPr>
      </w:pPr>
      <w:r w:rsidRPr="007C3789">
        <w:rPr>
          <w:rFonts w:cstheme="minorHAnsi"/>
        </w:rPr>
        <w:t xml:space="preserve">To assess </w:t>
      </w:r>
      <w:proofErr w:type="gramStart"/>
      <w:r w:rsidRPr="007C3789">
        <w:rPr>
          <w:rFonts w:cstheme="minorHAnsi"/>
        </w:rPr>
        <w:t>recovery</w:t>
      </w:r>
      <w:proofErr w:type="gramEnd"/>
      <w:r w:rsidRPr="007C3789">
        <w:rPr>
          <w:rFonts w:cstheme="minorHAnsi"/>
        </w:rPr>
        <w:t xml:space="preserve"> we generated a pooled plasma sample by combining plasma from both male and female </w:t>
      </w:r>
      <w:r w:rsidRPr="007C3789">
        <w:rPr>
          <w:rFonts w:cstheme="minorHAnsi"/>
          <w:i/>
        </w:rPr>
        <w:t>A. sagrei</w:t>
      </w:r>
      <w:r w:rsidRPr="007C3789">
        <w:rPr>
          <w:rFonts w:cstheme="minorHAnsi"/>
        </w:rPr>
        <w:t xml:space="preserve"> (n=</w:t>
      </w:r>
      <w:r w:rsidR="00970856" w:rsidRPr="007C3789">
        <w:rPr>
          <w:rFonts w:cstheme="minorHAnsi"/>
        </w:rPr>
        <w:t>7</w:t>
      </w:r>
      <w:r w:rsidRPr="007C3789">
        <w:rPr>
          <w:rFonts w:cstheme="minorHAnsi"/>
        </w:rPr>
        <w:t>) which was spiked with</w:t>
      </w:r>
      <w:r w:rsidR="00DC4774" w:rsidRPr="007C3789">
        <w:rPr>
          <w:rFonts w:cstheme="minorHAnsi"/>
        </w:rPr>
        <w:t xml:space="preserve"> </w:t>
      </w:r>
      <w:r w:rsidRPr="007C3789">
        <w:rPr>
          <w:rFonts w:cstheme="minorHAnsi"/>
        </w:rPr>
        <w:t>known concentration</w:t>
      </w:r>
      <w:r w:rsidR="00DC4774" w:rsidRPr="007C3789">
        <w:rPr>
          <w:rFonts w:cstheme="minorHAnsi"/>
        </w:rPr>
        <w:t>s</w:t>
      </w:r>
      <w:r w:rsidRPr="007C3789">
        <w:rPr>
          <w:rFonts w:cstheme="minorHAnsi"/>
        </w:rPr>
        <w:t xml:space="preserve"> of CORT from control s</w:t>
      </w:r>
      <w:r w:rsidR="00F2545E" w:rsidRPr="007C3789">
        <w:rPr>
          <w:rFonts w:cstheme="minorHAnsi"/>
        </w:rPr>
        <w:t>tandard</w:t>
      </w:r>
      <w:r w:rsidRPr="007C3789">
        <w:rPr>
          <w:rFonts w:cstheme="minorHAnsi"/>
        </w:rPr>
        <w:t xml:space="preserve"> provided with the kit.</w:t>
      </w:r>
      <w:r w:rsidR="00830EFF" w:rsidRPr="007C3789">
        <w:rPr>
          <w:rFonts w:cstheme="minorHAnsi"/>
        </w:rPr>
        <w:t xml:space="preserve"> </w:t>
      </w:r>
      <w:r w:rsidR="00511334" w:rsidRPr="007C3789">
        <w:rPr>
          <w:rFonts w:cstheme="minorHAnsi"/>
        </w:rPr>
        <w:t xml:space="preserve">We </w:t>
      </w:r>
      <w:r w:rsidR="00B74AAB" w:rsidRPr="007C3789">
        <w:rPr>
          <w:rFonts w:cstheme="minorHAnsi"/>
        </w:rPr>
        <w:t>created three</w:t>
      </w:r>
      <w:r w:rsidR="00511334" w:rsidRPr="007C3789">
        <w:rPr>
          <w:rFonts w:cstheme="minorHAnsi"/>
        </w:rPr>
        <w:t xml:space="preserve"> dilut</w:t>
      </w:r>
      <w:r w:rsidR="00B74AAB" w:rsidRPr="007C3789">
        <w:rPr>
          <w:rFonts w:cstheme="minorHAnsi"/>
        </w:rPr>
        <w:t>ions of</w:t>
      </w:r>
      <w:r w:rsidR="00511334" w:rsidRPr="007C3789">
        <w:rPr>
          <w:rFonts w:cstheme="minorHAnsi"/>
        </w:rPr>
        <w:t xml:space="preserve"> control solution from the kit (1:</w:t>
      </w:r>
      <w:r w:rsidR="00B74AAB" w:rsidRPr="007C3789">
        <w:rPr>
          <w:rFonts w:cstheme="minorHAnsi"/>
        </w:rPr>
        <w:t>1, 1:5, and 1:10</w:t>
      </w:r>
      <w:r w:rsidR="00511334" w:rsidRPr="007C3789">
        <w:rPr>
          <w:rFonts w:cstheme="minorHAnsi"/>
        </w:rPr>
        <w:t>)</w:t>
      </w:r>
      <w:r w:rsidR="00B74AAB" w:rsidRPr="007C3789">
        <w:rPr>
          <w:rFonts w:cstheme="minorHAnsi"/>
        </w:rPr>
        <w:t xml:space="preserve"> to make a high, middle, and low spike</w:t>
      </w:r>
      <w:r w:rsidR="00F2545E" w:rsidRPr="007C3789">
        <w:rPr>
          <w:rFonts w:cstheme="minorHAnsi"/>
        </w:rPr>
        <w:t>.</w:t>
      </w:r>
      <w:r w:rsidR="00511334" w:rsidRPr="007C3789">
        <w:rPr>
          <w:rFonts w:cstheme="minorHAnsi"/>
        </w:rPr>
        <w:t xml:space="preserve"> </w:t>
      </w:r>
      <w:r w:rsidR="00F2545E" w:rsidRPr="007C3789">
        <w:rPr>
          <w:rFonts w:cstheme="minorHAnsi"/>
        </w:rPr>
        <w:t xml:space="preserve">We split the pooled sample evenly into </w:t>
      </w:r>
      <w:r w:rsidR="00830EFF" w:rsidRPr="007C3789">
        <w:rPr>
          <w:rFonts w:cstheme="minorHAnsi"/>
        </w:rPr>
        <w:t xml:space="preserve">micro-centrifuge tubes and mixed with equal volumes of </w:t>
      </w:r>
      <w:r w:rsidR="007C3789" w:rsidRPr="007C3789">
        <w:rPr>
          <w:rFonts w:cstheme="minorHAnsi"/>
        </w:rPr>
        <w:t xml:space="preserve">the </w:t>
      </w:r>
      <w:r w:rsidR="00F2545E" w:rsidRPr="007C3789">
        <w:rPr>
          <w:rFonts w:cstheme="minorHAnsi"/>
        </w:rPr>
        <w:t xml:space="preserve">diluted control </w:t>
      </w:r>
      <w:r w:rsidR="00830EFF" w:rsidRPr="007C3789">
        <w:rPr>
          <w:rFonts w:cstheme="minorHAnsi"/>
        </w:rPr>
        <w:t xml:space="preserve">standard to </w:t>
      </w:r>
      <w:r w:rsidR="00F2545E" w:rsidRPr="007C3789">
        <w:rPr>
          <w:rFonts w:cstheme="minorHAnsi"/>
        </w:rPr>
        <w:t>add known spikes</w:t>
      </w:r>
      <w:r w:rsidR="00830EFF" w:rsidRPr="007C3789">
        <w:rPr>
          <w:rFonts w:cstheme="minorHAnsi"/>
        </w:rPr>
        <w:t xml:space="preserve"> of </w:t>
      </w:r>
      <w:r w:rsidR="00F2545E" w:rsidRPr="007C3789">
        <w:rPr>
          <w:rFonts w:cstheme="minorHAnsi"/>
        </w:rPr>
        <w:t>CORT to each sample</w:t>
      </w:r>
      <w:r w:rsidR="00B74AAB" w:rsidRPr="007C3789">
        <w:rPr>
          <w:rFonts w:cstheme="minorHAnsi"/>
        </w:rPr>
        <w:t xml:space="preserve"> as well as assaying a non-spiked sample of the pooled plasma</w:t>
      </w:r>
      <w:r w:rsidR="00F2545E" w:rsidRPr="007C3789">
        <w:rPr>
          <w:rFonts w:cstheme="minorHAnsi"/>
        </w:rPr>
        <w:t>.</w:t>
      </w:r>
      <w:r w:rsidR="00724C94" w:rsidRPr="007C3789">
        <w:rPr>
          <w:rFonts w:cstheme="minorHAnsi"/>
        </w:rPr>
        <w:t xml:space="preserve"> Each sample was assessed in duplicate.</w:t>
      </w:r>
      <w:r w:rsidR="00E462FD" w:rsidRPr="007C3789">
        <w:rPr>
          <w:rFonts w:cstheme="minorHAnsi"/>
        </w:rPr>
        <w:t xml:space="preserve"> </w:t>
      </w:r>
      <w:r w:rsidR="00B74AAB" w:rsidRPr="007C3789">
        <w:rPr>
          <w:rFonts w:cstheme="minorHAnsi"/>
        </w:rPr>
        <w:lastRenderedPageBreak/>
        <w:t xml:space="preserve">CORT measured in the </w:t>
      </w:r>
      <w:proofErr w:type="spellStart"/>
      <w:r w:rsidR="00B74AAB" w:rsidRPr="007C3789">
        <w:rPr>
          <w:rFonts w:cstheme="minorHAnsi"/>
        </w:rPr>
        <w:t>unspiked</w:t>
      </w:r>
      <w:proofErr w:type="spellEnd"/>
      <w:r w:rsidR="00B74AAB" w:rsidRPr="007C3789">
        <w:rPr>
          <w:rFonts w:cstheme="minorHAnsi"/>
        </w:rPr>
        <w:t xml:space="preserve"> </w:t>
      </w:r>
      <w:r w:rsidR="007C3789" w:rsidRPr="007C3789">
        <w:rPr>
          <w:rFonts w:cstheme="minorHAnsi"/>
        </w:rPr>
        <w:t xml:space="preserve">pooled </w:t>
      </w:r>
      <w:r w:rsidR="00B74AAB" w:rsidRPr="007C3789">
        <w:rPr>
          <w:rFonts w:cstheme="minorHAnsi"/>
        </w:rPr>
        <w:t>sample was 15.01 ng/ml</w:t>
      </w:r>
      <w:r w:rsidR="007C3789" w:rsidRPr="007C3789">
        <w:rPr>
          <w:rFonts w:cstheme="minorHAnsi"/>
        </w:rPr>
        <w:t>, and made up 8 ul (2.4016 ng) of each 50 ul spiked sample</w:t>
      </w:r>
      <w:r w:rsidR="009A4FD3" w:rsidRPr="007C3789">
        <w:rPr>
          <w:rFonts w:cstheme="minorHAnsi"/>
        </w:rPr>
        <w:t xml:space="preserve">. Average recovery across the three spikes was 110.3% (range: 92.7-135%). </w:t>
      </w:r>
      <w:r w:rsidR="00B74AAB" w:rsidRPr="007C3789">
        <w:rPr>
          <w:rFonts w:cstheme="minorHAnsi"/>
        </w:rPr>
        <w:t xml:space="preserve">The coefficient of variation in measured </w:t>
      </w:r>
      <w:r w:rsidR="009A4FD3" w:rsidRPr="007C3789">
        <w:rPr>
          <w:rFonts w:cstheme="minorHAnsi"/>
        </w:rPr>
        <w:t xml:space="preserve">and calculated </w:t>
      </w:r>
      <w:r w:rsidR="00B74AAB" w:rsidRPr="007C3789">
        <w:rPr>
          <w:rFonts w:cstheme="minorHAnsi"/>
        </w:rPr>
        <w:t>CORT for the three spiked samples was 4.55%.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2881"/>
        <w:gridCol w:w="1795"/>
      </w:tblGrid>
      <w:tr w:rsidR="009A4FD3" w:rsidRPr="007C3789" w14:paraId="56DED2C2" w14:textId="77777777" w:rsidTr="009A4FD3">
        <w:tc>
          <w:tcPr>
            <w:tcW w:w="1795" w:type="dxa"/>
          </w:tcPr>
          <w:p w14:paraId="7125D42C" w14:textId="20B8643B" w:rsidR="009A4FD3" w:rsidRPr="007C3789" w:rsidRDefault="009A4FD3" w:rsidP="009A4FD3">
            <w:pPr>
              <w:jc w:val="center"/>
              <w:rPr>
                <w:rFonts w:cstheme="minorHAnsi"/>
                <w:b/>
              </w:rPr>
            </w:pPr>
            <w:r w:rsidRPr="007C3789">
              <w:rPr>
                <w:rFonts w:cstheme="minorHAnsi"/>
                <w:b/>
              </w:rPr>
              <w:t>Spike</w:t>
            </w:r>
          </w:p>
        </w:tc>
        <w:tc>
          <w:tcPr>
            <w:tcW w:w="2879" w:type="dxa"/>
          </w:tcPr>
          <w:p w14:paraId="534984A9" w14:textId="278BDBE6" w:rsidR="009A4FD3" w:rsidRPr="007C3789" w:rsidRDefault="009A4FD3" w:rsidP="009A4FD3">
            <w:pPr>
              <w:jc w:val="center"/>
              <w:rPr>
                <w:rFonts w:cstheme="minorHAnsi"/>
                <w:b/>
              </w:rPr>
            </w:pPr>
            <w:r w:rsidRPr="007C3789">
              <w:rPr>
                <w:rFonts w:cstheme="minorHAnsi"/>
                <w:b/>
              </w:rPr>
              <w:t>Measured CORT (ng/ml)</w:t>
            </w:r>
          </w:p>
        </w:tc>
        <w:tc>
          <w:tcPr>
            <w:tcW w:w="2881" w:type="dxa"/>
          </w:tcPr>
          <w:p w14:paraId="467317CB" w14:textId="1B66ECDD" w:rsidR="009A4FD3" w:rsidRPr="007C3789" w:rsidRDefault="009A4FD3" w:rsidP="009A4FD3">
            <w:pPr>
              <w:jc w:val="center"/>
              <w:rPr>
                <w:rFonts w:cstheme="minorHAnsi"/>
                <w:b/>
              </w:rPr>
            </w:pPr>
            <w:r w:rsidRPr="007C3789">
              <w:rPr>
                <w:rFonts w:cstheme="minorHAnsi"/>
                <w:b/>
              </w:rPr>
              <w:t>Calculated CORT (ng/ml)</w:t>
            </w:r>
          </w:p>
        </w:tc>
        <w:tc>
          <w:tcPr>
            <w:tcW w:w="1795" w:type="dxa"/>
          </w:tcPr>
          <w:p w14:paraId="48649CC3" w14:textId="3BACB302" w:rsidR="009A4FD3" w:rsidRPr="007C3789" w:rsidRDefault="009A4FD3" w:rsidP="009A4FD3">
            <w:pPr>
              <w:jc w:val="center"/>
              <w:rPr>
                <w:rFonts w:cstheme="minorHAnsi"/>
                <w:b/>
              </w:rPr>
            </w:pPr>
            <w:r w:rsidRPr="007C3789">
              <w:rPr>
                <w:rFonts w:cstheme="minorHAnsi"/>
                <w:b/>
              </w:rPr>
              <w:t>% Recovery</w:t>
            </w:r>
          </w:p>
        </w:tc>
      </w:tr>
      <w:tr w:rsidR="009A4FD3" w:rsidRPr="007C3789" w14:paraId="70EC4F04" w14:textId="77777777" w:rsidTr="009A4FD3">
        <w:tc>
          <w:tcPr>
            <w:tcW w:w="1795" w:type="dxa"/>
          </w:tcPr>
          <w:p w14:paraId="3D484839" w14:textId="3E83EE98" w:rsidR="009A4FD3" w:rsidRPr="007C3789" w:rsidRDefault="009A4FD3" w:rsidP="009A4FD3">
            <w:pPr>
              <w:jc w:val="center"/>
              <w:rPr>
                <w:rFonts w:cstheme="minorHAnsi"/>
                <w:b/>
                <w:i/>
              </w:rPr>
            </w:pPr>
            <w:r w:rsidRPr="007C3789">
              <w:rPr>
                <w:rFonts w:cstheme="minorHAnsi"/>
                <w:b/>
                <w:i/>
              </w:rPr>
              <w:t>High</w:t>
            </w:r>
          </w:p>
        </w:tc>
        <w:tc>
          <w:tcPr>
            <w:tcW w:w="2879" w:type="dxa"/>
          </w:tcPr>
          <w:p w14:paraId="19079431" w14:textId="268F304A" w:rsidR="009A4FD3" w:rsidRPr="007C3789" w:rsidRDefault="009A4FD3" w:rsidP="009A4FD3">
            <w:pPr>
              <w:jc w:val="center"/>
              <w:rPr>
                <w:rFonts w:cstheme="minorHAnsi"/>
              </w:rPr>
            </w:pPr>
            <w:r w:rsidRPr="007C3789">
              <w:rPr>
                <w:rFonts w:cstheme="minorHAnsi"/>
              </w:rPr>
              <w:t>15.711</w:t>
            </w:r>
          </w:p>
        </w:tc>
        <w:tc>
          <w:tcPr>
            <w:tcW w:w="2881" w:type="dxa"/>
          </w:tcPr>
          <w:p w14:paraId="52CCDB57" w14:textId="14487DF6" w:rsidR="009A4FD3" w:rsidRPr="007C3789" w:rsidRDefault="009A4FD3" w:rsidP="009A4FD3">
            <w:pPr>
              <w:jc w:val="center"/>
              <w:rPr>
                <w:rFonts w:cstheme="minorHAnsi"/>
              </w:rPr>
            </w:pPr>
            <w:r w:rsidRPr="007C3789">
              <w:rPr>
                <w:rFonts w:cstheme="minorHAnsi"/>
              </w:rPr>
              <w:t>16.766</w:t>
            </w:r>
          </w:p>
        </w:tc>
        <w:tc>
          <w:tcPr>
            <w:tcW w:w="1795" w:type="dxa"/>
          </w:tcPr>
          <w:p w14:paraId="180773A5" w14:textId="32AD0DB8" w:rsidR="009A4FD3" w:rsidRPr="007C3789" w:rsidRDefault="009A4FD3" w:rsidP="009A4FD3">
            <w:pPr>
              <w:jc w:val="center"/>
              <w:rPr>
                <w:rFonts w:cstheme="minorHAnsi"/>
              </w:rPr>
            </w:pPr>
            <w:r w:rsidRPr="007C3789">
              <w:rPr>
                <w:rFonts w:cstheme="minorHAnsi"/>
              </w:rPr>
              <w:t>0.927</w:t>
            </w:r>
          </w:p>
        </w:tc>
      </w:tr>
      <w:tr w:rsidR="009A4FD3" w:rsidRPr="007C3789" w14:paraId="135C3385" w14:textId="77777777" w:rsidTr="009A4FD3">
        <w:tc>
          <w:tcPr>
            <w:tcW w:w="1795" w:type="dxa"/>
          </w:tcPr>
          <w:p w14:paraId="34A030A2" w14:textId="74FBBFFC" w:rsidR="009A4FD3" w:rsidRPr="007C3789" w:rsidRDefault="009A4FD3" w:rsidP="009A4FD3">
            <w:pPr>
              <w:jc w:val="center"/>
              <w:rPr>
                <w:rFonts w:cstheme="minorHAnsi"/>
                <w:b/>
                <w:i/>
              </w:rPr>
            </w:pPr>
            <w:r w:rsidRPr="007C3789">
              <w:rPr>
                <w:rFonts w:cstheme="minorHAnsi"/>
                <w:b/>
                <w:i/>
              </w:rPr>
              <w:t>Medium</w:t>
            </w:r>
          </w:p>
        </w:tc>
        <w:tc>
          <w:tcPr>
            <w:tcW w:w="2879" w:type="dxa"/>
          </w:tcPr>
          <w:p w14:paraId="00768B26" w14:textId="0213E519" w:rsidR="009A4FD3" w:rsidRPr="007C3789" w:rsidRDefault="009A4FD3" w:rsidP="009A4FD3">
            <w:pPr>
              <w:jc w:val="center"/>
              <w:rPr>
                <w:rFonts w:cstheme="minorHAnsi"/>
              </w:rPr>
            </w:pPr>
            <w:r w:rsidRPr="007C3789">
              <w:rPr>
                <w:rFonts w:cstheme="minorHAnsi"/>
              </w:rPr>
              <w:t>5.368</w:t>
            </w:r>
          </w:p>
        </w:tc>
        <w:tc>
          <w:tcPr>
            <w:tcW w:w="2881" w:type="dxa"/>
          </w:tcPr>
          <w:p w14:paraId="5EC4F18B" w14:textId="423D3E94" w:rsidR="009A4FD3" w:rsidRPr="007C3789" w:rsidRDefault="009A4FD3" w:rsidP="009A4FD3">
            <w:pPr>
              <w:jc w:val="center"/>
              <w:rPr>
                <w:rFonts w:cstheme="minorHAnsi"/>
              </w:rPr>
            </w:pPr>
            <w:r w:rsidRPr="007C3789">
              <w:rPr>
                <w:rFonts w:cstheme="minorHAnsi"/>
              </w:rPr>
              <w:t>5.274</w:t>
            </w:r>
          </w:p>
        </w:tc>
        <w:tc>
          <w:tcPr>
            <w:tcW w:w="1795" w:type="dxa"/>
          </w:tcPr>
          <w:p w14:paraId="447338F0" w14:textId="78E811E0" w:rsidR="009A4FD3" w:rsidRPr="007C3789" w:rsidRDefault="009A4FD3" w:rsidP="009A4FD3">
            <w:pPr>
              <w:jc w:val="center"/>
              <w:rPr>
                <w:rFonts w:cstheme="minorHAnsi"/>
              </w:rPr>
            </w:pPr>
            <w:r w:rsidRPr="007C3789">
              <w:rPr>
                <w:rFonts w:cstheme="minorHAnsi"/>
              </w:rPr>
              <w:t>1.033</w:t>
            </w:r>
          </w:p>
        </w:tc>
      </w:tr>
      <w:tr w:rsidR="009A4FD3" w:rsidRPr="007C3789" w14:paraId="397DAB63" w14:textId="77777777" w:rsidTr="009A4FD3">
        <w:tc>
          <w:tcPr>
            <w:tcW w:w="1795" w:type="dxa"/>
          </w:tcPr>
          <w:p w14:paraId="5331311C" w14:textId="21FD6670" w:rsidR="009A4FD3" w:rsidRPr="007C3789" w:rsidRDefault="009A4FD3" w:rsidP="009A4FD3">
            <w:pPr>
              <w:jc w:val="center"/>
              <w:rPr>
                <w:rFonts w:cstheme="minorHAnsi"/>
                <w:b/>
                <w:i/>
              </w:rPr>
            </w:pPr>
            <w:r w:rsidRPr="007C3789">
              <w:rPr>
                <w:rFonts w:cstheme="minorHAnsi"/>
                <w:b/>
                <w:i/>
              </w:rPr>
              <w:t>Low</w:t>
            </w:r>
          </w:p>
        </w:tc>
        <w:tc>
          <w:tcPr>
            <w:tcW w:w="2879" w:type="dxa"/>
          </w:tcPr>
          <w:p w14:paraId="2135D711" w14:textId="6A38C251" w:rsidR="009A4FD3" w:rsidRPr="007C3789" w:rsidRDefault="009A4FD3" w:rsidP="009A4FD3">
            <w:pPr>
              <w:jc w:val="center"/>
              <w:rPr>
                <w:rFonts w:cstheme="minorHAnsi"/>
              </w:rPr>
            </w:pPr>
            <w:r w:rsidRPr="007C3789">
              <w:rPr>
                <w:rFonts w:cstheme="minorHAnsi"/>
              </w:rPr>
              <w:t>4.341</w:t>
            </w:r>
          </w:p>
        </w:tc>
        <w:tc>
          <w:tcPr>
            <w:tcW w:w="2881" w:type="dxa"/>
          </w:tcPr>
          <w:p w14:paraId="29885D20" w14:textId="5299BE93" w:rsidR="009A4FD3" w:rsidRPr="007C3789" w:rsidRDefault="009A4FD3" w:rsidP="009A4FD3">
            <w:pPr>
              <w:jc w:val="center"/>
              <w:rPr>
                <w:rFonts w:cstheme="minorHAnsi"/>
              </w:rPr>
            </w:pPr>
            <w:r w:rsidRPr="007C3789">
              <w:rPr>
                <w:rFonts w:cstheme="minorHAnsi"/>
              </w:rPr>
              <w:t>3.838</w:t>
            </w:r>
          </w:p>
        </w:tc>
        <w:tc>
          <w:tcPr>
            <w:tcW w:w="1795" w:type="dxa"/>
          </w:tcPr>
          <w:p w14:paraId="6F696612" w14:textId="632A1043" w:rsidR="009A4FD3" w:rsidRPr="007C3789" w:rsidRDefault="009A4FD3" w:rsidP="009A4FD3">
            <w:pPr>
              <w:jc w:val="center"/>
              <w:rPr>
                <w:rFonts w:cstheme="minorHAnsi"/>
              </w:rPr>
            </w:pPr>
            <w:r w:rsidRPr="007C3789">
              <w:rPr>
                <w:rFonts w:cstheme="minorHAnsi"/>
              </w:rPr>
              <w:t>1.350</w:t>
            </w:r>
          </w:p>
        </w:tc>
      </w:tr>
    </w:tbl>
    <w:p w14:paraId="65474A10" w14:textId="0AB4CBEE" w:rsidR="00245EE0" w:rsidRPr="007C3789" w:rsidRDefault="00B010EB">
      <w:pPr>
        <w:rPr>
          <w:rFonts w:cstheme="minorHAnsi"/>
        </w:rPr>
      </w:pPr>
      <w:r w:rsidRPr="00B010EB">
        <w:rPr>
          <w:rFonts w:cstheme="minorHAnsi"/>
          <w:b/>
          <w:i/>
        </w:rPr>
        <w:t>Table S1.</w:t>
      </w:r>
      <w:r>
        <w:rPr>
          <w:rFonts w:cstheme="minorHAnsi"/>
        </w:rPr>
        <w:t xml:space="preserve"> Values of CORT concentration measured from samples with high, medium, and low spikes of CORT added along with calculated concentrations and estimates of percent recovery.</w:t>
      </w:r>
    </w:p>
    <w:p w14:paraId="65DE82B7" w14:textId="4C563E0F" w:rsidR="00ED4038" w:rsidRPr="007C3789" w:rsidRDefault="00ED4038" w:rsidP="00887BB4">
      <w:pPr>
        <w:rPr>
          <w:rFonts w:cstheme="minorHAnsi"/>
          <w:b/>
          <w:i/>
        </w:rPr>
      </w:pPr>
      <w:r w:rsidRPr="007C3789">
        <w:rPr>
          <w:rFonts w:cstheme="minorHAnsi"/>
          <w:b/>
          <w:i/>
        </w:rPr>
        <w:t>References:</w:t>
      </w:r>
    </w:p>
    <w:p w14:paraId="366751F3" w14:textId="2469AC72" w:rsidR="00ED4038" w:rsidRPr="007C3789" w:rsidRDefault="00ED4038" w:rsidP="00887BB4">
      <w:pPr>
        <w:rPr>
          <w:rFonts w:cstheme="minorHAnsi"/>
        </w:rPr>
      </w:pPr>
      <w:proofErr w:type="spellStart"/>
      <w:r w:rsidRPr="007C3789">
        <w:rPr>
          <w:rFonts w:cstheme="minorHAnsi"/>
        </w:rPr>
        <w:t>Zar</w:t>
      </w:r>
      <w:proofErr w:type="spellEnd"/>
      <w:r w:rsidRPr="007C3789">
        <w:rPr>
          <w:rFonts w:cstheme="minorHAnsi"/>
        </w:rPr>
        <w:t xml:space="preserve"> JH. Biostatistical </w:t>
      </w:r>
      <w:r w:rsidR="00E86CEE">
        <w:rPr>
          <w:rFonts w:cstheme="minorHAnsi"/>
        </w:rPr>
        <w:t>a</w:t>
      </w:r>
      <w:r w:rsidRPr="007C3789">
        <w:rPr>
          <w:rFonts w:cstheme="minorHAnsi"/>
        </w:rPr>
        <w:t>nalysis</w:t>
      </w:r>
      <w:r w:rsidR="00E86CEE">
        <w:rPr>
          <w:rFonts w:cstheme="minorHAnsi"/>
        </w:rPr>
        <w:t>.</w:t>
      </w:r>
      <w:r w:rsidRPr="007C3789">
        <w:rPr>
          <w:rFonts w:cstheme="minorHAnsi"/>
        </w:rPr>
        <w:t xml:space="preserve"> E</w:t>
      </w:r>
      <w:r w:rsidR="00E86CEE">
        <w:rPr>
          <w:rFonts w:cstheme="minorHAnsi"/>
        </w:rPr>
        <w:t>ngle</w:t>
      </w:r>
      <w:r w:rsidRPr="007C3789">
        <w:rPr>
          <w:rFonts w:cstheme="minorHAnsi"/>
        </w:rPr>
        <w:t>wood Cliffs</w:t>
      </w:r>
      <w:r w:rsidR="00E86CEE">
        <w:rPr>
          <w:rFonts w:cstheme="minorHAnsi"/>
        </w:rPr>
        <w:t>:</w:t>
      </w:r>
      <w:r w:rsidR="00E86CEE" w:rsidRPr="00E86CEE">
        <w:rPr>
          <w:rFonts w:cstheme="minorHAnsi"/>
        </w:rPr>
        <w:t xml:space="preserve"> </w:t>
      </w:r>
      <w:r w:rsidR="00E86CEE" w:rsidRPr="007C3789">
        <w:rPr>
          <w:rFonts w:cstheme="minorHAnsi"/>
        </w:rPr>
        <w:t>Prentice-Hall</w:t>
      </w:r>
      <w:r w:rsidR="00E86CEE">
        <w:rPr>
          <w:rFonts w:cstheme="minorHAnsi"/>
        </w:rPr>
        <w:t>; c1996</w:t>
      </w:r>
      <w:r w:rsidRPr="007C3789">
        <w:rPr>
          <w:rFonts w:cstheme="minorHAnsi"/>
        </w:rPr>
        <w:t>.</w:t>
      </w:r>
    </w:p>
    <w:sectPr w:rsidR="00ED4038" w:rsidRPr="007C3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19"/>
    <w:rsid w:val="001A2997"/>
    <w:rsid w:val="00245EE0"/>
    <w:rsid w:val="00290159"/>
    <w:rsid w:val="004C0A41"/>
    <w:rsid w:val="00511334"/>
    <w:rsid w:val="005529FA"/>
    <w:rsid w:val="00561B17"/>
    <w:rsid w:val="00577F12"/>
    <w:rsid w:val="005B7ED7"/>
    <w:rsid w:val="00666971"/>
    <w:rsid w:val="006A0128"/>
    <w:rsid w:val="00724C94"/>
    <w:rsid w:val="00752910"/>
    <w:rsid w:val="007C3789"/>
    <w:rsid w:val="007C3919"/>
    <w:rsid w:val="00830EFF"/>
    <w:rsid w:val="00887BB4"/>
    <w:rsid w:val="008E6821"/>
    <w:rsid w:val="009553AA"/>
    <w:rsid w:val="00970856"/>
    <w:rsid w:val="009A4FD3"/>
    <w:rsid w:val="00AC0985"/>
    <w:rsid w:val="00AD130A"/>
    <w:rsid w:val="00B010EB"/>
    <w:rsid w:val="00B74AAB"/>
    <w:rsid w:val="00DC4774"/>
    <w:rsid w:val="00E462FD"/>
    <w:rsid w:val="00E86CEE"/>
    <w:rsid w:val="00ED4038"/>
    <w:rsid w:val="00F2545E"/>
    <w:rsid w:val="00F32A36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321F"/>
  <w15:chartTrackingRefBased/>
  <w15:docId w15:val="{5E9E493F-2645-4302-B35F-D71987A7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0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cthawley</dc:creator>
  <cp:keywords/>
  <dc:description/>
  <cp:lastModifiedBy>cthawley</cp:lastModifiedBy>
  <cp:revision>2</cp:revision>
  <dcterms:created xsi:type="dcterms:W3CDTF">2019-10-05T00:23:00Z</dcterms:created>
  <dcterms:modified xsi:type="dcterms:W3CDTF">2019-10-05T00:23:00Z</dcterms:modified>
</cp:coreProperties>
</file>