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FE2E7C" w:rsidRPr="00DC67AE" w:rsidTr="006E2FF1">
        <w:tc>
          <w:tcPr>
            <w:tcW w:w="9062" w:type="dxa"/>
          </w:tcPr>
          <w:p w:rsidR="00FE2E7C" w:rsidRPr="00DC67AE" w:rsidRDefault="00FE2E7C" w:rsidP="006E2FF1">
            <w:pPr>
              <w:jc w:val="center"/>
              <w:rPr>
                <w:rFonts w:cstheme="minorHAnsi"/>
                <w:lang w:val="en-GB"/>
              </w:rPr>
            </w:pPr>
            <w:r w:rsidRPr="00DC67AE">
              <w:rPr>
                <w:rFonts w:cstheme="minorHAnsi"/>
                <w:noProof/>
                <w:lang w:val="en-GB" w:eastAsia="en-GB"/>
              </w:rPr>
              <w:drawing>
                <wp:inline distT="0" distB="0" distL="0" distR="0" wp14:anchorId="434C377B" wp14:editId="5DF938A8">
                  <wp:extent cx="5414400" cy="5174587"/>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14400" cy="5174587"/>
                          </a:xfrm>
                          <a:prstGeom prst="rect">
                            <a:avLst/>
                          </a:prstGeom>
                          <a:noFill/>
                        </pic:spPr>
                      </pic:pic>
                    </a:graphicData>
                  </a:graphic>
                </wp:inline>
              </w:drawing>
            </w:r>
          </w:p>
        </w:tc>
      </w:tr>
      <w:tr w:rsidR="00FE2E7C" w:rsidRPr="002B5BD2" w:rsidTr="006E2FF1">
        <w:tc>
          <w:tcPr>
            <w:tcW w:w="9062" w:type="dxa"/>
          </w:tcPr>
          <w:p w:rsidR="00FE2E7C" w:rsidRPr="00DC67AE" w:rsidRDefault="00FE2E7C" w:rsidP="006E2FF1">
            <w:pPr>
              <w:spacing w:before="240"/>
              <w:jc w:val="both"/>
              <w:rPr>
                <w:rFonts w:cstheme="minorHAnsi"/>
                <w:b/>
                <w:lang w:val="en-GB"/>
              </w:rPr>
            </w:pPr>
            <w:r w:rsidRPr="00DC67AE">
              <w:rPr>
                <w:rFonts w:cstheme="minorHAnsi"/>
                <w:b/>
                <w:lang w:val="en-GB"/>
              </w:rPr>
              <w:t>Fig. S1: Experimental setup of the memory capacity test</w:t>
            </w:r>
          </w:p>
          <w:p w:rsidR="00FE2E7C" w:rsidRPr="00DC67AE" w:rsidRDefault="00FE2E7C" w:rsidP="006E2FF1">
            <w:pPr>
              <w:jc w:val="both"/>
              <w:rPr>
                <w:rFonts w:cstheme="minorHAnsi"/>
                <w:lang w:val="en-GB"/>
              </w:rPr>
            </w:pPr>
            <w:r w:rsidRPr="00DC67AE">
              <w:rPr>
                <w:rFonts w:cstheme="minorHAnsi"/>
                <w:lang w:val="en-GB"/>
              </w:rPr>
              <w:t>Focal rats experienced either cooperating (provided food) or defecting (did not provide food, indicated by a cross across the pulling stick) social partners one or three days prior to the test phase. In the test phase (day 4), focal rats were enabled to provide food to their partners.</w:t>
            </w:r>
          </w:p>
        </w:tc>
      </w:tr>
    </w:tbl>
    <w:p w:rsidR="006A638E" w:rsidRPr="00FE2E7C" w:rsidRDefault="006A638E">
      <w:pPr>
        <w:rPr>
          <w:lang w:val="en-GB"/>
        </w:rPr>
      </w:pPr>
      <w:bookmarkStart w:id="0" w:name="_GoBack"/>
      <w:bookmarkEnd w:id="0"/>
    </w:p>
    <w:sectPr w:rsidR="006A638E" w:rsidRPr="00FE2E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E7C"/>
    <w:rsid w:val="006A638E"/>
    <w:rsid w:val="00FE2E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8E3F92-FFB5-4BA6-BC9B-574A21F69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E7C"/>
    <w:pPr>
      <w:spacing w:after="200" w:line="276" w:lineRule="auto"/>
    </w:pPr>
    <w:rPr>
      <w:lang w:val="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2E7C"/>
    <w:pPr>
      <w:spacing w:after="0" w:line="240" w:lineRule="auto"/>
    </w:pPr>
    <w:rPr>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St Andrews</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Manon Schweinfurth</dc:creator>
  <cp:keywords/>
  <dc:description/>
  <cp:lastModifiedBy>Manon Schweinfurth</cp:lastModifiedBy>
  <cp:revision>1</cp:revision>
  <dcterms:created xsi:type="dcterms:W3CDTF">2019-11-22T15:33:00Z</dcterms:created>
  <dcterms:modified xsi:type="dcterms:W3CDTF">2019-11-22T15:34:00Z</dcterms:modified>
</cp:coreProperties>
</file>