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A" w:rsidRPr="00FA500C" w:rsidRDefault="00EB34EA" w:rsidP="00EB34EA">
      <w:pPr>
        <w:spacing w:after="0" w:line="240" w:lineRule="auto"/>
        <w:rPr>
          <w:rFonts w:ascii="Arial" w:hAnsi="Arial" w:cs="Arial"/>
          <w:b/>
        </w:rPr>
      </w:pPr>
      <w:r w:rsidRPr="00FA500C">
        <w:rPr>
          <w:rFonts w:ascii="Arial" w:hAnsi="Arial" w:cs="Arial"/>
          <w:b/>
        </w:rPr>
        <w:t xml:space="preserve">Genetic convergence of industrial </w:t>
      </w:r>
      <w:proofErr w:type="spellStart"/>
      <w:r w:rsidRPr="00FA500C">
        <w:rPr>
          <w:rFonts w:ascii="Arial" w:hAnsi="Arial" w:cs="Arial"/>
          <w:b/>
        </w:rPr>
        <w:t>melanism</w:t>
      </w:r>
      <w:proofErr w:type="spellEnd"/>
      <w:r w:rsidRPr="00FA500C">
        <w:rPr>
          <w:rFonts w:ascii="Arial" w:hAnsi="Arial" w:cs="Arial"/>
          <w:b/>
        </w:rPr>
        <w:t xml:space="preserve"> in three geometrid moths</w:t>
      </w:r>
    </w:p>
    <w:p w:rsidR="0003416A" w:rsidRPr="00543B3F" w:rsidRDefault="0003416A" w:rsidP="0003416A">
      <w:pPr>
        <w:spacing w:before="120" w:after="0" w:line="240" w:lineRule="auto"/>
        <w:rPr>
          <w:rFonts w:ascii="Arial" w:hAnsi="Arial" w:cs="Arial"/>
        </w:rPr>
      </w:pPr>
      <w:r w:rsidRPr="00543B3F">
        <w:rPr>
          <w:rFonts w:ascii="Arial" w:hAnsi="Arial" w:cs="Arial"/>
        </w:rPr>
        <w:t xml:space="preserve">Arjen </w:t>
      </w:r>
      <w:r>
        <w:rPr>
          <w:rFonts w:ascii="Arial" w:hAnsi="Arial" w:cs="Arial"/>
        </w:rPr>
        <w:t xml:space="preserve">E </w:t>
      </w:r>
      <w:proofErr w:type="spellStart"/>
      <w:r w:rsidRPr="00543B3F">
        <w:rPr>
          <w:rFonts w:ascii="Arial" w:hAnsi="Arial" w:cs="Arial"/>
        </w:rPr>
        <w:t>van’t</w:t>
      </w:r>
      <w:proofErr w:type="spellEnd"/>
      <w:r w:rsidRPr="00543B3F">
        <w:rPr>
          <w:rFonts w:ascii="Arial" w:hAnsi="Arial" w:cs="Arial"/>
        </w:rPr>
        <w:t xml:space="preserve"> Hof</w:t>
      </w:r>
      <w:r>
        <w:rPr>
          <w:rFonts w:ascii="Arial" w:hAnsi="Arial" w:cs="Arial"/>
        </w:rPr>
        <w:t xml:space="preserve">, Louise </w:t>
      </w:r>
      <w:r w:rsidR="005275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Reynolds, Carl J Yung, Laurence M Cook, Ilik J Saccheri</w:t>
      </w:r>
    </w:p>
    <w:p w:rsidR="00EB34EA" w:rsidRDefault="00EB34EA" w:rsidP="00A70F93">
      <w:pPr>
        <w:spacing w:after="0" w:line="240" w:lineRule="auto"/>
        <w:rPr>
          <w:rFonts w:ascii="Arial" w:hAnsi="Arial" w:cs="Arial"/>
        </w:rPr>
      </w:pPr>
    </w:p>
    <w:p w:rsidR="0003416A" w:rsidRPr="000275D6" w:rsidRDefault="0003416A" w:rsidP="00A70F93">
      <w:pPr>
        <w:spacing w:after="0" w:line="240" w:lineRule="auto"/>
        <w:rPr>
          <w:rFonts w:ascii="Arial" w:hAnsi="Arial" w:cs="Arial"/>
        </w:rPr>
      </w:pPr>
    </w:p>
    <w:p w:rsidR="00EB34EA" w:rsidRDefault="00EB34EA" w:rsidP="00A70F93">
      <w:pPr>
        <w:spacing w:after="0" w:line="240" w:lineRule="auto"/>
        <w:rPr>
          <w:rFonts w:ascii="Arial" w:hAnsi="Arial" w:cs="Arial"/>
          <w:b/>
        </w:rPr>
      </w:pPr>
      <w:r w:rsidRPr="00EB34EA">
        <w:rPr>
          <w:rFonts w:ascii="Arial" w:hAnsi="Arial" w:cs="Arial"/>
          <w:b/>
        </w:rPr>
        <w:t>Supplementary figures and tables</w:t>
      </w:r>
    </w:p>
    <w:p w:rsidR="00A016F0" w:rsidRDefault="00A016F0" w:rsidP="00A70F93">
      <w:pPr>
        <w:spacing w:after="0" w:line="240" w:lineRule="auto"/>
        <w:rPr>
          <w:rFonts w:ascii="Arial" w:hAnsi="Arial" w:cs="Arial"/>
        </w:rPr>
      </w:pPr>
    </w:p>
    <w:p w:rsidR="00A70F93" w:rsidRDefault="00A016F0" w:rsidP="00A70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120130" cy="2039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map_res600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EA" w:rsidRPr="0022291F" w:rsidRDefault="00EB34EA" w:rsidP="00A70F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91F">
        <w:rPr>
          <w:rFonts w:ascii="Arial" w:hAnsi="Arial" w:cs="Arial"/>
          <w:b/>
          <w:sz w:val="20"/>
          <w:szCs w:val="20"/>
        </w:rPr>
        <w:t>Figure S1</w:t>
      </w:r>
      <w:r w:rsidR="003A3702" w:rsidRPr="0022291F">
        <w:rPr>
          <w:rFonts w:ascii="Arial" w:hAnsi="Arial" w:cs="Arial"/>
          <w:b/>
          <w:sz w:val="20"/>
          <w:szCs w:val="20"/>
        </w:rPr>
        <w:t>.</w:t>
      </w:r>
      <w:r w:rsidR="003A3702" w:rsidRPr="0022291F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3A3702" w:rsidRPr="0022291F">
        <w:rPr>
          <w:rFonts w:ascii="Arial" w:hAnsi="Arial" w:cs="Arial"/>
          <w:sz w:val="20"/>
          <w:szCs w:val="20"/>
        </w:rPr>
        <w:t>Maps of northern Britain showing the location of sampling sites for each species.</w:t>
      </w:r>
      <w:proofErr w:type="gramEnd"/>
      <w:r w:rsidR="003A3702" w:rsidRPr="0022291F">
        <w:rPr>
          <w:rFonts w:ascii="Arial" w:hAnsi="Arial" w:cs="Arial"/>
          <w:sz w:val="20"/>
          <w:szCs w:val="20"/>
        </w:rPr>
        <w:t xml:space="preserve"> The size of the circles is proportional to the sample size, and the colour indicates whether the sample contained typical (cream), intermediate (grey), and/or </w:t>
      </w:r>
      <w:proofErr w:type="spellStart"/>
      <w:r w:rsidR="003A3702" w:rsidRPr="0022291F">
        <w:rPr>
          <w:rFonts w:ascii="Arial" w:hAnsi="Arial" w:cs="Arial"/>
          <w:sz w:val="20"/>
          <w:szCs w:val="20"/>
        </w:rPr>
        <w:t>melanic</w:t>
      </w:r>
      <w:proofErr w:type="spellEnd"/>
      <w:r w:rsidR="003A3702" w:rsidRPr="0022291F">
        <w:rPr>
          <w:rFonts w:ascii="Arial" w:hAnsi="Arial" w:cs="Arial"/>
          <w:sz w:val="20"/>
          <w:szCs w:val="20"/>
        </w:rPr>
        <w:t xml:space="preserve"> (black) morphs.</w:t>
      </w:r>
      <w:r w:rsidR="006B27BA">
        <w:rPr>
          <w:rFonts w:ascii="Arial" w:hAnsi="Arial" w:cs="Arial"/>
          <w:sz w:val="20"/>
          <w:szCs w:val="20"/>
        </w:rPr>
        <w:t xml:space="preserve"> </w:t>
      </w:r>
      <w:r w:rsidR="003648FD">
        <w:rPr>
          <w:rFonts w:ascii="Arial" w:hAnsi="Arial" w:cs="Arial"/>
          <w:sz w:val="20"/>
          <w:szCs w:val="20"/>
        </w:rPr>
        <w:t>Numbers correspond to location # in Table S3.</w:t>
      </w:r>
    </w:p>
    <w:p w:rsidR="000275D6" w:rsidRDefault="000275D6" w:rsidP="00A70F93">
      <w:pPr>
        <w:spacing w:after="0" w:line="240" w:lineRule="auto"/>
        <w:rPr>
          <w:rFonts w:ascii="Arial" w:hAnsi="Arial" w:cs="Arial"/>
        </w:rPr>
      </w:pPr>
    </w:p>
    <w:p w:rsidR="006D3605" w:rsidRDefault="006D3605" w:rsidP="00A70F93">
      <w:pPr>
        <w:spacing w:after="0" w:line="240" w:lineRule="auto"/>
        <w:rPr>
          <w:rFonts w:ascii="Arial" w:hAnsi="Arial" w:cs="Arial"/>
        </w:rPr>
      </w:pPr>
    </w:p>
    <w:p w:rsidR="000275D6" w:rsidRPr="0022291F" w:rsidRDefault="00F125FF" w:rsidP="003404C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025C2">
        <w:rPr>
          <w:rFonts w:ascii="Arial" w:hAnsi="Arial" w:cs="Arial"/>
          <w:b/>
          <w:sz w:val="20"/>
          <w:szCs w:val="20"/>
        </w:rPr>
        <w:t>Table S3.</w:t>
      </w:r>
      <w:r w:rsidRPr="0022291F">
        <w:rPr>
          <w:rFonts w:ascii="Arial" w:hAnsi="Arial" w:cs="Arial"/>
          <w:sz w:val="20"/>
          <w:szCs w:val="20"/>
        </w:rPr>
        <w:t xml:space="preserve">  </w:t>
      </w:r>
      <w:r w:rsidR="008025C2">
        <w:rPr>
          <w:rFonts w:ascii="Arial" w:hAnsi="Arial" w:cs="Arial"/>
          <w:sz w:val="20"/>
          <w:szCs w:val="20"/>
        </w:rPr>
        <w:t>Summary of wild-caught samples used in this study.</w:t>
      </w:r>
    </w:p>
    <w:tbl>
      <w:tblPr>
        <w:tblStyle w:val="TableGrid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70"/>
        <w:gridCol w:w="3288"/>
        <w:gridCol w:w="1134"/>
        <w:gridCol w:w="1134"/>
        <w:gridCol w:w="737"/>
        <w:gridCol w:w="876"/>
        <w:gridCol w:w="876"/>
        <w:gridCol w:w="876"/>
      </w:tblGrid>
      <w:tr w:rsidR="0022291F" w:rsidRPr="006B0EFB" w:rsidTr="00A54B24">
        <w:trPr>
          <w:trHeight w:val="25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b/>
                <w:bCs/>
                <w:sz w:val="20"/>
                <w:szCs w:val="20"/>
              </w:rPr>
              <w:t>Loc</w:t>
            </w:r>
            <w:proofErr w:type="spellEnd"/>
            <w:r w:rsidRPr="006B0EFB">
              <w:rPr>
                <w:rFonts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B0EFB">
              <w:rPr>
                <w:rFonts w:cs="Arial"/>
                <w:b/>
                <w:bCs/>
                <w:sz w:val="20"/>
                <w:szCs w:val="20"/>
              </w:rPr>
              <w:t>Place Collected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22291F" w:rsidP="006B0EF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Long (W)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22291F" w:rsidP="006B0EFB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Lat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(N)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0EFB">
              <w:rPr>
                <w:rFonts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B0EFB">
              <w:rPr>
                <w:rFonts w:cs="Arial"/>
                <w:b/>
                <w:bCs/>
                <w:sz w:val="20"/>
                <w:szCs w:val="20"/>
              </w:rPr>
              <w:t>typical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b/>
                <w:bCs/>
                <w:sz w:val="20"/>
                <w:szCs w:val="20"/>
              </w:rPr>
              <w:t>melanic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</w:t>
            </w:r>
          </w:p>
        </w:tc>
      </w:tr>
      <w:tr w:rsidR="00E15EEE" w:rsidRPr="006B0EFB" w:rsidTr="00457ACF">
        <w:trPr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>Phigalia</w:t>
            </w:r>
            <w:proofErr w:type="spellEnd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>pilosaria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Heaton Moor, Stockport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2°11'44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53°25'17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Millhouses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Lancashire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2°35'10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54°06'14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Cuerden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 xml:space="preserve"> Valley Park, Lancashire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2°39'37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53°42'28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7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Malpas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Cheshire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2°46'07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53°01'24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Ardentinny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Argyll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4°54'38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56°02'39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</w:tr>
      <w:tr w:rsidR="00E15EEE" w:rsidRPr="006B0EFB" w:rsidTr="0069468D">
        <w:trPr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>Odontopera</w:t>
            </w:r>
            <w:proofErr w:type="spellEnd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>bidentata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Leicester, East Midlands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1°03'25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52°37'59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Castle Eden Dene, County Durham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1°20'05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54°44'45</w:t>
            </w:r>
            <w:r w:rsidR="0022291F">
              <w:rPr>
                <w:rFonts w:cs="Arial"/>
                <w:sz w:val="20"/>
                <w:szCs w:val="20"/>
              </w:rPr>
              <w:t>”</w:t>
            </w:r>
            <w:r w:rsidRPr="006B0EF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Malham Tarn Wood, Yorkshire Dales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2°09'50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54°06'04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Heaton Moor, Stockport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2°11'44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53°25'17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Swinton, Greater Manchester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477A7D" w:rsidP="006B0E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2°21'08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477A7D" w:rsidP="006B0E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53°29'47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Kielder Forest, Northumberland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2°34'49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55°14'15</w:t>
            </w:r>
            <w:r w:rsidR="0022291F">
              <w:rPr>
                <w:rFonts w:cs="Arial"/>
                <w:sz w:val="20"/>
                <w:szCs w:val="20"/>
              </w:rPr>
              <w:t>”</w:t>
            </w:r>
            <w:r w:rsidRPr="006B0EF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Heath Charnock, Lancashire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2°35'26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53°37'21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Malpas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Cheshire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2°46'07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53°01'24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Morecambe, Lancashire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2°51'05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54°03'58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  <w:r w:rsidRPr="006B0EF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Greasby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Wirral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3°06'29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53°22'28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Rowardennan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Stirlingshire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4°36'40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56°07'45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na</w:t>
            </w:r>
            <w:proofErr w:type="spellEnd"/>
          </w:p>
        </w:tc>
      </w:tr>
      <w:tr w:rsidR="00E15EEE" w:rsidRPr="006B0EFB" w:rsidTr="00C01DEA">
        <w:trPr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>Biston</w:t>
            </w:r>
            <w:proofErr w:type="spellEnd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5EEE">
              <w:rPr>
                <w:rFonts w:cs="Arial"/>
                <w:b/>
                <w:bCs/>
                <w:i/>
                <w:iCs/>
                <w:sz w:val="20"/>
                <w:szCs w:val="20"/>
              </w:rPr>
              <w:t>betularia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6B0E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E15EEE" w:rsidRPr="006B0EFB" w:rsidRDefault="00E15EEE" w:rsidP="009759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Morkery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 xml:space="preserve"> Wood, Lincolnshire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0°35'44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52°45'22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Middleton Park, Leeds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1°33'14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53°45'17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Kirklees Hall, West Yorkshire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1°44'43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53°41'52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Ogden Reservoir, Rochdale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2°04'48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53°36'22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Woodbank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 xml:space="preserve"> Park, Stockport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2°07'51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53°24'37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Calderstones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 xml:space="preserve"> Park, Liverpool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2°53'50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53°22'51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Caldy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Wirral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3°09'58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53°22'01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Greasby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Wirral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3°06'28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53°22'27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88" w:type="dxa"/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Burton Wood, Wirral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3°01'47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53°15'50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737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  <w:tr w:rsidR="0022291F" w:rsidRPr="006B0EFB" w:rsidTr="00A54B24">
        <w:trPr>
          <w:trHeight w:val="255"/>
        </w:trPr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EFB">
              <w:rPr>
                <w:rFonts w:cs="Arial"/>
                <w:sz w:val="20"/>
                <w:szCs w:val="20"/>
              </w:rPr>
              <w:t>Mostyn</w:t>
            </w:r>
            <w:proofErr w:type="spellEnd"/>
            <w:r w:rsidRPr="006B0EFB">
              <w:rPr>
                <w:rFonts w:cs="Arial"/>
                <w:sz w:val="20"/>
                <w:szCs w:val="20"/>
              </w:rPr>
              <w:t>, Flintshire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3°16'26</w:t>
            </w:r>
            <w:r w:rsidR="0022291F">
              <w:rPr>
                <w:rFonts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6B0EFB">
            <w:pPr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53°18'20</w:t>
            </w:r>
            <w:r w:rsidR="0022291F">
              <w:rPr>
                <w:rFonts w:cs="Arial"/>
                <w:sz w:val="20"/>
                <w:szCs w:val="20"/>
              </w:rPr>
              <w:t>”</w:t>
            </w:r>
            <w:r w:rsidRPr="006B0EF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6B0EFB" w:rsidRPr="006B0EFB" w:rsidRDefault="006B0EFB" w:rsidP="00975935">
            <w:pPr>
              <w:jc w:val="center"/>
              <w:rPr>
                <w:rFonts w:cs="Arial"/>
                <w:sz w:val="20"/>
                <w:szCs w:val="20"/>
              </w:rPr>
            </w:pPr>
            <w:r w:rsidRPr="006B0EFB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557A0" w:rsidRPr="008E382B" w:rsidRDefault="001557A0">
      <w:pPr>
        <w:rPr>
          <w:rFonts w:ascii="Arial" w:hAnsi="Arial" w:cs="Arial"/>
        </w:rPr>
      </w:pPr>
      <w:r w:rsidRPr="008E382B">
        <w:rPr>
          <w:rFonts w:ascii="Arial" w:hAnsi="Arial" w:cs="Arial"/>
        </w:rPr>
        <w:br w:type="page"/>
      </w:r>
    </w:p>
    <w:p w:rsidR="007D26C0" w:rsidRPr="00EB34EA" w:rsidRDefault="007D26C0" w:rsidP="00416F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m</w:t>
      </w:r>
      <w:r w:rsidRPr="00EB34EA">
        <w:rPr>
          <w:rFonts w:ascii="Arial" w:hAnsi="Arial" w:cs="Arial"/>
          <w:b/>
        </w:rPr>
        <w:t>aterials &amp; methods</w:t>
      </w:r>
    </w:p>
    <w:p w:rsidR="007D26C0" w:rsidRDefault="007D26C0" w:rsidP="00416F97">
      <w:pPr>
        <w:spacing w:after="0" w:line="240" w:lineRule="auto"/>
        <w:rPr>
          <w:rFonts w:ascii="Arial" w:hAnsi="Arial" w:cs="Arial"/>
        </w:rPr>
      </w:pPr>
    </w:p>
    <w:p w:rsidR="00416F97" w:rsidRPr="00416F97" w:rsidRDefault="00416F97" w:rsidP="00416F97">
      <w:pPr>
        <w:spacing w:after="0"/>
        <w:rPr>
          <w:rFonts w:ascii="Arial" w:hAnsi="Arial" w:cs="Arial"/>
          <w:b/>
        </w:rPr>
      </w:pPr>
      <w:proofErr w:type="spellStart"/>
      <w:r w:rsidRPr="00416F97">
        <w:rPr>
          <w:rFonts w:ascii="Arial" w:hAnsi="Arial" w:cs="Arial"/>
          <w:b/>
          <w:i/>
        </w:rPr>
        <w:t>Biston</w:t>
      </w:r>
      <w:proofErr w:type="spellEnd"/>
      <w:r w:rsidRPr="00416F97">
        <w:rPr>
          <w:rFonts w:ascii="Arial" w:hAnsi="Arial" w:cs="Arial"/>
          <w:b/>
          <w:i/>
        </w:rPr>
        <w:t xml:space="preserve"> </w:t>
      </w:r>
      <w:proofErr w:type="spellStart"/>
      <w:r w:rsidRPr="00416F97">
        <w:rPr>
          <w:rFonts w:ascii="Arial" w:hAnsi="Arial" w:cs="Arial"/>
          <w:b/>
          <w:i/>
        </w:rPr>
        <w:t>betularia</w:t>
      </w:r>
      <w:proofErr w:type="spellEnd"/>
      <w:r w:rsidRPr="00416F97">
        <w:rPr>
          <w:rFonts w:ascii="Arial" w:hAnsi="Arial" w:cs="Arial"/>
          <w:b/>
        </w:rPr>
        <w:t xml:space="preserve"> linkage mapping</w:t>
      </w:r>
    </w:p>
    <w:p w:rsidR="00416F97" w:rsidRPr="00416F97" w:rsidRDefault="00416F97" w:rsidP="00416F97">
      <w:pPr>
        <w:spacing w:after="0"/>
        <w:rPr>
          <w:rFonts w:ascii="Arial" w:hAnsi="Arial" w:cs="Arial"/>
        </w:rPr>
      </w:pPr>
      <w:r w:rsidRPr="00416F97">
        <w:rPr>
          <w:rFonts w:ascii="Arial" w:hAnsi="Arial" w:cs="Arial"/>
        </w:rPr>
        <w:t xml:space="preserve">Markers on the </w:t>
      </w:r>
      <w:r w:rsidRPr="00397F14">
        <w:rPr>
          <w:rFonts w:ascii="Arial" w:hAnsi="Arial" w:cs="Arial"/>
          <w:i/>
        </w:rPr>
        <w:t xml:space="preserve">B. </w:t>
      </w:r>
      <w:proofErr w:type="spellStart"/>
      <w:r w:rsidRPr="00397F14">
        <w:rPr>
          <w:rFonts w:ascii="Arial" w:hAnsi="Arial" w:cs="Arial"/>
          <w:i/>
        </w:rPr>
        <w:t>betularia</w:t>
      </w:r>
      <w:proofErr w:type="spellEnd"/>
      <w:r w:rsidRPr="00416F97">
        <w:rPr>
          <w:rFonts w:ascii="Arial" w:hAnsi="Arial" w:cs="Arial"/>
        </w:rPr>
        <w:t xml:space="preserve"> linkage map were partly mapped and partly assigned to mapping intervals. Markers positioned between two non-recombinant markers have a segregation pattern identical to the mapped surroun</w:t>
      </w:r>
      <w:r w:rsidR="00397F14">
        <w:rPr>
          <w:rFonts w:ascii="Arial" w:hAnsi="Arial" w:cs="Arial"/>
        </w:rPr>
        <w:t xml:space="preserve">ding markers and therefore the </w:t>
      </w:r>
      <w:r w:rsidRPr="00416F97">
        <w:rPr>
          <w:rFonts w:ascii="Arial" w:hAnsi="Arial" w:cs="Arial"/>
        </w:rPr>
        <w:t xml:space="preserve">same </w:t>
      </w:r>
      <w:proofErr w:type="spellStart"/>
      <w:r w:rsidRPr="00416F97">
        <w:rPr>
          <w:rFonts w:ascii="Arial" w:hAnsi="Arial" w:cs="Arial"/>
        </w:rPr>
        <w:t>centiMorgan</w:t>
      </w:r>
      <w:proofErr w:type="spellEnd"/>
      <w:r w:rsidRPr="00416F97">
        <w:rPr>
          <w:rFonts w:ascii="Arial" w:hAnsi="Arial" w:cs="Arial"/>
        </w:rPr>
        <w:t xml:space="preserve"> position. The mapping position of </w:t>
      </w:r>
      <w:proofErr w:type="spellStart"/>
      <w:r w:rsidRPr="00397F14">
        <w:rPr>
          <w:rFonts w:ascii="Arial" w:hAnsi="Arial" w:cs="Arial"/>
          <w:i/>
        </w:rPr>
        <w:t>Trehalase</w:t>
      </w:r>
      <w:proofErr w:type="spellEnd"/>
      <w:r w:rsidRPr="00397F14">
        <w:rPr>
          <w:rFonts w:ascii="Arial" w:hAnsi="Arial" w:cs="Arial"/>
          <w:i/>
        </w:rPr>
        <w:t xml:space="preserve"> 1A</w:t>
      </w:r>
      <w:r w:rsidRPr="00416F97">
        <w:rPr>
          <w:rFonts w:ascii="Arial" w:hAnsi="Arial" w:cs="Arial"/>
        </w:rPr>
        <w:t xml:space="preserve"> and </w:t>
      </w:r>
      <w:r w:rsidRPr="00397F14">
        <w:rPr>
          <w:rFonts w:ascii="Arial" w:hAnsi="Arial" w:cs="Arial"/>
          <w:i/>
        </w:rPr>
        <w:t>unkempt</w:t>
      </w:r>
      <w:r w:rsidRPr="00416F97">
        <w:rPr>
          <w:rFonts w:ascii="Arial" w:hAnsi="Arial" w:cs="Arial"/>
        </w:rPr>
        <w:t xml:space="preserve"> could be inferred from the segregation pattern of surrounding fully-linked mapped genes</w:t>
      </w:r>
      <w:r w:rsidR="00397F14">
        <w:rPr>
          <w:rFonts w:ascii="Arial" w:hAnsi="Arial" w:cs="Arial"/>
        </w:rPr>
        <w:t xml:space="preserve"> (</w:t>
      </w:r>
      <w:proofErr w:type="spellStart"/>
      <w:r w:rsidRPr="00397F14">
        <w:rPr>
          <w:rFonts w:ascii="Arial" w:hAnsi="Arial" w:cs="Arial"/>
          <w:i/>
        </w:rPr>
        <w:t>Trehalase</w:t>
      </w:r>
      <w:proofErr w:type="spellEnd"/>
      <w:r w:rsidRPr="00397F14">
        <w:rPr>
          <w:rFonts w:ascii="Arial" w:hAnsi="Arial" w:cs="Arial"/>
          <w:i/>
        </w:rPr>
        <w:t xml:space="preserve"> 1B</w:t>
      </w:r>
      <w:r w:rsidR="00397F14">
        <w:rPr>
          <w:rFonts w:ascii="Arial" w:hAnsi="Arial" w:cs="Arial"/>
        </w:rPr>
        <w:t xml:space="preserve"> and </w:t>
      </w:r>
      <w:proofErr w:type="spellStart"/>
      <w:r w:rsidRPr="00397F14">
        <w:rPr>
          <w:rFonts w:ascii="Arial" w:hAnsi="Arial" w:cs="Arial"/>
          <w:i/>
        </w:rPr>
        <w:t>isoQC</w:t>
      </w:r>
      <w:r w:rsidR="00397F14">
        <w:rPr>
          <w:rFonts w:ascii="Arial" w:hAnsi="Arial" w:cs="Arial"/>
          <w:i/>
        </w:rPr>
        <w:t>I</w:t>
      </w:r>
      <w:proofErr w:type="spellEnd"/>
      <w:r w:rsidR="00397F14">
        <w:rPr>
          <w:rFonts w:ascii="Arial" w:hAnsi="Arial" w:cs="Arial"/>
          <w:i/>
        </w:rPr>
        <w:t>)</w:t>
      </w:r>
      <w:r w:rsidRPr="00416F97">
        <w:rPr>
          <w:rFonts w:ascii="Arial" w:hAnsi="Arial" w:cs="Arial"/>
        </w:rPr>
        <w:t>, and</w:t>
      </w:r>
      <w:r w:rsidR="00397F14">
        <w:rPr>
          <w:rFonts w:ascii="Arial" w:hAnsi="Arial" w:cs="Arial"/>
        </w:rPr>
        <w:t xml:space="preserve"> the position of</w:t>
      </w:r>
      <w:r w:rsidRPr="00416F97">
        <w:rPr>
          <w:rFonts w:ascii="Arial" w:hAnsi="Arial" w:cs="Arial"/>
        </w:rPr>
        <w:t xml:space="preserve"> </w:t>
      </w:r>
      <w:r w:rsidRPr="00397F14">
        <w:rPr>
          <w:rFonts w:ascii="Arial" w:hAnsi="Arial" w:cs="Arial"/>
          <w:i/>
        </w:rPr>
        <w:t>p26s-su4</w:t>
      </w:r>
      <w:r w:rsidRPr="00416F97">
        <w:rPr>
          <w:rFonts w:ascii="Arial" w:hAnsi="Arial" w:cs="Arial"/>
        </w:rPr>
        <w:t xml:space="preserve"> from </w:t>
      </w:r>
      <w:r w:rsidR="00397F14" w:rsidRPr="00397F14">
        <w:rPr>
          <w:rFonts w:ascii="Arial" w:hAnsi="Arial" w:cs="Arial"/>
          <w:i/>
        </w:rPr>
        <w:t>HEATR2</w:t>
      </w:r>
      <w:r w:rsidR="00397F14">
        <w:rPr>
          <w:rFonts w:ascii="Arial" w:hAnsi="Arial" w:cs="Arial"/>
        </w:rPr>
        <w:t xml:space="preserve"> and </w:t>
      </w:r>
      <w:r w:rsidR="004D0BE7">
        <w:rPr>
          <w:rFonts w:ascii="Arial" w:hAnsi="Arial" w:cs="Arial"/>
          <w:i/>
        </w:rPr>
        <w:t>lethal</w:t>
      </w:r>
      <w:r w:rsidR="00E20965">
        <w:rPr>
          <w:rFonts w:ascii="Arial" w:hAnsi="Arial" w:cs="Arial"/>
          <w:i/>
        </w:rPr>
        <w:t xml:space="preserve"> </w:t>
      </w:r>
      <w:r w:rsidRPr="004D0BE7">
        <w:rPr>
          <w:rFonts w:ascii="Arial" w:hAnsi="Arial" w:cs="Arial"/>
          <w:i/>
        </w:rPr>
        <w:t>(2)</w:t>
      </w:r>
      <w:r w:rsidRPr="00416F97">
        <w:rPr>
          <w:rFonts w:ascii="Arial" w:hAnsi="Arial" w:cs="Arial"/>
        </w:rPr>
        <w:t xml:space="preserve">. </w:t>
      </w:r>
      <w:proofErr w:type="spellStart"/>
      <w:r w:rsidRPr="00397F14">
        <w:rPr>
          <w:rFonts w:ascii="Arial" w:hAnsi="Arial" w:cs="Arial"/>
          <w:i/>
        </w:rPr>
        <w:t>Trehalase</w:t>
      </w:r>
      <w:proofErr w:type="spellEnd"/>
      <w:r w:rsidRPr="00397F14">
        <w:rPr>
          <w:rFonts w:ascii="Arial" w:hAnsi="Arial" w:cs="Arial"/>
          <w:i/>
        </w:rPr>
        <w:t xml:space="preserve"> 1B</w:t>
      </w:r>
      <w:r w:rsidRPr="00416F97">
        <w:rPr>
          <w:rFonts w:ascii="Arial" w:hAnsi="Arial" w:cs="Arial"/>
        </w:rPr>
        <w:t xml:space="preserve"> and </w:t>
      </w:r>
      <w:proofErr w:type="spellStart"/>
      <w:r w:rsidRPr="00397F14">
        <w:rPr>
          <w:rFonts w:ascii="Arial" w:hAnsi="Arial" w:cs="Arial"/>
          <w:i/>
        </w:rPr>
        <w:t>isoQC</w:t>
      </w:r>
      <w:proofErr w:type="spellEnd"/>
      <w:r w:rsidRPr="00416F97">
        <w:rPr>
          <w:rFonts w:ascii="Arial" w:hAnsi="Arial" w:cs="Arial"/>
        </w:rPr>
        <w:t xml:space="preserve"> are not shown in the </w:t>
      </w:r>
      <w:r w:rsidRPr="00397F14">
        <w:rPr>
          <w:rFonts w:ascii="Arial" w:hAnsi="Arial" w:cs="Arial"/>
          <w:i/>
        </w:rPr>
        <w:t xml:space="preserve">B. </w:t>
      </w:r>
      <w:proofErr w:type="spellStart"/>
      <w:r w:rsidRPr="00397F14">
        <w:rPr>
          <w:rFonts w:ascii="Arial" w:hAnsi="Arial" w:cs="Arial"/>
          <w:i/>
        </w:rPr>
        <w:t>betularia</w:t>
      </w:r>
      <w:proofErr w:type="spellEnd"/>
      <w:r w:rsidRPr="00416F97">
        <w:rPr>
          <w:rFonts w:ascii="Arial" w:hAnsi="Arial" w:cs="Arial"/>
        </w:rPr>
        <w:t xml:space="preserve"> linkage map (Fig. 2a) because they were not mapped in </w:t>
      </w:r>
      <w:r w:rsidRPr="00397F14">
        <w:rPr>
          <w:rFonts w:ascii="Arial" w:hAnsi="Arial" w:cs="Arial"/>
          <w:i/>
        </w:rPr>
        <w:t xml:space="preserve">P. </w:t>
      </w:r>
      <w:proofErr w:type="spellStart"/>
      <w:r w:rsidRPr="00397F14">
        <w:rPr>
          <w:rFonts w:ascii="Arial" w:hAnsi="Arial" w:cs="Arial"/>
          <w:i/>
        </w:rPr>
        <w:t>pilosaria</w:t>
      </w:r>
      <w:proofErr w:type="spellEnd"/>
      <w:r w:rsidRPr="00416F97">
        <w:rPr>
          <w:rFonts w:ascii="Arial" w:hAnsi="Arial" w:cs="Arial"/>
        </w:rPr>
        <w:t xml:space="preserve"> and </w:t>
      </w:r>
      <w:r w:rsidRPr="00397F14">
        <w:rPr>
          <w:rFonts w:ascii="Arial" w:hAnsi="Arial" w:cs="Arial"/>
          <w:i/>
        </w:rPr>
        <w:t xml:space="preserve">O. </w:t>
      </w:r>
      <w:proofErr w:type="spellStart"/>
      <w:r w:rsidRPr="00397F14">
        <w:rPr>
          <w:rFonts w:ascii="Arial" w:hAnsi="Arial" w:cs="Arial"/>
          <w:i/>
        </w:rPr>
        <w:t>bidentata</w:t>
      </w:r>
      <w:proofErr w:type="spellEnd"/>
      <w:r w:rsidRPr="00416F97">
        <w:rPr>
          <w:rFonts w:ascii="Arial" w:hAnsi="Arial" w:cs="Arial"/>
        </w:rPr>
        <w:t>.</w:t>
      </w:r>
    </w:p>
    <w:p w:rsidR="007D26C0" w:rsidRDefault="007D26C0" w:rsidP="00416F97">
      <w:pPr>
        <w:spacing w:after="0"/>
        <w:rPr>
          <w:rFonts w:ascii="Arial" w:hAnsi="Arial" w:cs="Arial"/>
        </w:rPr>
      </w:pPr>
    </w:p>
    <w:p w:rsidR="00D263BA" w:rsidRPr="00D263BA" w:rsidRDefault="00D263BA" w:rsidP="00416F97">
      <w:pPr>
        <w:spacing w:after="0"/>
        <w:rPr>
          <w:rFonts w:ascii="Arial" w:hAnsi="Arial" w:cs="Arial"/>
          <w:b/>
        </w:rPr>
      </w:pPr>
      <w:r w:rsidRPr="00D263BA">
        <w:rPr>
          <w:rFonts w:ascii="Arial" w:hAnsi="Arial" w:cs="Arial"/>
          <w:b/>
        </w:rPr>
        <w:t>Linkage disequilibrium markers</w:t>
      </w:r>
    </w:p>
    <w:p w:rsidR="00D263BA" w:rsidRPr="00D263BA" w:rsidRDefault="00D263BA" w:rsidP="00416F97">
      <w:pPr>
        <w:spacing w:after="0"/>
        <w:rPr>
          <w:rFonts w:ascii="Arial" w:hAnsi="Arial" w:cs="Arial"/>
        </w:rPr>
      </w:pPr>
      <w:r w:rsidRPr="00D263BA">
        <w:rPr>
          <w:rFonts w:ascii="Arial" w:hAnsi="Arial" w:cs="Arial"/>
        </w:rPr>
        <w:t xml:space="preserve">Locus </w:t>
      </w:r>
      <w:r w:rsidRPr="00D263BA">
        <w:rPr>
          <w:rFonts w:ascii="Arial" w:hAnsi="Arial" w:cs="Arial"/>
          <w:i/>
        </w:rPr>
        <w:t>c</w:t>
      </w:r>
      <w:r w:rsidRPr="00D263BA">
        <w:rPr>
          <w:rFonts w:ascii="Arial" w:hAnsi="Arial" w:cs="Arial"/>
        </w:rPr>
        <w:t xml:space="preserve">, situated in the large intron 1 of </w:t>
      </w:r>
      <w:r w:rsidRPr="00D263BA">
        <w:rPr>
          <w:rFonts w:ascii="Arial" w:hAnsi="Arial" w:cs="Arial"/>
          <w:i/>
        </w:rPr>
        <w:t>cortex</w:t>
      </w:r>
      <w:r w:rsidRPr="00D263BA">
        <w:rPr>
          <w:rFonts w:ascii="Arial" w:hAnsi="Arial" w:cs="Arial"/>
        </w:rPr>
        <w:t xml:space="preserve">, was obtained using non-coding sequence similarity because it lies too far from exon 1 </w:t>
      </w:r>
      <w:bookmarkStart w:id="0" w:name="_GoBack"/>
      <w:bookmarkEnd w:id="0"/>
      <w:r w:rsidRPr="00D263BA">
        <w:rPr>
          <w:rFonts w:ascii="Arial" w:hAnsi="Arial" w:cs="Arial"/>
        </w:rPr>
        <w:t xml:space="preserve">and 2 to be reached by local read assembly. Loci </w:t>
      </w:r>
      <w:r w:rsidRPr="00D263BA">
        <w:rPr>
          <w:rFonts w:ascii="Arial" w:hAnsi="Arial" w:cs="Arial"/>
          <w:i/>
        </w:rPr>
        <w:t>a, b, d, e</w:t>
      </w:r>
      <w:r w:rsidRPr="00D263BA">
        <w:rPr>
          <w:rFonts w:ascii="Arial" w:hAnsi="Arial" w:cs="Arial"/>
        </w:rPr>
        <w:t xml:space="preserve"> sequences lie near or inside exons and were obtained as described for the linkage mapping markers. </w:t>
      </w:r>
      <w:proofErr w:type="gramStart"/>
      <w:r w:rsidRPr="00D263BA">
        <w:rPr>
          <w:rFonts w:ascii="Arial" w:hAnsi="Arial" w:cs="Arial"/>
          <w:i/>
        </w:rPr>
        <w:t>Cortex</w:t>
      </w:r>
      <w:r w:rsidRPr="00D263BA">
        <w:rPr>
          <w:rFonts w:ascii="Arial" w:hAnsi="Arial" w:cs="Arial"/>
        </w:rPr>
        <w:t xml:space="preserve"> exon 1, which is too small and divergent to identify from sequence reads, was identified by 5’RACE and extended by local read assembly.</w:t>
      </w:r>
      <w:proofErr w:type="gramEnd"/>
    </w:p>
    <w:sectPr w:rsidR="00D263BA" w:rsidRPr="00D263BA" w:rsidSect="00316D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93"/>
    <w:rsid w:val="000275D6"/>
    <w:rsid w:val="0003416A"/>
    <w:rsid w:val="000D288E"/>
    <w:rsid w:val="001557A0"/>
    <w:rsid w:val="0022291F"/>
    <w:rsid w:val="00316DCE"/>
    <w:rsid w:val="003404C8"/>
    <w:rsid w:val="003648FD"/>
    <w:rsid w:val="00397F14"/>
    <w:rsid w:val="003A3702"/>
    <w:rsid w:val="00416F97"/>
    <w:rsid w:val="00477A7D"/>
    <w:rsid w:val="004D0BE7"/>
    <w:rsid w:val="00527581"/>
    <w:rsid w:val="00545FAC"/>
    <w:rsid w:val="0060223E"/>
    <w:rsid w:val="00696D5A"/>
    <w:rsid w:val="006B0EFB"/>
    <w:rsid w:val="006B27BA"/>
    <w:rsid w:val="006D3605"/>
    <w:rsid w:val="007D26C0"/>
    <w:rsid w:val="008025C2"/>
    <w:rsid w:val="00814D12"/>
    <w:rsid w:val="008E382B"/>
    <w:rsid w:val="00975935"/>
    <w:rsid w:val="00A016F0"/>
    <w:rsid w:val="00A05D79"/>
    <w:rsid w:val="00A42BD9"/>
    <w:rsid w:val="00A54B24"/>
    <w:rsid w:val="00A70F93"/>
    <w:rsid w:val="00A77DDD"/>
    <w:rsid w:val="00AF0066"/>
    <w:rsid w:val="00D263BA"/>
    <w:rsid w:val="00E15EEE"/>
    <w:rsid w:val="00E20965"/>
    <w:rsid w:val="00EB34EA"/>
    <w:rsid w:val="00F125FF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1FF-6A03-4F36-995C-51A219CE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IJS</dc:creator>
  <cp:lastModifiedBy>IJS</cp:lastModifiedBy>
  <cp:revision>36</cp:revision>
  <dcterms:created xsi:type="dcterms:W3CDTF">2019-06-19T12:18:00Z</dcterms:created>
  <dcterms:modified xsi:type="dcterms:W3CDTF">2019-08-05T10:28:00Z</dcterms:modified>
</cp:coreProperties>
</file>