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BE4F5" w14:textId="4B24F522" w:rsidR="004C14D5" w:rsidRDefault="004C14D5" w:rsidP="004C14D5">
      <w:pPr>
        <w:spacing w:line="480" w:lineRule="auto"/>
        <w:jc w:val="center"/>
        <w:outlineLvl w:val="0"/>
        <w:rPr>
          <w:b/>
          <w:sz w:val="24"/>
          <w:szCs w:val="24"/>
          <w:lang w:val="en-GB"/>
        </w:rPr>
      </w:pPr>
      <w:bookmarkStart w:id="0" w:name="_GoBack"/>
      <w:bookmarkEnd w:id="0"/>
      <w:r>
        <w:rPr>
          <w:b/>
          <w:sz w:val="24"/>
          <w:szCs w:val="24"/>
          <w:lang w:val="en-GB"/>
        </w:rPr>
        <w:t>Supplementary information of the manuscript</w:t>
      </w:r>
    </w:p>
    <w:p w14:paraId="63DD0732" w14:textId="77777777" w:rsidR="004C14D5" w:rsidRPr="009877E6" w:rsidRDefault="004C14D5" w:rsidP="004C14D5">
      <w:pPr>
        <w:spacing w:line="480" w:lineRule="auto"/>
        <w:jc w:val="center"/>
        <w:outlineLvl w:val="0"/>
        <w:rPr>
          <w:b/>
          <w:sz w:val="24"/>
          <w:szCs w:val="24"/>
          <w:lang w:val="en-GB"/>
        </w:rPr>
      </w:pPr>
    </w:p>
    <w:p w14:paraId="62F6FE73" w14:textId="77777777" w:rsidR="004C14D5" w:rsidRPr="001907BD" w:rsidRDefault="004C14D5" w:rsidP="004C14D5">
      <w:pPr>
        <w:spacing w:line="480" w:lineRule="auto"/>
        <w:rPr>
          <w:rFonts w:ascii="Times" w:eastAsia="Times New Roman" w:hAnsi="Times"/>
          <w:i/>
          <w:iCs/>
          <w:sz w:val="24"/>
          <w:szCs w:val="24"/>
          <w:lang w:val="en-AU"/>
        </w:rPr>
      </w:pPr>
      <w:r w:rsidRPr="001907BD">
        <w:rPr>
          <w:rFonts w:eastAsia="Times New Roman"/>
          <w:i/>
          <w:iCs/>
          <w:color w:val="000000"/>
          <w:sz w:val="24"/>
          <w:szCs w:val="24"/>
          <w:shd w:val="clear" w:color="auto" w:fill="FFFFFF"/>
          <w:lang w:val="en-AU"/>
        </w:rPr>
        <w:t>Recalibration of insect evolutionary timescale using Mount San Giorgio fossils suggests survival of key lineages through the End-Permian Extinction</w:t>
      </w:r>
    </w:p>
    <w:p w14:paraId="388C65A8" w14:textId="77777777" w:rsidR="004C14D5" w:rsidRPr="009877E6" w:rsidRDefault="004C14D5" w:rsidP="004C14D5">
      <w:pPr>
        <w:spacing w:line="480" w:lineRule="auto"/>
        <w:jc w:val="both"/>
        <w:rPr>
          <w:b/>
          <w:sz w:val="24"/>
          <w:szCs w:val="24"/>
          <w:lang w:val="en-GB"/>
        </w:rPr>
      </w:pPr>
    </w:p>
    <w:p w14:paraId="7D24BCBD" w14:textId="77777777" w:rsidR="004C14D5" w:rsidRPr="00EB6852" w:rsidRDefault="004C14D5" w:rsidP="004C14D5">
      <w:pPr>
        <w:spacing w:line="480" w:lineRule="auto"/>
        <w:jc w:val="both"/>
        <w:outlineLvl w:val="0"/>
        <w:rPr>
          <w:i/>
          <w:sz w:val="24"/>
          <w:szCs w:val="24"/>
          <w:lang w:val="it-IT"/>
        </w:rPr>
      </w:pPr>
      <w:r w:rsidRPr="00EB6852">
        <w:rPr>
          <w:i/>
          <w:sz w:val="24"/>
          <w:szCs w:val="24"/>
          <w:lang w:val="it-IT"/>
        </w:rPr>
        <w:t>Authors</w:t>
      </w:r>
    </w:p>
    <w:p w14:paraId="05698F48" w14:textId="77777777" w:rsidR="004C14D5" w:rsidRPr="00EB6852" w:rsidRDefault="004C14D5" w:rsidP="004C14D5">
      <w:pPr>
        <w:spacing w:line="480" w:lineRule="auto"/>
        <w:jc w:val="both"/>
        <w:rPr>
          <w:sz w:val="24"/>
          <w:szCs w:val="24"/>
          <w:vertAlign w:val="superscript"/>
          <w:lang w:val="it-IT"/>
        </w:rPr>
      </w:pPr>
      <w:r w:rsidRPr="00EB6852">
        <w:rPr>
          <w:sz w:val="24"/>
          <w:szCs w:val="24"/>
          <w:lang w:val="it-IT"/>
        </w:rPr>
        <w:t>Matteo Montagna</w:t>
      </w:r>
      <w:r w:rsidRPr="00EB6852">
        <w:rPr>
          <w:sz w:val="24"/>
          <w:szCs w:val="24"/>
          <w:vertAlign w:val="superscript"/>
          <w:lang w:val="it-IT"/>
        </w:rPr>
        <w:t>1</w:t>
      </w:r>
      <w:r>
        <w:rPr>
          <w:sz w:val="24"/>
          <w:szCs w:val="24"/>
          <w:vertAlign w:val="superscript"/>
          <w:lang w:val="it-IT"/>
        </w:rPr>
        <w:t>,</w:t>
      </w:r>
      <w:r w:rsidRPr="00EB6852">
        <w:rPr>
          <w:sz w:val="24"/>
          <w:szCs w:val="24"/>
          <w:vertAlign w:val="superscript"/>
          <w:lang w:val="it-IT"/>
        </w:rPr>
        <w:t>*</w:t>
      </w:r>
      <w:r w:rsidRPr="00EB6852">
        <w:rPr>
          <w:sz w:val="24"/>
          <w:szCs w:val="24"/>
          <w:lang w:val="it-IT"/>
        </w:rPr>
        <w:t>, K. Jun Tong</w:t>
      </w:r>
      <w:r w:rsidRPr="00EB6852">
        <w:rPr>
          <w:sz w:val="24"/>
          <w:szCs w:val="24"/>
          <w:vertAlign w:val="superscript"/>
          <w:lang w:val="it-IT"/>
        </w:rPr>
        <w:t>2</w:t>
      </w:r>
      <w:r w:rsidRPr="00EB6852">
        <w:rPr>
          <w:sz w:val="24"/>
          <w:szCs w:val="24"/>
          <w:lang w:val="it-IT"/>
        </w:rPr>
        <w:t>, Giulia Magoga</w:t>
      </w:r>
      <w:r w:rsidRPr="00EB6852">
        <w:rPr>
          <w:sz w:val="24"/>
          <w:szCs w:val="24"/>
          <w:vertAlign w:val="superscript"/>
          <w:lang w:val="it-IT"/>
        </w:rPr>
        <w:t>1</w:t>
      </w:r>
      <w:r w:rsidRPr="00EB6852">
        <w:rPr>
          <w:sz w:val="24"/>
          <w:szCs w:val="24"/>
          <w:lang w:val="it-IT"/>
        </w:rPr>
        <w:t>,</w:t>
      </w:r>
      <w:r>
        <w:rPr>
          <w:sz w:val="24"/>
          <w:szCs w:val="24"/>
          <w:lang w:val="it-IT"/>
        </w:rPr>
        <w:t xml:space="preserve"> </w:t>
      </w:r>
      <w:r w:rsidRPr="00EB6852">
        <w:rPr>
          <w:sz w:val="24"/>
          <w:szCs w:val="24"/>
          <w:lang w:val="it-IT"/>
        </w:rPr>
        <w:t>Laura Strada</w:t>
      </w:r>
      <w:r w:rsidRPr="00EB6852">
        <w:rPr>
          <w:sz w:val="24"/>
          <w:szCs w:val="24"/>
          <w:vertAlign w:val="superscript"/>
          <w:lang w:val="it-IT"/>
        </w:rPr>
        <w:t>3</w:t>
      </w:r>
      <w:r w:rsidRPr="00EB6852">
        <w:rPr>
          <w:sz w:val="24"/>
          <w:szCs w:val="24"/>
          <w:lang w:val="it-IT"/>
        </w:rPr>
        <w:t>, Andrea Tintori</w:t>
      </w:r>
      <w:r w:rsidRPr="00EB6852">
        <w:rPr>
          <w:sz w:val="24"/>
          <w:szCs w:val="24"/>
          <w:vertAlign w:val="superscript"/>
          <w:lang w:val="it-IT"/>
        </w:rPr>
        <w:t>3</w:t>
      </w:r>
      <w:r w:rsidRPr="00EB6852">
        <w:rPr>
          <w:sz w:val="24"/>
          <w:szCs w:val="24"/>
          <w:lang w:val="it-IT"/>
        </w:rPr>
        <w:t xml:space="preserve">, </w:t>
      </w:r>
      <w:r>
        <w:rPr>
          <w:sz w:val="24"/>
          <w:szCs w:val="24"/>
          <w:lang w:val="it-IT"/>
        </w:rPr>
        <w:t>Simon Y. W. Ho</w:t>
      </w:r>
      <w:r w:rsidRPr="00EB6852">
        <w:rPr>
          <w:sz w:val="24"/>
          <w:szCs w:val="24"/>
          <w:vertAlign w:val="superscript"/>
          <w:lang w:val="it-IT"/>
        </w:rPr>
        <w:t>2</w:t>
      </w:r>
      <w:r>
        <w:rPr>
          <w:sz w:val="24"/>
          <w:szCs w:val="24"/>
          <w:lang w:val="it-IT"/>
        </w:rPr>
        <w:t xml:space="preserve">, </w:t>
      </w:r>
      <w:r w:rsidRPr="00EB6852">
        <w:rPr>
          <w:sz w:val="24"/>
          <w:szCs w:val="24"/>
          <w:lang w:val="it-IT"/>
        </w:rPr>
        <w:t>Nathan Lo</w:t>
      </w:r>
      <w:r w:rsidRPr="00EB6852">
        <w:rPr>
          <w:sz w:val="24"/>
          <w:szCs w:val="24"/>
          <w:vertAlign w:val="superscript"/>
          <w:lang w:val="it-IT"/>
        </w:rPr>
        <w:t>2</w:t>
      </w:r>
    </w:p>
    <w:p w14:paraId="3DAA70EF" w14:textId="77777777" w:rsidR="004C14D5" w:rsidRPr="00EB6852" w:rsidRDefault="004C14D5" w:rsidP="004C14D5">
      <w:pPr>
        <w:spacing w:line="480" w:lineRule="auto"/>
        <w:jc w:val="both"/>
        <w:rPr>
          <w:b/>
          <w:sz w:val="24"/>
          <w:szCs w:val="24"/>
          <w:lang w:val="it-IT"/>
        </w:rPr>
      </w:pPr>
    </w:p>
    <w:p w14:paraId="4EBB4801" w14:textId="77777777" w:rsidR="004C14D5" w:rsidRPr="00EB6852" w:rsidRDefault="004C14D5" w:rsidP="004C14D5">
      <w:pPr>
        <w:spacing w:line="480" w:lineRule="auto"/>
        <w:jc w:val="both"/>
        <w:outlineLvl w:val="0"/>
        <w:rPr>
          <w:i/>
          <w:sz w:val="24"/>
          <w:szCs w:val="24"/>
          <w:lang w:val="it-IT"/>
        </w:rPr>
      </w:pPr>
      <w:r w:rsidRPr="00EB6852">
        <w:rPr>
          <w:i/>
          <w:sz w:val="24"/>
          <w:szCs w:val="24"/>
          <w:lang w:val="it-IT"/>
        </w:rPr>
        <w:t>Affiliations</w:t>
      </w:r>
    </w:p>
    <w:p w14:paraId="01C63DA3" w14:textId="77777777" w:rsidR="004C14D5" w:rsidRPr="00EB6852" w:rsidRDefault="004C14D5" w:rsidP="004C14D5">
      <w:pPr>
        <w:spacing w:line="480" w:lineRule="auto"/>
        <w:jc w:val="both"/>
        <w:rPr>
          <w:sz w:val="24"/>
          <w:szCs w:val="24"/>
          <w:lang w:val="it-IT"/>
        </w:rPr>
      </w:pPr>
      <w:r w:rsidRPr="00EB6852">
        <w:rPr>
          <w:sz w:val="24"/>
          <w:szCs w:val="24"/>
          <w:vertAlign w:val="superscript"/>
          <w:lang w:val="it-IT"/>
        </w:rPr>
        <w:t>1</w:t>
      </w:r>
      <w:r w:rsidRPr="00EB6852">
        <w:rPr>
          <w:sz w:val="24"/>
          <w:szCs w:val="24"/>
          <w:lang w:val="it-IT"/>
        </w:rPr>
        <w:t>Dipartimento di Scienze Agrarie e Ambientali</w:t>
      </w:r>
      <w:r>
        <w:rPr>
          <w:sz w:val="24"/>
          <w:szCs w:val="24"/>
          <w:lang w:val="it-IT"/>
        </w:rPr>
        <w:t>,</w:t>
      </w:r>
      <w:r w:rsidRPr="00EB6852">
        <w:rPr>
          <w:sz w:val="24"/>
          <w:szCs w:val="24"/>
          <w:lang w:val="it-IT"/>
        </w:rPr>
        <w:t xml:space="preserve"> Università degli Studi di Milano, Via Celoria 2, I-20133 Milano, Italy.</w:t>
      </w:r>
    </w:p>
    <w:p w14:paraId="2D373F94" w14:textId="77777777" w:rsidR="004C14D5" w:rsidRPr="009877E6" w:rsidRDefault="004C14D5" w:rsidP="004C14D5">
      <w:pPr>
        <w:spacing w:line="480" w:lineRule="auto"/>
        <w:jc w:val="both"/>
        <w:rPr>
          <w:sz w:val="24"/>
          <w:szCs w:val="24"/>
          <w:lang w:val="en-GB"/>
        </w:rPr>
      </w:pPr>
      <w:r w:rsidRPr="009877E6">
        <w:rPr>
          <w:sz w:val="24"/>
          <w:szCs w:val="24"/>
          <w:vertAlign w:val="superscript"/>
          <w:lang w:val="en-GB"/>
        </w:rPr>
        <w:t>2</w:t>
      </w:r>
      <w:r w:rsidRPr="009877E6">
        <w:rPr>
          <w:sz w:val="24"/>
          <w:szCs w:val="24"/>
          <w:lang w:val="en-GB"/>
        </w:rPr>
        <w:t>School of Life and Environmental Sciences</w:t>
      </w:r>
      <w:r>
        <w:rPr>
          <w:sz w:val="24"/>
          <w:szCs w:val="24"/>
          <w:lang w:val="en-GB"/>
        </w:rPr>
        <w:t>, The</w:t>
      </w:r>
      <w:r w:rsidRPr="009877E6">
        <w:rPr>
          <w:sz w:val="24"/>
          <w:szCs w:val="24"/>
          <w:lang w:val="en-GB"/>
        </w:rPr>
        <w:t xml:space="preserve"> University of Sydney, </w:t>
      </w:r>
      <w:r>
        <w:rPr>
          <w:sz w:val="24"/>
          <w:szCs w:val="24"/>
          <w:lang w:val="en-GB"/>
        </w:rPr>
        <w:t xml:space="preserve">Sydney, </w:t>
      </w:r>
      <w:r w:rsidRPr="009877E6">
        <w:rPr>
          <w:sz w:val="24"/>
          <w:szCs w:val="24"/>
          <w:lang w:val="en-GB"/>
        </w:rPr>
        <w:t>NSW 2006, Sydney, Australia.</w:t>
      </w:r>
    </w:p>
    <w:p w14:paraId="3B8ECE6F" w14:textId="77777777" w:rsidR="004C14D5" w:rsidRPr="00EB6852" w:rsidRDefault="004C14D5" w:rsidP="004C14D5">
      <w:pPr>
        <w:spacing w:line="480" w:lineRule="auto"/>
        <w:jc w:val="both"/>
        <w:rPr>
          <w:sz w:val="24"/>
          <w:szCs w:val="24"/>
          <w:lang w:val="it-IT"/>
        </w:rPr>
      </w:pPr>
      <w:r w:rsidRPr="00EB6852">
        <w:rPr>
          <w:sz w:val="24"/>
          <w:szCs w:val="24"/>
          <w:vertAlign w:val="superscript"/>
          <w:lang w:val="it-IT"/>
        </w:rPr>
        <w:t>3</w:t>
      </w:r>
      <w:r w:rsidRPr="00EB6852">
        <w:rPr>
          <w:sz w:val="24"/>
          <w:szCs w:val="24"/>
          <w:lang w:val="it-IT"/>
        </w:rPr>
        <w:t>Dipartimento di Scienze della Terra “Ardito Desio”</w:t>
      </w:r>
      <w:r>
        <w:rPr>
          <w:sz w:val="24"/>
          <w:szCs w:val="24"/>
          <w:lang w:val="it-IT"/>
        </w:rPr>
        <w:t>,</w:t>
      </w:r>
      <w:r w:rsidRPr="00EB6852">
        <w:rPr>
          <w:sz w:val="24"/>
          <w:szCs w:val="24"/>
          <w:lang w:val="it-IT"/>
        </w:rPr>
        <w:t xml:space="preserve"> Università degli Studi di Milano, Via Mangiagalli 34, I-20133 Milano, Italy.</w:t>
      </w:r>
    </w:p>
    <w:p w14:paraId="7092559B" w14:textId="77777777" w:rsidR="004C14D5" w:rsidRPr="00EB6852" w:rsidRDefault="004C14D5" w:rsidP="004C14D5">
      <w:pPr>
        <w:pStyle w:val="Paragraph"/>
        <w:spacing w:before="0" w:line="480" w:lineRule="auto"/>
        <w:ind w:firstLine="0"/>
        <w:jc w:val="both"/>
        <w:rPr>
          <w:lang w:val="it-IT"/>
        </w:rPr>
      </w:pPr>
    </w:p>
    <w:p w14:paraId="38EB20FB" w14:textId="77777777" w:rsidR="004C14D5" w:rsidRPr="009877E6" w:rsidRDefault="004C14D5" w:rsidP="004C14D5">
      <w:pPr>
        <w:pStyle w:val="Paragraph"/>
        <w:spacing w:before="0" w:line="480" w:lineRule="auto"/>
        <w:ind w:firstLine="0"/>
        <w:jc w:val="both"/>
        <w:outlineLvl w:val="0"/>
        <w:rPr>
          <w:lang w:val="en-GB"/>
        </w:rPr>
      </w:pPr>
      <w:r w:rsidRPr="009877E6">
        <w:rPr>
          <w:lang w:val="en-GB"/>
        </w:rPr>
        <w:t>*</w:t>
      </w:r>
      <w:r w:rsidRPr="009877E6">
        <w:rPr>
          <w:i/>
          <w:lang w:val="en-GB"/>
        </w:rPr>
        <w:t>Corresponding author</w:t>
      </w:r>
    </w:p>
    <w:p w14:paraId="2F5D18D2" w14:textId="77777777" w:rsidR="004C14D5" w:rsidRPr="009877E6" w:rsidRDefault="004C14D5" w:rsidP="004C14D5">
      <w:pPr>
        <w:pStyle w:val="Teaser"/>
        <w:spacing w:before="0" w:line="480" w:lineRule="auto"/>
        <w:jc w:val="both"/>
        <w:rPr>
          <w:lang w:val="en-GB"/>
        </w:rPr>
      </w:pPr>
      <w:r w:rsidRPr="009877E6">
        <w:rPr>
          <w:lang w:val="en-GB"/>
        </w:rPr>
        <w:t>Email: matteo.montagna@unimi.it</w:t>
      </w:r>
    </w:p>
    <w:p w14:paraId="47DA1C27" w14:textId="77777777" w:rsidR="004C14D5" w:rsidRDefault="004C14D5" w:rsidP="00C53303">
      <w:pPr>
        <w:spacing w:line="480" w:lineRule="auto"/>
        <w:jc w:val="both"/>
        <w:outlineLvl w:val="0"/>
        <w:rPr>
          <w:i/>
          <w:sz w:val="24"/>
          <w:szCs w:val="24"/>
          <w:lang w:val="en-GB"/>
        </w:rPr>
        <w:sectPr w:rsidR="004C14D5" w:rsidSect="00533845">
          <w:pgSz w:w="11900" w:h="16840"/>
          <w:pgMar w:top="1417" w:right="1134" w:bottom="1134" w:left="1134" w:header="708" w:footer="708" w:gutter="0"/>
          <w:cols w:space="708"/>
          <w:docGrid w:linePitch="360"/>
        </w:sectPr>
      </w:pPr>
    </w:p>
    <w:p w14:paraId="3A9EDBAF" w14:textId="35180146" w:rsidR="00C53303" w:rsidRPr="004C14D5" w:rsidRDefault="00C53303" w:rsidP="004C14D5">
      <w:pPr>
        <w:pStyle w:val="ListParagraph"/>
        <w:numPr>
          <w:ilvl w:val="0"/>
          <w:numId w:val="1"/>
        </w:numPr>
        <w:spacing w:line="480" w:lineRule="auto"/>
        <w:ind w:left="284" w:hanging="284"/>
        <w:jc w:val="both"/>
        <w:outlineLvl w:val="0"/>
        <w:rPr>
          <w:i/>
          <w:sz w:val="24"/>
          <w:szCs w:val="24"/>
          <w:lang w:val="en-GB"/>
        </w:rPr>
      </w:pPr>
      <w:r w:rsidRPr="004C14D5">
        <w:rPr>
          <w:i/>
          <w:sz w:val="24"/>
          <w:szCs w:val="24"/>
          <w:lang w:val="en-GB"/>
        </w:rPr>
        <w:lastRenderedPageBreak/>
        <w:t>Mount San Giorgio fossil collection</w:t>
      </w:r>
    </w:p>
    <w:p w14:paraId="7B5E8DCE" w14:textId="49006388" w:rsidR="00C53303" w:rsidRDefault="00C53303" w:rsidP="00C53303">
      <w:pPr>
        <w:spacing w:line="480" w:lineRule="auto"/>
        <w:jc w:val="both"/>
        <w:rPr>
          <w:sz w:val="24"/>
          <w:szCs w:val="24"/>
          <w:lang w:val="en-GB"/>
        </w:rPr>
      </w:pPr>
      <w:r w:rsidRPr="009877E6">
        <w:rPr>
          <w:sz w:val="24"/>
          <w:szCs w:val="24"/>
          <w:lang w:val="en-GB"/>
        </w:rPr>
        <w:t xml:space="preserve">Mount San Giorgio fossils used in this study consist of a subset of the 19 specimens (Table S1) collected during fieldwork activities between 1997 and 2003 in the Lower Kalkschieferzone, the uppermost part of the Meride Limestone, at the Val Mara site D near Meride on the Swiss side of </w:t>
      </w:r>
      <w:r>
        <w:rPr>
          <w:sz w:val="24"/>
          <w:szCs w:val="24"/>
          <w:lang w:val="en-GB"/>
        </w:rPr>
        <w:t xml:space="preserve">the </w:t>
      </w:r>
      <w:r w:rsidRPr="009877E6">
        <w:rPr>
          <w:sz w:val="24"/>
          <w:szCs w:val="24"/>
          <w:lang w:val="en-GB"/>
        </w:rPr>
        <w:t xml:space="preserve">UNESCO World Heritage site of Mount San Giorgio (Italy-Switzerland; Figure S1). All </w:t>
      </w:r>
      <w:r>
        <w:rPr>
          <w:sz w:val="24"/>
          <w:szCs w:val="24"/>
          <w:lang w:val="en-GB"/>
        </w:rPr>
        <w:t xml:space="preserve">of </w:t>
      </w:r>
      <w:r w:rsidRPr="009877E6">
        <w:rPr>
          <w:sz w:val="24"/>
          <w:szCs w:val="24"/>
          <w:lang w:val="en-GB"/>
        </w:rPr>
        <w:t>the specimens have been deposited at Museo Cantonale di Storia Naturale di Lugano (MCSN)</w:t>
      </w:r>
      <w:r>
        <w:rPr>
          <w:sz w:val="24"/>
          <w:szCs w:val="24"/>
          <w:lang w:val="en-GB"/>
        </w:rPr>
        <w:t>, Switzerland</w:t>
      </w:r>
      <w:r w:rsidRPr="009877E6">
        <w:rPr>
          <w:sz w:val="24"/>
          <w:szCs w:val="24"/>
          <w:lang w:val="en-GB"/>
        </w:rPr>
        <w:t xml:space="preserve">. </w:t>
      </w:r>
      <w:r>
        <w:rPr>
          <w:sz w:val="24"/>
          <w:szCs w:val="24"/>
          <w:lang w:val="en-GB"/>
        </w:rPr>
        <w:t>I</w:t>
      </w:r>
      <w:r w:rsidRPr="009877E6">
        <w:rPr>
          <w:sz w:val="24"/>
          <w:szCs w:val="24"/>
          <w:lang w:val="en-GB"/>
        </w:rPr>
        <w:t>nformation relat</w:t>
      </w:r>
      <w:r>
        <w:rPr>
          <w:sz w:val="24"/>
          <w:szCs w:val="24"/>
          <w:lang w:val="en-GB"/>
        </w:rPr>
        <w:t>ing</w:t>
      </w:r>
      <w:r w:rsidRPr="009877E6">
        <w:rPr>
          <w:sz w:val="24"/>
          <w:szCs w:val="24"/>
          <w:lang w:val="en-GB"/>
        </w:rPr>
        <w:t xml:space="preserve"> to the MSG fossils used for calibration are available in Table</w:t>
      </w:r>
      <w:r>
        <w:rPr>
          <w:sz w:val="24"/>
          <w:szCs w:val="24"/>
          <w:lang w:val="en-GB"/>
        </w:rPr>
        <w:t>s</w:t>
      </w:r>
      <w:r w:rsidRPr="009877E6">
        <w:rPr>
          <w:sz w:val="24"/>
          <w:szCs w:val="24"/>
          <w:lang w:val="en-GB"/>
        </w:rPr>
        <w:t xml:space="preserve"> S1</w:t>
      </w:r>
      <w:r>
        <w:rPr>
          <w:sz w:val="24"/>
          <w:szCs w:val="24"/>
          <w:lang w:val="en-GB"/>
        </w:rPr>
        <w:t xml:space="preserve"> and</w:t>
      </w:r>
      <w:r w:rsidRPr="009877E6">
        <w:rPr>
          <w:sz w:val="24"/>
          <w:szCs w:val="24"/>
          <w:lang w:val="en-GB"/>
        </w:rPr>
        <w:t xml:space="preserve"> S2.</w:t>
      </w:r>
    </w:p>
    <w:p w14:paraId="2EF7359E" w14:textId="5CD0C6BD" w:rsidR="00C53303" w:rsidRDefault="00C53303" w:rsidP="00C53303">
      <w:pPr>
        <w:spacing w:line="480" w:lineRule="auto"/>
        <w:jc w:val="both"/>
        <w:rPr>
          <w:sz w:val="24"/>
          <w:szCs w:val="24"/>
          <w:lang w:val="en-GB"/>
        </w:rPr>
      </w:pPr>
    </w:p>
    <w:p w14:paraId="5065206B" w14:textId="74274720" w:rsidR="00C53303" w:rsidRPr="004C14D5" w:rsidRDefault="003D757E" w:rsidP="004C14D5">
      <w:pPr>
        <w:pStyle w:val="ListParagraph"/>
        <w:numPr>
          <w:ilvl w:val="0"/>
          <w:numId w:val="1"/>
        </w:numPr>
        <w:spacing w:line="480" w:lineRule="auto"/>
        <w:ind w:left="284" w:hanging="284"/>
        <w:jc w:val="both"/>
        <w:rPr>
          <w:i/>
          <w:iCs/>
          <w:sz w:val="24"/>
          <w:szCs w:val="24"/>
          <w:lang w:val="en-GB"/>
        </w:rPr>
      </w:pPr>
      <w:r w:rsidRPr="004C14D5">
        <w:rPr>
          <w:i/>
          <w:iCs/>
          <w:sz w:val="24"/>
          <w:szCs w:val="24"/>
          <w:lang w:val="en-GB"/>
        </w:rPr>
        <w:t>T</w:t>
      </w:r>
      <w:r w:rsidR="00C53303" w:rsidRPr="004C14D5">
        <w:rPr>
          <w:i/>
          <w:iCs/>
          <w:sz w:val="24"/>
          <w:szCs w:val="24"/>
          <w:lang w:val="en-GB"/>
        </w:rPr>
        <w:t>he eight MSG fossils used for calibration</w:t>
      </w:r>
    </w:p>
    <w:p w14:paraId="11C09490" w14:textId="48CBD022" w:rsidR="00603EB7" w:rsidRDefault="00DE451F" w:rsidP="00C53303">
      <w:pPr>
        <w:spacing w:line="480" w:lineRule="auto"/>
        <w:jc w:val="both"/>
        <w:rPr>
          <w:i/>
          <w:sz w:val="24"/>
          <w:szCs w:val="24"/>
          <w:lang w:val="en-GB"/>
        </w:rPr>
      </w:pPr>
      <w:r w:rsidRPr="00DE451F">
        <w:rPr>
          <w:sz w:val="24"/>
          <w:szCs w:val="24"/>
          <w:lang w:val="en-GB"/>
        </w:rPr>
        <w:t xml:space="preserve">The eight MSG fossils used for calibration </w:t>
      </w:r>
      <w:r w:rsidR="00C53303" w:rsidRPr="003B160B">
        <w:rPr>
          <w:sz w:val="24"/>
          <w:szCs w:val="24"/>
          <w:lang w:val="en-GB"/>
        </w:rPr>
        <w:t xml:space="preserve">are: </w:t>
      </w:r>
      <w:r w:rsidR="00C53303" w:rsidRPr="003B160B">
        <w:rPr>
          <w:i/>
          <w:sz w:val="24"/>
          <w:szCs w:val="24"/>
          <w:lang w:val="en-GB"/>
        </w:rPr>
        <w:t>i</w:t>
      </w:r>
      <w:r w:rsidR="00C53303" w:rsidRPr="003B160B">
        <w:rPr>
          <w:sz w:val="24"/>
          <w:szCs w:val="24"/>
          <w:lang w:val="en-GB"/>
        </w:rPr>
        <w:t>)</w:t>
      </w:r>
      <w:r w:rsidR="00C53303" w:rsidRPr="003B160B">
        <w:rPr>
          <w:i/>
          <w:sz w:val="24"/>
          <w:szCs w:val="24"/>
          <w:lang w:val="en-GB"/>
        </w:rPr>
        <w:t xml:space="preserve"> </w:t>
      </w:r>
      <w:r w:rsidR="00C53303" w:rsidRPr="003B160B">
        <w:rPr>
          <w:sz w:val="24"/>
          <w:szCs w:val="24"/>
          <w:lang w:val="en-GB"/>
        </w:rPr>
        <w:t xml:space="preserve">the completely phosphatized </w:t>
      </w:r>
      <w:r w:rsidR="00C53303" w:rsidRPr="003B160B">
        <w:rPr>
          <w:i/>
          <w:sz w:val="24"/>
          <w:szCs w:val="24"/>
          <w:lang w:val="en-GB"/>
        </w:rPr>
        <w:t>Gigamachilis triassicus</w:t>
      </w:r>
      <w:r w:rsidR="00C53303" w:rsidRPr="003B160B">
        <w:rPr>
          <w:sz w:val="24"/>
          <w:szCs w:val="24"/>
          <w:lang w:val="en-GB"/>
        </w:rPr>
        <w:t xml:space="preserve"> (Archaeognatha: Machilidae)</w:t>
      </w:r>
      <w:r w:rsidR="00C53303">
        <w:rPr>
          <w:sz w:val="24"/>
          <w:szCs w:val="24"/>
          <w:lang w:val="en-GB"/>
        </w:rPr>
        <w:t>,</w:t>
      </w:r>
      <w:r w:rsidR="00C53303" w:rsidRPr="003B160B">
        <w:rPr>
          <w:sz w:val="24"/>
          <w:szCs w:val="24"/>
          <w:lang w:val="en-GB"/>
        </w:rPr>
        <w:t xml:space="preserve"> ascribed to Archaeognatha based upon the presence of large maxillary palps (partially preserved), abdominal coxopodites showing coxopodal vesicles and styli, paired annulated cerci and the basal part of the filum terminale, with styl</w:t>
      </w:r>
      <w:r w:rsidR="00C53303">
        <w:rPr>
          <w:sz w:val="24"/>
          <w:szCs w:val="24"/>
          <w:lang w:val="en-GB"/>
        </w:rPr>
        <w:t>us</w:t>
      </w:r>
      <w:r w:rsidR="00C53303" w:rsidRPr="003B160B">
        <w:rPr>
          <w:sz w:val="24"/>
          <w:szCs w:val="24"/>
          <w:lang w:val="en-GB"/>
        </w:rPr>
        <w:t>-like structures on the second thoracic leg and scales on appendages that prompt its attribution to the extant group Machilidae [1</w:t>
      </w:r>
      <w:r w:rsidR="00C53303">
        <w:rPr>
          <w:sz w:val="24"/>
          <w:szCs w:val="24"/>
          <w:lang w:val="en-GB"/>
        </w:rPr>
        <w:t>6,17</w:t>
      </w:r>
      <w:r w:rsidR="00C53303" w:rsidRPr="003B160B">
        <w:rPr>
          <w:sz w:val="24"/>
          <w:szCs w:val="24"/>
          <w:lang w:val="en-GB"/>
        </w:rPr>
        <w:t xml:space="preserve">]; </w:t>
      </w:r>
      <w:r w:rsidR="00C53303" w:rsidRPr="003B160B">
        <w:rPr>
          <w:i/>
          <w:sz w:val="24"/>
          <w:szCs w:val="24"/>
          <w:lang w:val="en-GB"/>
        </w:rPr>
        <w:t>ii</w:t>
      </w:r>
      <w:r w:rsidR="00C53303" w:rsidRPr="003B160B">
        <w:rPr>
          <w:sz w:val="24"/>
          <w:szCs w:val="24"/>
          <w:lang w:val="en-GB"/>
        </w:rPr>
        <w:t xml:space="preserve">) </w:t>
      </w:r>
      <w:r w:rsidR="00C53303" w:rsidRPr="003B160B">
        <w:rPr>
          <w:i/>
          <w:sz w:val="24"/>
          <w:szCs w:val="24"/>
          <w:lang w:val="en-GB"/>
        </w:rPr>
        <w:t>Tintorina meridensis</w:t>
      </w:r>
      <w:r w:rsidR="00C53303" w:rsidRPr="003B160B">
        <w:rPr>
          <w:sz w:val="24"/>
          <w:szCs w:val="24"/>
          <w:lang w:val="en-GB"/>
        </w:rPr>
        <w:t xml:space="preserve"> (Ephemeroptera: Tintorinidae), with a general habitus and wing venation that prompt its attribution to the infraorder Ephemeroidea [</w:t>
      </w:r>
      <w:r w:rsidR="00C53303">
        <w:rPr>
          <w:sz w:val="24"/>
          <w:szCs w:val="24"/>
          <w:lang w:val="en-GB"/>
        </w:rPr>
        <w:t>21</w:t>
      </w:r>
      <w:r w:rsidR="00C53303" w:rsidRPr="003B160B">
        <w:rPr>
          <w:sz w:val="24"/>
          <w:szCs w:val="24"/>
          <w:lang w:val="en-GB"/>
        </w:rPr>
        <w:t xml:space="preserve">]; </w:t>
      </w:r>
      <w:r w:rsidR="00C53303" w:rsidRPr="003B160B">
        <w:rPr>
          <w:i/>
          <w:sz w:val="24"/>
          <w:szCs w:val="24"/>
          <w:lang w:val="en-GB"/>
        </w:rPr>
        <w:t>iii</w:t>
      </w:r>
      <w:r w:rsidR="00C53303" w:rsidRPr="003B160B">
        <w:rPr>
          <w:sz w:val="24"/>
          <w:szCs w:val="24"/>
          <w:lang w:val="en-GB"/>
        </w:rPr>
        <w:t xml:space="preserve">) </w:t>
      </w:r>
      <w:r w:rsidR="00C53303" w:rsidRPr="003B160B">
        <w:rPr>
          <w:i/>
          <w:sz w:val="24"/>
          <w:szCs w:val="24"/>
          <w:lang w:val="en-GB"/>
        </w:rPr>
        <w:t xml:space="preserve">Archetingis ladinica </w:t>
      </w:r>
      <w:r w:rsidR="00C53303" w:rsidRPr="003B160B">
        <w:rPr>
          <w:sz w:val="24"/>
          <w:szCs w:val="24"/>
          <w:lang w:val="en-GB"/>
        </w:rPr>
        <w:t xml:space="preserve">(Hemiptera: Tingidae) preserving clearly visible areole on </w:t>
      </w:r>
      <w:r w:rsidR="00C53303">
        <w:rPr>
          <w:sz w:val="24"/>
          <w:szCs w:val="24"/>
          <w:lang w:val="en-GB"/>
        </w:rPr>
        <w:t xml:space="preserve">the </w:t>
      </w:r>
      <w:r w:rsidR="00C53303" w:rsidRPr="003B160B">
        <w:rPr>
          <w:sz w:val="24"/>
          <w:szCs w:val="24"/>
          <w:lang w:val="en-GB"/>
        </w:rPr>
        <w:t>forewings (protruding beyond abdomen margin) and on pronotum, a moderately long rostrum with bucculae and tarsi two-segmented [</w:t>
      </w:r>
      <w:r w:rsidR="00C53303">
        <w:rPr>
          <w:sz w:val="24"/>
          <w:szCs w:val="24"/>
          <w:lang w:val="en-GB"/>
        </w:rPr>
        <w:t>18</w:t>
      </w:r>
      <w:r w:rsidR="00C53303" w:rsidRPr="003B160B">
        <w:rPr>
          <w:sz w:val="24"/>
          <w:szCs w:val="24"/>
          <w:lang w:val="en-GB"/>
        </w:rPr>
        <w:t xml:space="preserve">]; </w:t>
      </w:r>
      <w:r w:rsidR="00C53303" w:rsidRPr="003B160B">
        <w:rPr>
          <w:i/>
          <w:sz w:val="24"/>
          <w:szCs w:val="24"/>
          <w:lang w:val="en-GB"/>
        </w:rPr>
        <w:t>iv</w:t>
      </w:r>
      <w:r w:rsidR="00C53303" w:rsidRPr="003B160B">
        <w:rPr>
          <w:sz w:val="24"/>
          <w:szCs w:val="24"/>
          <w:lang w:val="en-GB"/>
        </w:rPr>
        <w:t xml:space="preserve">) </w:t>
      </w:r>
      <w:r w:rsidR="00C53303" w:rsidRPr="003B160B">
        <w:rPr>
          <w:i/>
          <w:sz w:val="24"/>
          <w:szCs w:val="24"/>
          <w:lang w:val="en-GB"/>
        </w:rPr>
        <w:t>Praedodromeus sangiorgiensis</w:t>
      </w:r>
      <w:r w:rsidR="00C53303" w:rsidRPr="003B160B">
        <w:rPr>
          <w:sz w:val="24"/>
          <w:szCs w:val="24"/>
          <w:lang w:val="en-GB"/>
        </w:rPr>
        <w:t xml:space="preserve"> (Coleoptera: Trachipachidae) with a general habitus and diagnostic characters such as the presence of a simple sulcate antenna cleaner in the distal part of the tibiae and the metacoxa separating thorax and abdomen that prompt its ascription to </w:t>
      </w:r>
      <w:r w:rsidR="00C53303">
        <w:rPr>
          <w:sz w:val="24"/>
          <w:szCs w:val="24"/>
          <w:lang w:val="en-GB"/>
        </w:rPr>
        <w:t xml:space="preserve">subfamily </w:t>
      </w:r>
      <w:r w:rsidR="00C53303" w:rsidRPr="003B160B">
        <w:rPr>
          <w:sz w:val="24"/>
          <w:szCs w:val="24"/>
          <w:lang w:val="en-GB"/>
        </w:rPr>
        <w:t xml:space="preserve">Eodromeinae </w:t>
      </w:r>
      <w:r w:rsidR="00C53303">
        <w:rPr>
          <w:sz w:val="24"/>
          <w:szCs w:val="24"/>
          <w:lang w:val="en-GB"/>
        </w:rPr>
        <w:t xml:space="preserve">of </w:t>
      </w:r>
      <w:r w:rsidR="00C53303" w:rsidRPr="003B160B">
        <w:rPr>
          <w:sz w:val="24"/>
          <w:szCs w:val="24"/>
          <w:lang w:val="en-GB"/>
        </w:rPr>
        <w:t>Trachypachidae [2</w:t>
      </w:r>
      <w:r w:rsidR="00C53303">
        <w:rPr>
          <w:sz w:val="24"/>
          <w:szCs w:val="24"/>
          <w:lang w:val="en-GB"/>
        </w:rPr>
        <w:t>2</w:t>
      </w:r>
      <w:r w:rsidR="00C53303" w:rsidRPr="003B160B">
        <w:rPr>
          <w:sz w:val="24"/>
          <w:szCs w:val="24"/>
          <w:lang w:val="en-GB"/>
        </w:rPr>
        <w:t xml:space="preserve">]; </w:t>
      </w:r>
      <w:r w:rsidR="00C53303" w:rsidRPr="003B160B">
        <w:rPr>
          <w:i/>
          <w:sz w:val="24"/>
          <w:szCs w:val="24"/>
          <w:lang w:val="en-GB"/>
        </w:rPr>
        <w:t>v</w:t>
      </w:r>
      <w:r w:rsidR="00C53303" w:rsidRPr="003B160B">
        <w:rPr>
          <w:sz w:val="24"/>
          <w:szCs w:val="24"/>
          <w:lang w:val="en-GB"/>
        </w:rPr>
        <w:t xml:space="preserve">) a single elytron showing features of the venation that allowed assignment to the genus </w:t>
      </w:r>
      <w:r w:rsidR="00C53303" w:rsidRPr="003B160B">
        <w:rPr>
          <w:i/>
          <w:sz w:val="24"/>
          <w:szCs w:val="24"/>
          <w:lang w:val="en-GB"/>
        </w:rPr>
        <w:t>Notocupes</w:t>
      </w:r>
      <w:r w:rsidR="00C53303" w:rsidRPr="003B160B">
        <w:rPr>
          <w:sz w:val="24"/>
          <w:szCs w:val="24"/>
          <w:lang w:val="en-GB"/>
        </w:rPr>
        <w:t xml:space="preserve"> (Coleoptera: Cupedidae) [</w:t>
      </w:r>
      <w:r w:rsidR="00C53303">
        <w:rPr>
          <w:sz w:val="24"/>
          <w:szCs w:val="24"/>
          <w:lang w:val="en-GB"/>
        </w:rPr>
        <w:t>21</w:t>
      </w:r>
      <w:r w:rsidR="00C53303" w:rsidRPr="003B160B">
        <w:rPr>
          <w:sz w:val="24"/>
          <w:szCs w:val="24"/>
          <w:lang w:val="en-GB"/>
        </w:rPr>
        <w:t xml:space="preserve">]; </w:t>
      </w:r>
      <w:r w:rsidR="00C53303" w:rsidRPr="003B160B">
        <w:rPr>
          <w:i/>
          <w:sz w:val="24"/>
          <w:szCs w:val="24"/>
          <w:lang w:val="en-GB"/>
        </w:rPr>
        <w:t>vi</w:t>
      </w:r>
      <w:r w:rsidR="00C53303" w:rsidRPr="003B160B">
        <w:rPr>
          <w:sz w:val="24"/>
          <w:szCs w:val="24"/>
          <w:lang w:val="en-GB"/>
        </w:rPr>
        <w:t>)</w:t>
      </w:r>
      <w:r w:rsidR="00C53303" w:rsidRPr="003B160B">
        <w:rPr>
          <w:b/>
          <w:sz w:val="24"/>
          <w:szCs w:val="24"/>
          <w:lang w:val="en-GB"/>
        </w:rPr>
        <w:t xml:space="preserve"> </w:t>
      </w:r>
      <w:r w:rsidR="00C53303" w:rsidRPr="003B160B">
        <w:rPr>
          <w:sz w:val="24"/>
          <w:szCs w:val="24"/>
          <w:lang w:val="en-GB"/>
        </w:rPr>
        <w:t xml:space="preserve">specimen MCSN8464 preserved in dorsolateral view assigned to </w:t>
      </w:r>
      <w:r w:rsidR="00C53303">
        <w:rPr>
          <w:sz w:val="24"/>
          <w:szCs w:val="24"/>
          <w:lang w:val="en-GB"/>
        </w:rPr>
        <w:t xml:space="preserve">suborder Polyphaga </w:t>
      </w:r>
      <w:r w:rsidR="00C53303" w:rsidRPr="003B160B">
        <w:rPr>
          <w:sz w:val="24"/>
          <w:szCs w:val="24"/>
          <w:lang w:val="en-GB"/>
        </w:rPr>
        <w:t>(not Staphyliniformia)</w:t>
      </w:r>
      <w:r w:rsidR="00C53303">
        <w:rPr>
          <w:sz w:val="24"/>
          <w:szCs w:val="24"/>
          <w:lang w:val="en-GB"/>
        </w:rPr>
        <w:t xml:space="preserve"> in </w:t>
      </w:r>
      <w:r w:rsidR="00C53303" w:rsidRPr="003B160B">
        <w:rPr>
          <w:sz w:val="24"/>
          <w:szCs w:val="24"/>
          <w:lang w:val="en-GB"/>
        </w:rPr>
        <w:t>Coleoptera [2</w:t>
      </w:r>
      <w:r w:rsidR="00C53303">
        <w:rPr>
          <w:sz w:val="24"/>
          <w:szCs w:val="24"/>
          <w:lang w:val="en-GB"/>
        </w:rPr>
        <w:t>2</w:t>
      </w:r>
      <w:r w:rsidR="00C53303" w:rsidRPr="003B160B">
        <w:rPr>
          <w:sz w:val="24"/>
          <w:szCs w:val="24"/>
          <w:lang w:val="en-GB"/>
        </w:rPr>
        <w:t>,</w:t>
      </w:r>
      <w:r w:rsidR="004C21EF">
        <w:rPr>
          <w:sz w:val="24"/>
          <w:szCs w:val="24"/>
          <w:lang w:val="en-GB"/>
        </w:rPr>
        <w:t>24</w:t>
      </w:r>
      <w:r w:rsidR="00C53303" w:rsidRPr="003B160B">
        <w:rPr>
          <w:sz w:val="24"/>
          <w:szCs w:val="24"/>
          <w:lang w:val="en-GB"/>
        </w:rPr>
        <w:t xml:space="preserve">]; </w:t>
      </w:r>
      <w:r w:rsidR="00C53303" w:rsidRPr="003B160B">
        <w:rPr>
          <w:i/>
          <w:sz w:val="24"/>
          <w:szCs w:val="24"/>
          <w:lang w:val="en-GB"/>
        </w:rPr>
        <w:t>vii</w:t>
      </w:r>
      <w:r w:rsidR="00C53303" w:rsidRPr="003B160B">
        <w:rPr>
          <w:sz w:val="24"/>
          <w:szCs w:val="24"/>
          <w:lang w:val="en-GB"/>
        </w:rPr>
        <w:t xml:space="preserve">) a completely phosphatized specimen identified as a stonefly nymph </w:t>
      </w:r>
      <w:r w:rsidR="00C53303" w:rsidRPr="003B160B">
        <w:rPr>
          <w:sz w:val="24"/>
          <w:szCs w:val="24"/>
          <w:lang w:val="en-GB"/>
        </w:rPr>
        <w:lastRenderedPageBreak/>
        <w:t xml:space="preserve">(Plecoptera) that exceptionally preserves two pairs of wing stubs (confirming the hemimetabolous metamorphosis of the taxon) and part of the brain, </w:t>
      </w:r>
      <w:r w:rsidR="00C53303">
        <w:rPr>
          <w:sz w:val="24"/>
          <w:szCs w:val="24"/>
          <w:lang w:val="en-GB"/>
        </w:rPr>
        <w:t xml:space="preserve">and </w:t>
      </w:r>
      <w:r w:rsidR="00C53303" w:rsidRPr="003B160B">
        <w:rPr>
          <w:sz w:val="24"/>
          <w:szCs w:val="24"/>
          <w:lang w:val="en-GB"/>
        </w:rPr>
        <w:t>a prognathous head harbo</w:t>
      </w:r>
      <w:r w:rsidR="00C53303">
        <w:rPr>
          <w:sz w:val="24"/>
          <w:szCs w:val="24"/>
          <w:lang w:val="en-GB"/>
        </w:rPr>
        <w:t>u</w:t>
      </w:r>
      <w:r w:rsidR="00C53303" w:rsidRPr="003B160B">
        <w:rPr>
          <w:sz w:val="24"/>
          <w:szCs w:val="24"/>
          <w:lang w:val="en-GB"/>
        </w:rPr>
        <w:t>ring smooth and symmetrical mandibles and maxillary palps (specimen MCSN8462) [2</w:t>
      </w:r>
      <w:r w:rsidR="00C53303">
        <w:rPr>
          <w:sz w:val="24"/>
          <w:szCs w:val="24"/>
          <w:lang w:val="en-GB"/>
        </w:rPr>
        <w:t>2</w:t>
      </w:r>
      <w:r w:rsidR="00C53303" w:rsidRPr="003B160B">
        <w:rPr>
          <w:sz w:val="24"/>
          <w:szCs w:val="24"/>
          <w:lang w:val="en-GB"/>
        </w:rPr>
        <w:t>,</w:t>
      </w:r>
      <w:r w:rsidR="004C21EF">
        <w:rPr>
          <w:sz w:val="24"/>
          <w:szCs w:val="24"/>
          <w:lang w:val="en-GB"/>
        </w:rPr>
        <w:t>24</w:t>
      </w:r>
      <w:r w:rsidR="00C53303" w:rsidRPr="003B160B">
        <w:rPr>
          <w:sz w:val="24"/>
          <w:szCs w:val="24"/>
          <w:lang w:val="en-GB"/>
        </w:rPr>
        <w:t xml:space="preserve">]; </w:t>
      </w:r>
      <w:r w:rsidR="00C53303">
        <w:rPr>
          <w:sz w:val="24"/>
          <w:szCs w:val="24"/>
          <w:lang w:val="en-GB"/>
        </w:rPr>
        <w:t xml:space="preserve">and </w:t>
      </w:r>
      <w:r w:rsidR="00C53303" w:rsidRPr="003B160B">
        <w:rPr>
          <w:i/>
          <w:sz w:val="24"/>
          <w:szCs w:val="24"/>
          <w:lang w:val="en-GB"/>
        </w:rPr>
        <w:t>viii</w:t>
      </w:r>
      <w:r w:rsidR="00C53303" w:rsidRPr="003B160B">
        <w:rPr>
          <w:sz w:val="24"/>
          <w:szCs w:val="24"/>
          <w:lang w:val="en-GB"/>
        </w:rPr>
        <w:t>) a phosphatized male webspinner (Embioptera) of 18.3 mm in length, which preserves</w:t>
      </w:r>
      <w:r w:rsidR="00C53303">
        <w:rPr>
          <w:sz w:val="24"/>
          <w:szCs w:val="24"/>
          <w:lang w:val="en-GB"/>
        </w:rPr>
        <w:t>:</w:t>
      </w:r>
      <w:r w:rsidR="00C53303" w:rsidRPr="003B160B">
        <w:rPr>
          <w:sz w:val="24"/>
          <w:szCs w:val="24"/>
          <w:lang w:val="en-GB"/>
        </w:rPr>
        <w:t xml:space="preserve"> swollen fore basitarsi, three segmented tarsi, forelegs and hindlegs with enlarged femora, rather </w:t>
      </w:r>
      <w:r w:rsidR="00C53303">
        <w:rPr>
          <w:sz w:val="24"/>
          <w:szCs w:val="24"/>
          <w:lang w:val="en-GB"/>
        </w:rPr>
        <w:t xml:space="preserve">large </w:t>
      </w:r>
      <w:r w:rsidR="00C53303" w:rsidRPr="003B160B">
        <w:rPr>
          <w:sz w:val="24"/>
          <w:szCs w:val="24"/>
          <w:lang w:val="en-GB"/>
        </w:rPr>
        <w:t xml:space="preserve">head </w:t>
      </w:r>
      <w:r w:rsidR="00C53303">
        <w:rPr>
          <w:sz w:val="24"/>
          <w:szCs w:val="24"/>
          <w:lang w:val="en-GB"/>
        </w:rPr>
        <w:t>(</w:t>
      </w:r>
      <w:r w:rsidR="00C53303" w:rsidRPr="003B160B">
        <w:rPr>
          <w:sz w:val="24"/>
          <w:szCs w:val="24"/>
          <w:lang w:val="en-GB"/>
        </w:rPr>
        <w:t>as can be inferred from the insertion of the partially preserved antennae and maxillary palps</w:t>
      </w:r>
      <w:r w:rsidR="00C53303">
        <w:rPr>
          <w:sz w:val="24"/>
          <w:szCs w:val="24"/>
          <w:lang w:val="en-GB"/>
        </w:rPr>
        <w:t>)</w:t>
      </w:r>
      <w:r w:rsidR="00C53303" w:rsidRPr="003B160B">
        <w:rPr>
          <w:sz w:val="24"/>
          <w:szCs w:val="24"/>
          <w:lang w:val="en-GB"/>
        </w:rPr>
        <w:t xml:space="preserve">, </w:t>
      </w:r>
      <w:r w:rsidR="00C53303">
        <w:rPr>
          <w:sz w:val="24"/>
          <w:szCs w:val="24"/>
          <w:lang w:val="en-GB"/>
        </w:rPr>
        <w:t xml:space="preserve">and </w:t>
      </w:r>
      <w:r w:rsidR="00C53303" w:rsidRPr="003B160B">
        <w:rPr>
          <w:sz w:val="24"/>
          <w:szCs w:val="24"/>
          <w:lang w:val="en-GB"/>
        </w:rPr>
        <w:t>impression of folded wings and terga X [2</w:t>
      </w:r>
      <w:r w:rsidR="00C53303">
        <w:rPr>
          <w:sz w:val="24"/>
          <w:szCs w:val="24"/>
          <w:lang w:val="en-GB"/>
        </w:rPr>
        <w:t>2</w:t>
      </w:r>
      <w:r w:rsidR="00C53303" w:rsidRPr="003B160B">
        <w:rPr>
          <w:sz w:val="24"/>
          <w:szCs w:val="24"/>
          <w:lang w:val="en-GB"/>
        </w:rPr>
        <w:t>,</w:t>
      </w:r>
      <w:r w:rsidR="004C21EF">
        <w:rPr>
          <w:sz w:val="24"/>
          <w:szCs w:val="24"/>
          <w:lang w:val="en-GB"/>
        </w:rPr>
        <w:t>24</w:t>
      </w:r>
      <w:r w:rsidR="00C53303" w:rsidRPr="003B160B">
        <w:rPr>
          <w:sz w:val="24"/>
          <w:szCs w:val="24"/>
          <w:lang w:val="en-GB"/>
        </w:rPr>
        <w:t>]</w:t>
      </w:r>
      <w:r w:rsidR="00C53303" w:rsidRPr="003B160B">
        <w:rPr>
          <w:sz w:val="22"/>
          <w:szCs w:val="22"/>
          <w:lang w:val="en-GB"/>
        </w:rPr>
        <w:t>.</w:t>
      </w:r>
      <w:r w:rsidR="00C53303" w:rsidRPr="003B160B">
        <w:rPr>
          <w:i/>
          <w:sz w:val="24"/>
          <w:szCs w:val="24"/>
          <w:lang w:val="en-GB"/>
        </w:rPr>
        <w:t xml:space="preserve"> </w:t>
      </w:r>
    </w:p>
    <w:p w14:paraId="3D771681" w14:textId="1314B67A" w:rsidR="00C0277B" w:rsidRDefault="009B1B09" w:rsidP="009B1B09">
      <w:pPr>
        <w:spacing w:line="480" w:lineRule="auto"/>
        <w:jc w:val="both"/>
        <w:rPr>
          <w:sz w:val="24"/>
          <w:szCs w:val="24"/>
          <w:lang w:val="en-GB"/>
        </w:rPr>
      </w:pPr>
      <w:r>
        <w:rPr>
          <w:sz w:val="24"/>
          <w:szCs w:val="24"/>
          <w:lang w:val="en-GB"/>
        </w:rPr>
        <w:t xml:space="preserve">Nodes </w:t>
      </w:r>
      <w:r w:rsidR="00603EB7">
        <w:rPr>
          <w:sz w:val="24"/>
          <w:szCs w:val="24"/>
          <w:lang w:val="en-GB"/>
        </w:rPr>
        <w:t>at which</w:t>
      </w:r>
      <w:r w:rsidR="00603EB7" w:rsidRPr="003B160B">
        <w:rPr>
          <w:sz w:val="24"/>
          <w:szCs w:val="24"/>
          <w:lang w:val="en-GB"/>
        </w:rPr>
        <w:t xml:space="preserve"> minimum age constraints were </w:t>
      </w:r>
      <w:r w:rsidR="00603EB7">
        <w:rPr>
          <w:sz w:val="24"/>
          <w:szCs w:val="24"/>
          <w:lang w:val="en-GB"/>
        </w:rPr>
        <w:t xml:space="preserve">informed by </w:t>
      </w:r>
      <w:r w:rsidR="00603EB7" w:rsidRPr="003B160B">
        <w:rPr>
          <w:sz w:val="24"/>
          <w:szCs w:val="24"/>
          <w:lang w:val="en-GB"/>
        </w:rPr>
        <w:t xml:space="preserve">the MSG fossils are the following: </w:t>
      </w:r>
      <w:r w:rsidR="00603EB7" w:rsidRPr="00811D74">
        <w:rPr>
          <w:i/>
          <w:sz w:val="24"/>
          <w:szCs w:val="24"/>
          <w:lang w:val="en-GB"/>
        </w:rPr>
        <w:t>i</w:t>
      </w:r>
      <w:r w:rsidR="00603EB7" w:rsidRPr="003B160B">
        <w:rPr>
          <w:sz w:val="24"/>
          <w:szCs w:val="24"/>
          <w:lang w:val="en-GB"/>
        </w:rPr>
        <w:t xml:space="preserve">) node 161, based on </w:t>
      </w:r>
      <w:r w:rsidR="00603EB7">
        <w:rPr>
          <w:i/>
          <w:sz w:val="24"/>
          <w:szCs w:val="24"/>
          <w:lang w:val="en-GB"/>
        </w:rPr>
        <w:t>G.</w:t>
      </w:r>
      <w:r w:rsidR="00603EB7" w:rsidRPr="003B160B">
        <w:rPr>
          <w:i/>
          <w:sz w:val="24"/>
          <w:szCs w:val="24"/>
          <w:lang w:val="en-GB"/>
        </w:rPr>
        <w:t xml:space="preserve"> triassicus</w:t>
      </w:r>
      <w:r w:rsidR="00603EB7" w:rsidRPr="003B160B">
        <w:rPr>
          <w:sz w:val="24"/>
          <w:szCs w:val="24"/>
          <w:lang w:val="en-GB"/>
        </w:rPr>
        <w:t xml:space="preserve"> and corresponding to crown Archaeognata (Machilidae + Meinertellidae); </w:t>
      </w:r>
      <w:r w:rsidR="00603EB7" w:rsidRPr="003B160B">
        <w:rPr>
          <w:i/>
          <w:sz w:val="24"/>
          <w:szCs w:val="24"/>
          <w:lang w:val="en-GB"/>
        </w:rPr>
        <w:t>ii</w:t>
      </w:r>
      <w:r w:rsidR="00603EB7" w:rsidRPr="003B160B">
        <w:rPr>
          <w:sz w:val="24"/>
          <w:szCs w:val="24"/>
          <w:lang w:val="en-GB"/>
        </w:rPr>
        <w:t xml:space="preserve">) node 166, based on </w:t>
      </w:r>
      <w:r w:rsidR="00603EB7" w:rsidRPr="003B160B">
        <w:rPr>
          <w:i/>
          <w:sz w:val="24"/>
          <w:szCs w:val="24"/>
          <w:lang w:val="en-GB"/>
        </w:rPr>
        <w:t>T</w:t>
      </w:r>
      <w:r w:rsidR="00603EB7">
        <w:rPr>
          <w:i/>
          <w:sz w:val="24"/>
          <w:szCs w:val="24"/>
          <w:lang w:val="en-GB"/>
        </w:rPr>
        <w:t>.</w:t>
      </w:r>
      <w:r w:rsidR="00603EB7" w:rsidRPr="003B160B">
        <w:rPr>
          <w:i/>
          <w:sz w:val="24"/>
          <w:szCs w:val="24"/>
          <w:lang w:val="en-GB"/>
        </w:rPr>
        <w:t xml:space="preserve"> meridensis </w:t>
      </w:r>
      <w:r w:rsidR="00603EB7" w:rsidRPr="003B160B">
        <w:rPr>
          <w:sz w:val="24"/>
          <w:szCs w:val="24"/>
          <w:lang w:val="en-GB"/>
        </w:rPr>
        <w:t xml:space="preserve">and corresponding to </w:t>
      </w:r>
      <w:r w:rsidR="00603EB7">
        <w:rPr>
          <w:sz w:val="24"/>
          <w:szCs w:val="24"/>
          <w:lang w:val="en-GB"/>
        </w:rPr>
        <w:t>crown</w:t>
      </w:r>
      <w:r w:rsidR="00603EB7" w:rsidRPr="003B160B">
        <w:rPr>
          <w:sz w:val="24"/>
          <w:szCs w:val="24"/>
          <w:lang w:val="en-GB"/>
        </w:rPr>
        <w:t xml:space="preserve"> Palaeoptera; </w:t>
      </w:r>
      <w:r w:rsidR="00603EB7" w:rsidRPr="003B160B">
        <w:rPr>
          <w:i/>
          <w:sz w:val="24"/>
          <w:szCs w:val="24"/>
          <w:lang w:val="en-GB"/>
        </w:rPr>
        <w:t>iii</w:t>
      </w:r>
      <w:r w:rsidR="00603EB7" w:rsidRPr="003B160B">
        <w:rPr>
          <w:sz w:val="24"/>
          <w:szCs w:val="24"/>
          <w:lang w:val="en-GB"/>
        </w:rPr>
        <w:t xml:space="preserve">) node 217, based on </w:t>
      </w:r>
      <w:r w:rsidR="00603EB7" w:rsidRPr="003B160B">
        <w:rPr>
          <w:i/>
          <w:sz w:val="24"/>
          <w:szCs w:val="24"/>
          <w:lang w:val="en-GB"/>
        </w:rPr>
        <w:t>A</w:t>
      </w:r>
      <w:r w:rsidR="00603EB7">
        <w:rPr>
          <w:i/>
          <w:sz w:val="24"/>
          <w:szCs w:val="24"/>
          <w:lang w:val="en-GB"/>
        </w:rPr>
        <w:t>.</w:t>
      </w:r>
      <w:r w:rsidR="00603EB7" w:rsidRPr="003B160B">
        <w:rPr>
          <w:i/>
          <w:sz w:val="24"/>
          <w:szCs w:val="24"/>
          <w:lang w:val="en-GB"/>
        </w:rPr>
        <w:t xml:space="preserve"> ladinica </w:t>
      </w:r>
      <w:r w:rsidR="00603EB7" w:rsidRPr="003B160B">
        <w:rPr>
          <w:sz w:val="24"/>
          <w:szCs w:val="24"/>
          <w:lang w:val="en-GB"/>
        </w:rPr>
        <w:t>and corresponding to the split between crown</w:t>
      </w:r>
      <w:r w:rsidR="00603EB7" w:rsidRPr="003B160B">
        <w:rPr>
          <w:i/>
          <w:sz w:val="24"/>
          <w:szCs w:val="24"/>
          <w:lang w:val="en-GB"/>
        </w:rPr>
        <w:t xml:space="preserve"> </w:t>
      </w:r>
      <w:r w:rsidR="00603EB7" w:rsidRPr="0014184E">
        <w:rPr>
          <w:iCs/>
          <w:sz w:val="24"/>
          <w:szCs w:val="24"/>
          <w:lang w:val="en-GB"/>
        </w:rPr>
        <w:t>Cimicomorpha</w:t>
      </w:r>
      <w:r w:rsidR="00603EB7" w:rsidRPr="003B160B">
        <w:rPr>
          <w:i/>
          <w:sz w:val="24"/>
          <w:szCs w:val="24"/>
          <w:lang w:val="en-GB"/>
        </w:rPr>
        <w:t xml:space="preserve"> </w:t>
      </w:r>
      <w:r w:rsidR="00603EB7" w:rsidRPr="003B160B">
        <w:rPr>
          <w:sz w:val="24"/>
          <w:szCs w:val="24"/>
          <w:lang w:val="en-GB"/>
        </w:rPr>
        <w:t>and</w:t>
      </w:r>
      <w:r w:rsidR="00603EB7" w:rsidRPr="003B160B">
        <w:rPr>
          <w:i/>
          <w:sz w:val="24"/>
          <w:szCs w:val="24"/>
          <w:lang w:val="en-GB"/>
        </w:rPr>
        <w:t xml:space="preserve"> </w:t>
      </w:r>
      <w:r w:rsidR="00603EB7" w:rsidRPr="0014184E">
        <w:rPr>
          <w:iCs/>
          <w:sz w:val="24"/>
          <w:szCs w:val="24"/>
          <w:lang w:val="en-GB"/>
        </w:rPr>
        <w:t>Pentatomorpha</w:t>
      </w:r>
      <w:r w:rsidR="00603EB7">
        <w:rPr>
          <w:sz w:val="24"/>
          <w:szCs w:val="24"/>
          <w:lang w:val="en-GB"/>
        </w:rPr>
        <w:t>,</w:t>
      </w:r>
      <w:r w:rsidR="00603EB7" w:rsidRPr="003B160B">
        <w:rPr>
          <w:i/>
          <w:sz w:val="24"/>
          <w:szCs w:val="24"/>
          <w:lang w:val="en-GB"/>
        </w:rPr>
        <w:t xml:space="preserve"> </w:t>
      </w:r>
      <w:r w:rsidR="00603EB7" w:rsidRPr="003B160B">
        <w:rPr>
          <w:sz w:val="24"/>
          <w:szCs w:val="24"/>
          <w:lang w:val="en-GB"/>
        </w:rPr>
        <w:t xml:space="preserve">represented by </w:t>
      </w:r>
      <w:r w:rsidR="00603EB7" w:rsidRPr="003B160B">
        <w:rPr>
          <w:i/>
          <w:sz w:val="24"/>
          <w:szCs w:val="24"/>
          <w:lang w:val="en-GB"/>
        </w:rPr>
        <w:t xml:space="preserve">Acanthosoma haemorrhoidale </w:t>
      </w:r>
      <w:r w:rsidR="00603EB7" w:rsidRPr="003B160B">
        <w:rPr>
          <w:sz w:val="24"/>
          <w:szCs w:val="24"/>
          <w:lang w:val="en-GB"/>
        </w:rPr>
        <w:t xml:space="preserve">and </w:t>
      </w:r>
      <w:r w:rsidR="00603EB7" w:rsidRPr="003B160B">
        <w:rPr>
          <w:i/>
          <w:sz w:val="24"/>
          <w:szCs w:val="24"/>
          <w:lang w:val="en-GB"/>
        </w:rPr>
        <w:t>Notostira elongata</w:t>
      </w:r>
      <w:r w:rsidR="00603EB7" w:rsidRPr="003B160B">
        <w:rPr>
          <w:sz w:val="24"/>
          <w:szCs w:val="24"/>
          <w:lang w:val="en-GB"/>
        </w:rPr>
        <w:t xml:space="preserve">; </w:t>
      </w:r>
      <w:r w:rsidR="00603EB7" w:rsidRPr="003B160B">
        <w:rPr>
          <w:i/>
          <w:sz w:val="24"/>
          <w:szCs w:val="24"/>
          <w:lang w:val="en-GB"/>
        </w:rPr>
        <w:t>iv</w:t>
      </w:r>
      <w:r w:rsidR="00603EB7" w:rsidRPr="003B160B">
        <w:rPr>
          <w:sz w:val="24"/>
          <w:szCs w:val="24"/>
          <w:lang w:val="en-GB"/>
        </w:rPr>
        <w:t xml:space="preserve">) node 249, based on </w:t>
      </w:r>
      <w:r w:rsidR="00603EB7" w:rsidRPr="003B160B">
        <w:rPr>
          <w:i/>
          <w:sz w:val="24"/>
          <w:szCs w:val="24"/>
          <w:lang w:val="en-GB"/>
        </w:rPr>
        <w:t>P</w:t>
      </w:r>
      <w:r w:rsidR="00603EB7">
        <w:rPr>
          <w:i/>
          <w:sz w:val="24"/>
          <w:szCs w:val="24"/>
          <w:lang w:val="en-GB"/>
        </w:rPr>
        <w:t>.</w:t>
      </w:r>
      <w:r w:rsidR="00603EB7" w:rsidRPr="003B160B">
        <w:rPr>
          <w:i/>
          <w:sz w:val="24"/>
          <w:szCs w:val="24"/>
          <w:lang w:val="en-GB"/>
        </w:rPr>
        <w:t xml:space="preserve"> sangiorgiensis</w:t>
      </w:r>
      <w:r w:rsidR="00603EB7" w:rsidRPr="003B160B">
        <w:rPr>
          <w:sz w:val="24"/>
          <w:szCs w:val="24"/>
          <w:lang w:val="en-GB"/>
        </w:rPr>
        <w:t xml:space="preserve"> and corresponding to crown Adephaga</w:t>
      </w:r>
      <w:r w:rsidR="00603EB7">
        <w:rPr>
          <w:sz w:val="24"/>
          <w:szCs w:val="24"/>
          <w:lang w:val="en-GB"/>
        </w:rPr>
        <w:t xml:space="preserve"> in Coleoptera</w:t>
      </w:r>
      <w:r w:rsidR="00603EB7" w:rsidRPr="003B160B">
        <w:rPr>
          <w:sz w:val="24"/>
          <w:szCs w:val="24"/>
          <w:lang w:val="en-GB"/>
        </w:rPr>
        <w:t xml:space="preserve">; </w:t>
      </w:r>
      <w:r w:rsidR="00603EB7" w:rsidRPr="003B160B">
        <w:rPr>
          <w:i/>
          <w:sz w:val="24"/>
          <w:szCs w:val="24"/>
          <w:lang w:val="en-GB"/>
        </w:rPr>
        <w:t>v</w:t>
      </w:r>
      <w:r w:rsidR="00603EB7" w:rsidRPr="003B160B">
        <w:rPr>
          <w:sz w:val="24"/>
          <w:szCs w:val="24"/>
          <w:lang w:val="en-GB"/>
        </w:rPr>
        <w:t xml:space="preserve">) node 248, based on </w:t>
      </w:r>
      <w:r w:rsidR="00603EB7" w:rsidRPr="003B160B">
        <w:rPr>
          <w:i/>
          <w:sz w:val="24"/>
          <w:szCs w:val="24"/>
          <w:lang w:val="en-GB"/>
        </w:rPr>
        <w:t>Notocupes</w:t>
      </w:r>
      <w:r w:rsidR="00603EB7" w:rsidRPr="003B160B">
        <w:rPr>
          <w:sz w:val="24"/>
          <w:szCs w:val="24"/>
          <w:lang w:val="en-GB"/>
        </w:rPr>
        <w:t xml:space="preserve"> sp. and corresponding to the split between the beetle suborders Archostemata and Adephaga</w:t>
      </w:r>
      <w:r w:rsidR="00603EB7">
        <w:rPr>
          <w:sz w:val="24"/>
          <w:szCs w:val="24"/>
          <w:lang w:val="en-GB"/>
        </w:rPr>
        <w:t>,</w:t>
      </w:r>
      <w:r w:rsidR="00603EB7" w:rsidRPr="003B160B">
        <w:rPr>
          <w:sz w:val="24"/>
          <w:szCs w:val="24"/>
          <w:lang w:val="en-GB"/>
        </w:rPr>
        <w:t xml:space="preserve"> here represented by the extant </w:t>
      </w:r>
      <w:r w:rsidR="00603EB7" w:rsidRPr="003B160B">
        <w:rPr>
          <w:i/>
          <w:sz w:val="24"/>
          <w:szCs w:val="24"/>
          <w:lang w:val="en-GB"/>
        </w:rPr>
        <w:t>Carabus granulatus</w:t>
      </w:r>
      <w:r w:rsidR="00603EB7" w:rsidRPr="003B160B">
        <w:rPr>
          <w:sz w:val="24"/>
          <w:szCs w:val="24"/>
          <w:lang w:val="en-GB"/>
        </w:rPr>
        <w:t xml:space="preserve">, </w:t>
      </w:r>
      <w:r w:rsidR="00603EB7" w:rsidRPr="003B160B">
        <w:rPr>
          <w:i/>
          <w:sz w:val="24"/>
          <w:szCs w:val="24"/>
          <w:lang w:val="en-GB"/>
        </w:rPr>
        <w:t>Gyrinus marinus</w:t>
      </w:r>
      <w:r w:rsidR="00603EB7">
        <w:rPr>
          <w:sz w:val="24"/>
          <w:szCs w:val="24"/>
          <w:lang w:val="en-GB"/>
        </w:rPr>
        <w:t>,</w:t>
      </w:r>
      <w:r w:rsidR="00603EB7" w:rsidRPr="003B160B">
        <w:rPr>
          <w:sz w:val="24"/>
          <w:szCs w:val="24"/>
          <w:lang w:val="en-GB"/>
        </w:rPr>
        <w:t xml:space="preserve"> and </w:t>
      </w:r>
      <w:r w:rsidR="00603EB7" w:rsidRPr="003B160B">
        <w:rPr>
          <w:i/>
          <w:sz w:val="24"/>
          <w:szCs w:val="24"/>
          <w:lang w:val="en-GB"/>
        </w:rPr>
        <w:t>Priacma serrata</w:t>
      </w:r>
      <w:r w:rsidR="00603EB7" w:rsidRPr="003B160B">
        <w:rPr>
          <w:sz w:val="24"/>
          <w:szCs w:val="24"/>
          <w:lang w:val="en-GB"/>
        </w:rPr>
        <w:t xml:space="preserve">; </w:t>
      </w:r>
      <w:r w:rsidR="00603EB7" w:rsidRPr="003B160B">
        <w:rPr>
          <w:i/>
          <w:sz w:val="24"/>
          <w:szCs w:val="24"/>
          <w:lang w:val="en-GB"/>
        </w:rPr>
        <w:t>vi</w:t>
      </w:r>
      <w:r w:rsidR="00603EB7" w:rsidRPr="003B160B">
        <w:rPr>
          <w:sz w:val="24"/>
          <w:szCs w:val="24"/>
          <w:lang w:val="en-GB"/>
        </w:rPr>
        <w:t>)</w:t>
      </w:r>
      <w:r w:rsidR="00603EB7" w:rsidRPr="003B160B">
        <w:rPr>
          <w:b/>
          <w:sz w:val="24"/>
          <w:szCs w:val="24"/>
          <w:lang w:val="en-GB"/>
        </w:rPr>
        <w:t xml:space="preserve"> </w:t>
      </w:r>
      <w:r w:rsidR="00603EB7" w:rsidRPr="003B160B">
        <w:rPr>
          <w:sz w:val="24"/>
          <w:szCs w:val="24"/>
          <w:lang w:val="en-GB"/>
        </w:rPr>
        <w:t>node 245, based on specimen MCSN8464 (</w:t>
      </w:r>
      <w:r w:rsidR="00603EB7">
        <w:rPr>
          <w:sz w:val="24"/>
          <w:szCs w:val="24"/>
          <w:lang w:val="en-GB"/>
        </w:rPr>
        <w:t xml:space="preserve">Polyphaga in </w:t>
      </w:r>
      <w:r w:rsidR="00603EB7" w:rsidRPr="003B160B">
        <w:rPr>
          <w:sz w:val="24"/>
          <w:szCs w:val="24"/>
          <w:lang w:val="en-GB"/>
        </w:rPr>
        <w:t>Coleoptera) and corresponding to crown Polyphaga</w:t>
      </w:r>
      <w:r w:rsidR="00603EB7">
        <w:rPr>
          <w:sz w:val="24"/>
          <w:szCs w:val="24"/>
          <w:lang w:val="en-GB"/>
        </w:rPr>
        <w:t xml:space="preserve"> in Coleoptera</w:t>
      </w:r>
      <w:r w:rsidR="00603EB7" w:rsidRPr="003B160B">
        <w:rPr>
          <w:sz w:val="24"/>
          <w:szCs w:val="24"/>
          <w:lang w:val="en-GB"/>
        </w:rPr>
        <w:t xml:space="preserve">; </w:t>
      </w:r>
      <w:r w:rsidR="00603EB7" w:rsidRPr="003B160B">
        <w:rPr>
          <w:i/>
          <w:sz w:val="24"/>
          <w:szCs w:val="24"/>
          <w:lang w:val="en-GB"/>
        </w:rPr>
        <w:t>vii</w:t>
      </w:r>
      <w:r w:rsidR="00603EB7" w:rsidRPr="003B160B">
        <w:rPr>
          <w:sz w:val="24"/>
          <w:szCs w:val="24"/>
          <w:lang w:val="en-GB"/>
        </w:rPr>
        <w:t xml:space="preserve">) node 176, based </w:t>
      </w:r>
      <w:r w:rsidR="00603EB7">
        <w:rPr>
          <w:sz w:val="24"/>
          <w:szCs w:val="24"/>
          <w:lang w:val="en-GB"/>
        </w:rPr>
        <w:t xml:space="preserve">on </w:t>
      </w:r>
      <w:r w:rsidR="00603EB7" w:rsidRPr="003B160B">
        <w:rPr>
          <w:sz w:val="24"/>
          <w:szCs w:val="24"/>
          <w:lang w:val="en-GB"/>
        </w:rPr>
        <w:t xml:space="preserve">the stonefly nymph (Plecoptera) fossil, corresponding to the split </w:t>
      </w:r>
      <w:r w:rsidR="00603EB7">
        <w:rPr>
          <w:sz w:val="24"/>
          <w:szCs w:val="24"/>
          <w:lang w:val="en-GB"/>
        </w:rPr>
        <w:t xml:space="preserve">between </w:t>
      </w:r>
      <w:r w:rsidR="00603EB7" w:rsidRPr="003B160B">
        <w:rPr>
          <w:sz w:val="24"/>
          <w:szCs w:val="24"/>
          <w:lang w:val="en-GB"/>
        </w:rPr>
        <w:t>Plecoptera and Orthoptera</w:t>
      </w:r>
      <w:r w:rsidR="00603EB7">
        <w:rPr>
          <w:sz w:val="24"/>
          <w:szCs w:val="24"/>
          <w:lang w:val="en-GB"/>
        </w:rPr>
        <w:t xml:space="preserve">, </w:t>
      </w:r>
      <w:r w:rsidR="00603EB7" w:rsidRPr="003B160B">
        <w:rPr>
          <w:sz w:val="24"/>
          <w:szCs w:val="24"/>
          <w:lang w:val="en-GB"/>
        </w:rPr>
        <w:t>Dictyoptera</w:t>
      </w:r>
      <w:r w:rsidR="00603EB7">
        <w:rPr>
          <w:sz w:val="24"/>
          <w:szCs w:val="24"/>
          <w:lang w:val="en-GB"/>
        </w:rPr>
        <w:t xml:space="preserve">, </w:t>
      </w:r>
      <w:r w:rsidR="00603EB7" w:rsidRPr="003B160B">
        <w:rPr>
          <w:sz w:val="24"/>
          <w:szCs w:val="24"/>
          <w:lang w:val="en-GB"/>
        </w:rPr>
        <w:t>Mantophasmatodea</w:t>
      </w:r>
      <w:r w:rsidR="00603EB7">
        <w:rPr>
          <w:sz w:val="24"/>
          <w:szCs w:val="24"/>
          <w:lang w:val="en-GB"/>
        </w:rPr>
        <w:t>,</w:t>
      </w:r>
      <w:r w:rsidR="00603EB7" w:rsidRPr="003B160B">
        <w:rPr>
          <w:sz w:val="24"/>
          <w:szCs w:val="24"/>
          <w:lang w:val="en-GB"/>
        </w:rPr>
        <w:t xml:space="preserve"> Grylloblattodea</w:t>
      </w:r>
      <w:r w:rsidR="00603EB7">
        <w:rPr>
          <w:sz w:val="24"/>
          <w:szCs w:val="24"/>
          <w:lang w:val="en-GB"/>
        </w:rPr>
        <w:t xml:space="preserve">, </w:t>
      </w:r>
      <w:r w:rsidR="00603EB7" w:rsidRPr="003B160B">
        <w:rPr>
          <w:sz w:val="24"/>
          <w:szCs w:val="24"/>
          <w:lang w:val="en-GB"/>
        </w:rPr>
        <w:t>Embioptera</w:t>
      </w:r>
      <w:r w:rsidR="00603EB7">
        <w:rPr>
          <w:sz w:val="24"/>
          <w:szCs w:val="24"/>
          <w:lang w:val="en-GB"/>
        </w:rPr>
        <w:t xml:space="preserve">, and </w:t>
      </w:r>
      <w:r w:rsidR="00603EB7" w:rsidRPr="003B160B">
        <w:rPr>
          <w:sz w:val="24"/>
          <w:szCs w:val="24"/>
          <w:lang w:val="en-GB"/>
        </w:rPr>
        <w:t xml:space="preserve">Phasmatodea; and </w:t>
      </w:r>
      <w:r w:rsidR="00603EB7" w:rsidRPr="003B160B">
        <w:rPr>
          <w:i/>
          <w:sz w:val="24"/>
          <w:szCs w:val="24"/>
          <w:lang w:val="en-GB"/>
        </w:rPr>
        <w:t>vii</w:t>
      </w:r>
      <w:r w:rsidR="00603EB7" w:rsidRPr="003B160B">
        <w:rPr>
          <w:sz w:val="24"/>
          <w:szCs w:val="24"/>
          <w:lang w:val="en-GB"/>
        </w:rPr>
        <w:t>) node 188, based on the webspinner MCSN8457 and corresponding to the split between Embioptera (</w:t>
      </w:r>
      <w:r w:rsidR="00603EB7" w:rsidRPr="003B160B">
        <w:rPr>
          <w:i/>
          <w:sz w:val="24"/>
          <w:szCs w:val="24"/>
          <w:lang w:val="en-GB"/>
        </w:rPr>
        <w:t>Haploembia palaui</w:t>
      </w:r>
      <w:r w:rsidR="00603EB7" w:rsidRPr="003B160B">
        <w:rPr>
          <w:sz w:val="24"/>
          <w:szCs w:val="24"/>
          <w:lang w:val="en-GB"/>
        </w:rPr>
        <w:t xml:space="preserve"> and </w:t>
      </w:r>
      <w:r w:rsidR="00603EB7" w:rsidRPr="003B160B">
        <w:rPr>
          <w:i/>
          <w:sz w:val="24"/>
          <w:szCs w:val="24"/>
          <w:lang w:val="en-GB"/>
        </w:rPr>
        <w:t>Aposthonia japonica</w:t>
      </w:r>
      <w:r w:rsidR="00603EB7" w:rsidRPr="003B160B">
        <w:rPr>
          <w:sz w:val="24"/>
          <w:szCs w:val="24"/>
          <w:lang w:val="en-GB"/>
        </w:rPr>
        <w:t>) and Phasmatodea (</w:t>
      </w:r>
      <w:r w:rsidR="00603EB7" w:rsidRPr="003B160B">
        <w:rPr>
          <w:i/>
          <w:sz w:val="24"/>
          <w:szCs w:val="24"/>
          <w:lang w:val="en-GB"/>
        </w:rPr>
        <w:t>Timema cristinae</w:t>
      </w:r>
      <w:r w:rsidR="00603EB7" w:rsidRPr="003B160B">
        <w:rPr>
          <w:sz w:val="24"/>
          <w:szCs w:val="24"/>
          <w:lang w:val="en-GB"/>
        </w:rPr>
        <w:t xml:space="preserve">, </w:t>
      </w:r>
      <w:r w:rsidR="00603EB7" w:rsidRPr="003B160B">
        <w:rPr>
          <w:i/>
          <w:sz w:val="24"/>
          <w:szCs w:val="24"/>
          <w:lang w:val="en-GB"/>
        </w:rPr>
        <w:t>Aretaon asperrimus</w:t>
      </w:r>
      <w:r w:rsidR="00603EB7" w:rsidRPr="003B160B">
        <w:rPr>
          <w:sz w:val="24"/>
          <w:szCs w:val="24"/>
          <w:lang w:val="en-GB"/>
        </w:rPr>
        <w:t xml:space="preserve">, </w:t>
      </w:r>
      <w:r w:rsidR="00603EB7">
        <w:rPr>
          <w:sz w:val="24"/>
          <w:szCs w:val="24"/>
          <w:lang w:val="en-GB"/>
        </w:rPr>
        <w:t xml:space="preserve">and </w:t>
      </w:r>
      <w:r w:rsidR="00603EB7" w:rsidRPr="003B160B">
        <w:rPr>
          <w:i/>
          <w:sz w:val="24"/>
          <w:szCs w:val="24"/>
          <w:lang w:val="en-GB"/>
        </w:rPr>
        <w:t>Peruphasma schultei</w:t>
      </w:r>
      <w:r w:rsidR="00603EB7" w:rsidRPr="003B160B">
        <w:rPr>
          <w:sz w:val="24"/>
          <w:szCs w:val="24"/>
          <w:lang w:val="en-GB"/>
        </w:rPr>
        <w:t>).</w:t>
      </w:r>
    </w:p>
    <w:p w14:paraId="1CA9251D" w14:textId="20018541" w:rsidR="004C14D5" w:rsidRDefault="004C14D5" w:rsidP="009B1B09">
      <w:pPr>
        <w:spacing w:line="480" w:lineRule="auto"/>
        <w:jc w:val="both"/>
        <w:rPr>
          <w:sz w:val="24"/>
          <w:szCs w:val="24"/>
          <w:lang w:val="en-GB"/>
        </w:rPr>
      </w:pPr>
    </w:p>
    <w:p w14:paraId="41D0447B" w14:textId="6E758FAC" w:rsidR="004C14D5" w:rsidRPr="004C14D5" w:rsidRDefault="004C14D5" w:rsidP="004C14D5">
      <w:pPr>
        <w:pStyle w:val="ListParagraph"/>
        <w:numPr>
          <w:ilvl w:val="0"/>
          <w:numId w:val="1"/>
        </w:numPr>
        <w:spacing w:line="480" w:lineRule="auto"/>
        <w:ind w:left="284" w:hanging="284"/>
        <w:jc w:val="both"/>
        <w:outlineLvl w:val="0"/>
        <w:rPr>
          <w:i/>
          <w:sz w:val="24"/>
          <w:szCs w:val="24"/>
          <w:lang w:val="en-GB"/>
        </w:rPr>
      </w:pPr>
      <w:r w:rsidRPr="004C14D5">
        <w:rPr>
          <w:i/>
          <w:sz w:val="24"/>
          <w:szCs w:val="24"/>
          <w:lang w:val="en-GB"/>
        </w:rPr>
        <w:t>Image acquisition and figure preparation</w:t>
      </w:r>
    </w:p>
    <w:p w14:paraId="7561DF88" w14:textId="16A1D616" w:rsidR="004C14D5" w:rsidRDefault="004C14D5" w:rsidP="004C14D5">
      <w:pPr>
        <w:spacing w:line="480" w:lineRule="auto"/>
        <w:jc w:val="both"/>
        <w:rPr>
          <w:sz w:val="24"/>
          <w:szCs w:val="24"/>
          <w:lang w:val="en-GB"/>
        </w:rPr>
      </w:pPr>
      <w:r w:rsidRPr="009877E6">
        <w:rPr>
          <w:sz w:val="24"/>
          <w:szCs w:val="24"/>
          <w:lang w:val="en-GB"/>
        </w:rPr>
        <w:t xml:space="preserve">Direct observations and measurements were performed using a stereomicroscope (Leica MS5) with an ocular micrometer. The specimens were photographed under two different settings. First, macrophotography was performed with a Canon EOS 450 with 60 mm macro lens, </w:t>
      </w:r>
      <w:r>
        <w:rPr>
          <w:sz w:val="24"/>
          <w:szCs w:val="24"/>
          <w:lang w:val="en-GB"/>
        </w:rPr>
        <w:t>with</w:t>
      </w:r>
      <w:r w:rsidRPr="009877E6">
        <w:rPr>
          <w:sz w:val="24"/>
          <w:szCs w:val="24"/>
          <w:lang w:val="en-GB"/>
        </w:rPr>
        <w:t xml:space="preserve"> several image </w:t>
      </w:r>
      <w:r w:rsidRPr="009877E6">
        <w:rPr>
          <w:sz w:val="24"/>
          <w:szCs w:val="24"/>
          <w:lang w:val="en-GB"/>
        </w:rPr>
        <w:lastRenderedPageBreak/>
        <w:t xml:space="preserve">stacks </w:t>
      </w:r>
      <w:r>
        <w:rPr>
          <w:sz w:val="24"/>
          <w:szCs w:val="24"/>
          <w:lang w:val="en-GB"/>
        </w:rPr>
        <w:t xml:space="preserve">taken </w:t>
      </w:r>
      <w:r w:rsidRPr="009877E6">
        <w:rPr>
          <w:sz w:val="24"/>
          <w:szCs w:val="24"/>
          <w:lang w:val="en-GB"/>
        </w:rPr>
        <w:t>to obtain an entirely sharp high-resolution image. The stacks were subsequently fused and stitched with Zerene and Adobe Photoshop CS. Additionally, multi-layer microphotographs were acquired under transmitted light or fluorescence using a Zeiss Axio Zoom V16 stereomicroscope with the digital camera Zeiss Axiocam 506. Insect drawings included in figures were made using Wacom Intuos Pro graphics tablet and Adobe Illustrator CC. Figures were assembled using Adobe Photoshop CS.</w:t>
      </w:r>
    </w:p>
    <w:p w14:paraId="599ED4EB" w14:textId="633DB513" w:rsidR="00E425AF" w:rsidRPr="00E425AF" w:rsidRDefault="00E425AF" w:rsidP="004C14D5">
      <w:pPr>
        <w:spacing w:line="480" w:lineRule="auto"/>
        <w:jc w:val="both"/>
        <w:rPr>
          <w:i/>
          <w:iCs/>
          <w:sz w:val="24"/>
          <w:szCs w:val="24"/>
          <w:lang w:val="en-GB"/>
        </w:rPr>
      </w:pPr>
    </w:p>
    <w:p w14:paraId="12D33033" w14:textId="020CADBC" w:rsidR="00A26B44" w:rsidRDefault="00A26B44" w:rsidP="00A26B44">
      <w:pPr>
        <w:pStyle w:val="Body"/>
        <w:numPr>
          <w:ilvl w:val="0"/>
          <w:numId w:val="1"/>
        </w:numPr>
        <w:spacing w:line="480" w:lineRule="auto"/>
        <w:ind w:left="284" w:hanging="284"/>
        <w:jc w:val="both"/>
        <w:rPr>
          <w:rFonts w:ascii="Times New Roman" w:eastAsia="Calibri" w:hAnsi="Times New Roman" w:cs="Times New Roman"/>
          <w:i/>
          <w:iCs/>
          <w:color w:val="auto"/>
          <w:bdr w:val="none" w:sz="0" w:space="0" w:color="auto"/>
          <w:lang w:val="en-GB" w:eastAsia="en-US"/>
        </w:rPr>
      </w:pPr>
      <w:r w:rsidRPr="00A26B44">
        <w:rPr>
          <w:rFonts w:ascii="Times New Roman" w:eastAsia="Calibri" w:hAnsi="Times New Roman" w:cs="Times New Roman"/>
          <w:i/>
          <w:iCs/>
          <w:color w:val="auto"/>
          <w:bdr w:val="none" w:sz="0" w:space="0" w:color="auto"/>
          <w:lang w:val="en-GB" w:eastAsia="en-US"/>
        </w:rPr>
        <w:t xml:space="preserve">Genomic dataset, alignment, selection of meta-partitions and amino-acid substitution model </w:t>
      </w:r>
    </w:p>
    <w:p w14:paraId="74D8AC0A" w14:textId="5E9C57AE" w:rsidR="00E425AF" w:rsidRPr="009877E6" w:rsidRDefault="00E425AF" w:rsidP="00E425AF">
      <w:pPr>
        <w:pStyle w:val="Body"/>
        <w:spacing w:line="480" w:lineRule="auto"/>
        <w:jc w:val="both"/>
        <w:rPr>
          <w:rFonts w:ascii="Times New Roman" w:hAnsi="Times New Roman" w:cs="Times New Roman"/>
          <w:lang w:val="en-GB"/>
        </w:rPr>
      </w:pPr>
      <w:r w:rsidRPr="009877E6">
        <w:rPr>
          <w:rStyle w:val="PageNumber"/>
          <w:rFonts w:ascii="Times New Roman" w:hAnsi="Times New Roman" w:cs="Times New Roman"/>
          <w:lang w:val="en-GB"/>
        </w:rPr>
        <w:t>The amino acid data</w:t>
      </w:r>
      <w:r>
        <w:rPr>
          <w:rStyle w:val="PageNumber"/>
          <w:rFonts w:ascii="Times New Roman" w:hAnsi="Times New Roman" w:cs="Times New Roman"/>
          <w:lang w:val="en-GB"/>
        </w:rPr>
        <w:t xml:space="preserve"> </w:t>
      </w:r>
      <w:r w:rsidRPr="009877E6">
        <w:rPr>
          <w:rStyle w:val="PageNumber"/>
          <w:rFonts w:ascii="Times New Roman" w:hAnsi="Times New Roman" w:cs="Times New Roman"/>
          <w:lang w:val="en-GB"/>
        </w:rPr>
        <w:t>set was produced by extensive filtering of the original data</w:t>
      </w:r>
      <w:r>
        <w:rPr>
          <w:rStyle w:val="PageNumber"/>
          <w:rFonts w:ascii="Times New Roman" w:hAnsi="Times New Roman" w:cs="Times New Roman"/>
          <w:lang w:val="en-GB"/>
        </w:rPr>
        <w:t xml:space="preserve"> </w:t>
      </w:r>
      <w:r w:rsidRPr="009877E6">
        <w:rPr>
          <w:rStyle w:val="PageNumber"/>
          <w:rFonts w:ascii="Times New Roman" w:hAnsi="Times New Roman" w:cs="Times New Roman"/>
          <w:lang w:val="en-GB"/>
        </w:rPr>
        <w:t xml:space="preserve">set of 1,478 orthologue groups </w:t>
      </w:r>
      <w:r>
        <w:rPr>
          <w:rStyle w:val="PageNumber"/>
          <w:rFonts w:ascii="Times New Roman" w:hAnsi="Times New Roman" w:cs="Times New Roman"/>
          <w:lang w:val="en-GB"/>
        </w:rPr>
        <w:t>(</w:t>
      </w:r>
      <w:r w:rsidRPr="009877E6">
        <w:rPr>
          <w:rStyle w:val="PageNumber"/>
          <w:rFonts w:ascii="Times New Roman" w:hAnsi="Times New Roman" w:cs="Times New Roman"/>
          <w:lang w:val="en-GB"/>
        </w:rPr>
        <w:t>1.3 million sites</w:t>
      </w:r>
      <w:r>
        <w:rPr>
          <w:rStyle w:val="PageNumber"/>
          <w:rFonts w:ascii="Times New Roman" w:hAnsi="Times New Roman" w:cs="Times New Roman"/>
          <w:lang w:val="en-GB"/>
        </w:rPr>
        <w:t>)</w:t>
      </w:r>
      <w:r w:rsidRPr="009877E6">
        <w:rPr>
          <w:rStyle w:val="PageNumber"/>
          <w:rFonts w:ascii="Times New Roman" w:hAnsi="Times New Roman" w:cs="Times New Roman"/>
          <w:lang w:val="en-GB"/>
        </w:rPr>
        <w:t>, which had been assembled from transcriptomic data [1</w:t>
      </w:r>
      <w:r>
        <w:rPr>
          <w:rStyle w:val="PageNumber"/>
          <w:rFonts w:ascii="Times New Roman" w:hAnsi="Times New Roman" w:cs="Times New Roman"/>
          <w:lang w:val="en-GB"/>
        </w:rPr>
        <w:t>2</w:t>
      </w:r>
      <w:r w:rsidRPr="009877E6">
        <w:rPr>
          <w:rStyle w:val="PageNumber"/>
          <w:rFonts w:ascii="Times New Roman" w:hAnsi="Times New Roman" w:cs="Times New Roman"/>
          <w:lang w:val="en-GB"/>
        </w:rPr>
        <w:t xml:space="preserve">], </w:t>
      </w:r>
      <w:r>
        <w:rPr>
          <w:rStyle w:val="PageNumber"/>
          <w:rFonts w:ascii="Times New Roman" w:hAnsi="Times New Roman" w:cs="Times New Roman"/>
          <w:lang w:val="en-GB"/>
        </w:rPr>
        <w:t>with</w:t>
      </w:r>
      <w:r w:rsidRPr="009877E6">
        <w:rPr>
          <w:rStyle w:val="PageNumber"/>
          <w:rFonts w:ascii="Times New Roman" w:hAnsi="Times New Roman" w:cs="Times New Roman"/>
          <w:lang w:val="en-GB"/>
        </w:rPr>
        <w:t xml:space="preserve"> alignment</w:t>
      </w:r>
      <w:r>
        <w:rPr>
          <w:rStyle w:val="PageNumber"/>
          <w:rFonts w:ascii="Times New Roman" w:hAnsi="Times New Roman" w:cs="Times New Roman"/>
          <w:lang w:val="en-GB"/>
        </w:rPr>
        <w:t>-</w:t>
      </w:r>
      <w:r w:rsidRPr="009877E6">
        <w:rPr>
          <w:rStyle w:val="PageNumber"/>
          <w:rFonts w:ascii="Times New Roman" w:hAnsi="Times New Roman" w:cs="Times New Roman"/>
          <w:lang w:val="en-GB"/>
        </w:rPr>
        <w:t xml:space="preserve">masking techniques </w:t>
      </w:r>
      <w:r>
        <w:rPr>
          <w:rStyle w:val="PageNumber"/>
          <w:rFonts w:ascii="Times New Roman" w:hAnsi="Times New Roman" w:cs="Times New Roman"/>
          <w:lang w:val="en-GB"/>
        </w:rPr>
        <w:t xml:space="preserve">using </w:t>
      </w:r>
      <w:r w:rsidRPr="009877E6">
        <w:rPr>
          <w:rStyle w:val="PageNumber"/>
          <w:rFonts w:ascii="Times New Roman" w:hAnsi="Times New Roman" w:cs="Times New Roman"/>
          <w:lang w:val="en-GB"/>
        </w:rPr>
        <w:t>the program Aliscore [</w:t>
      </w:r>
      <w:r w:rsidR="004C21EF">
        <w:rPr>
          <w:rStyle w:val="PageNumber"/>
          <w:rFonts w:ascii="Times New Roman" w:hAnsi="Times New Roman" w:cs="Times New Roman"/>
          <w:lang w:val="en-GB"/>
        </w:rPr>
        <w:t>80</w:t>
      </w:r>
      <w:r w:rsidRPr="009877E6">
        <w:rPr>
          <w:rStyle w:val="PageNumber"/>
          <w:rFonts w:ascii="Times New Roman" w:hAnsi="Times New Roman" w:cs="Times New Roman"/>
          <w:lang w:val="en-GB"/>
        </w:rPr>
        <w:t xml:space="preserve">] to remove randomly similar sequences and alignment blocks </w:t>
      </w:r>
      <w:r>
        <w:rPr>
          <w:rStyle w:val="PageNumber"/>
          <w:rFonts w:ascii="Times New Roman" w:hAnsi="Times New Roman" w:cs="Times New Roman"/>
          <w:lang w:val="en-GB"/>
        </w:rPr>
        <w:t>that</w:t>
      </w:r>
      <w:r w:rsidRPr="009877E6">
        <w:rPr>
          <w:rStyle w:val="PageNumber"/>
          <w:rFonts w:ascii="Times New Roman" w:hAnsi="Times New Roman" w:cs="Times New Roman"/>
          <w:lang w:val="en-GB"/>
        </w:rPr>
        <w:t xml:space="preserve"> were scored as ambiguous [</w:t>
      </w:r>
      <w:r w:rsidR="004C21EF">
        <w:rPr>
          <w:rStyle w:val="PageNumber"/>
          <w:rFonts w:ascii="Times New Roman" w:hAnsi="Times New Roman" w:cs="Times New Roman"/>
          <w:lang w:val="en-GB"/>
        </w:rPr>
        <w:t>80</w:t>
      </w:r>
      <w:r w:rsidRPr="009877E6">
        <w:rPr>
          <w:rStyle w:val="PageNumber"/>
          <w:rFonts w:ascii="Times New Roman" w:hAnsi="Times New Roman" w:cs="Times New Roman"/>
          <w:lang w:val="en-GB"/>
        </w:rPr>
        <w:t>,</w:t>
      </w:r>
      <w:r w:rsidR="004C21EF">
        <w:rPr>
          <w:rStyle w:val="PageNumber"/>
          <w:rFonts w:ascii="Times New Roman" w:hAnsi="Times New Roman" w:cs="Times New Roman"/>
          <w:lang w:val="en-GB"/>
        </w:rPr>
        <w:t>81</w:t>
      </w:r>
      <w:r w:rsidRPr="009877E6">
        <w:rPr>
          <w:rStyle w:val="PageNumber"/>
          <w:rFonts w:ascii="Times New Roman" w:hAnsi="Times New Roman" w:cs="Times New Roman"/>
          <w:lang w:val="en-GB"/>
        </w:rPr>
        <w:t>]</w:t>
      </w:r>
      <w:r>
        <w:rPr>
          <w:rStyle w:val="PageNumber"/>
          <w:rFonts w:ascii="Times New Roman" w:hAnsi="Times New Roman" w:cs="Times New Roman"/>
          <w:lang w:val="en-GB"/>
        </w:rPr>
        <w:t xml:space="preserve"> (</w:t>
      </w:r>
      <w:r w:rsidRPr="009877E6">
        <w:rPr>
          <w:rStyle w:val="PageNumber"/>
          <w:rFonts w:ascii="Times New Roman" w:hAnsi="Times New Roman" w:cs="Times New Roman"/>
          <w:lang w:val="en-GB"/>
        </w:rPr>
        <w:t>see Section 3.3 in Supplementary Text of [1</w:t>
      </w:r>
      <w:r>
        <w:rPr>
          <w:rStyle w:val="PageNumber"/>
          <w:rFonts w:ascii="Times New Roman" w:hAnsi="Times New Roman" w:cs="Times New Roman"/>
          <w:lang w:val="en-GB"/>
        </w:rPr>
        <w:t>2</w:t>
      </w:r>
      <w:r w:rsidRPr="009877E6">
        <w:rPr>
          <w:rStyle w:val="PageNumber"/>
          <w:rFonts w:ascii="Times New Roman" w:hAnsi="Times New Roman" w:cs="Times New Roman"/>
          <w:lang w:val="en-GB"/>
        </w:rPr>
        <w:t>]). In this way, the filtering process maximized phylogenetic signal [</w:t>
      </w:r>
      <w:r w:rsidR="004C21EF">
        <w:rPr>
          <w:rStyle w:val="PageNumber"/>
          <w:rFonts w:ascii="Times New Roman" w:hAnsi="Times New Roman" w:cs="Times New Roman"/>
          <w:lang w:val="en-GB"/>
        </w:rPr>
        <w:t>80</w:t>
      </w:r>
      <w:r w:rsidRPr="009877E6">
        <w:rPr>
          <w:rStyle w:val="PageNumber"/>
          <w:rFonts w:ascii="Times New Roman" w:hAnsi="Times New Roman" w:cs="Times New Roman"/>
          <w:lang w:val="en-GB"/>
        </w:rPr>
        <w:t>] and ensured that key groups had minimal missing data. The filtering process also removed compositionally heterogeneous sequences, because these violate the assumptions of most phylogenetic models [</w:t>
      </w:r>
      <w:r w:rsidR="004C21EF">
        <w:rPr>
          <w:rStyle w:val="PageNumber"/>
          <w:rFonts w:ascii="Times New Roman" w:hAnsi="Times New Roman" w:cs="Times New Roman"/>
          <w:lang w:val="en-GB"/>
        </w:rPr>
        <w:t>82</w:t>
      </w:r>
      <w:r w:rsidRPr="009877E6">
        <w:rPr>
          <w:rStyle w:val="PageNumber"/>
          <w:rFonts w:ascii="Times New Roman" w:hAnsi="Times New Roman" w:cs="Times New Roman"/>
          <w:lang w:val="en-GB"/>
        </w:rPr>
        <w:t>].</w:t>
      </w:r>
    </w:p>
    <w:p w14:paraId="374CFA56" w14:textId="02F1A49D" w:rsidR="00E425AF" w:rsidRPr="0075759C" w:rsidRDefault="00E425AF" w:rsidP="00E425AF">
      <w:pPr>
        <w:spacing w:line="480" w:lineRule="auto"/>
        <w:jc w:val="both"/>
        <w:rPr>
          <w:sz w:val="24"/>
          <w:szCs w:val="24"/>
          <w:lang w:val="en-GB"/>
        </w:rPr>
      </w:pPr>
      <w:r w:rsidRPr="009877E6">
        <w:rPr>
          <w:sz w:val="24"/>
          <w:szCs w:val="24"/>
          <w:lang w:val="en-GB"/>
        </w:rPr>
        <w:t>The amino acid data</w:t>
      </w:r>
      <w:r>
        <w:rPr>
          <w:sz w:val="24"/>
          <w:szCs w:val="24"/>
          <w:lang w:val="en-GB"/>
        </w:rPr>
        <w:t xml:space="preserve"> were</w:t>
      </w:r>
      <w:r w:rsidRPr="009877E6">
        <w:rPr>
          <w:sz w:val="24"/>
          <w:szCs w:val="24"/>
          <w:lang w:val="en-GB"/>
        </w:rPr>
        <w:t xml:space="preserve"> divided into meta-partitions using PartitionFinder2</w:t>
      </w:r>
      <w:r>
        <w:rPr>
          <w:sz w:val="24"/>
          <w:szCs w:val="24"/>
          <w:lang w:val="en-GB"/>
        </w:rPr>
        <w:t xml:space="preserve"> </w:t>
      </w:r>
      <w:r w:rsidRPr="009877E6">
        <w:rPr>
          <w:sz w:val="24"/>
          <w:szCs w:val="24"/>
          <w:lang w:val="en-GB"/>
        </w:rPr>
        <w:t>[</w:t>
      </w:r>
      <w:r w:rsidR="004C21EF">
        <w:rPr>
          <w:sz w:val="24"/>
          <w:szCs w:val="24"/>
          <w:lang w:val="en-GB"/>
        </w:rPr>
        <w:t>83</w:t>
      </w:r>
      <w:r w:rsidRPr="009877E6">
        <w:rPr>
          <w:sz w:val="24"/>
          <w:szCs w:val="24"/>
          <w:lang w:val="en-GB"/>
        </w:rPr>
        <w:t xml:space="preserve">]. </w:t>
      </w:r>
      <w:r w:rsidRPr="00567356">
        <w:rPr>
          <w:sz w:val="24"/>
          <w:szCs w:val="24"/>
          <w:lang w:val="en-GB"/>
        </w:rPr>
        <w:t>Each</w:t>
      </w:r>
      <w:r w:rsidRPr="006313A7">
        <w:rPr>
          <w:sz w:val="24"/>
          <w:szCs w:val="24"/>
          <w:lang w:val="en-GB"/>
        </w:rPr>
        <w:t xml:space="preserve"> m</w:t>
      </w:r>
      <w:r w:rsidRPr="009877E6">
        <w:rPr>
          <w:sz w:val="24"/>
          <w:szCs w:val="24"/>
          <w:lang w:val="en-GB"/>
        </w:rPr>
        <w:t xml:space="preserve">eta-partition contains sequences </w:t>
      </w:r>
      <w:r>
        <w:rPr>
          <w:sz w:val="24"/>
          <w:szCs w:val="24"/>
          <w:lang w:val="en-GB"/>
        </w:rPr>
        <w:t>that</w:t>
      </w:r>
      <w:r w:rsidRPr="009877E6">
        <w:rPr>
          <w:sz w:val="24"/>
          <w:szCs w:val="24"/>
          <w:lang w:val="en-GB"/>
        </w:rPr>
        <w:t xml:space="preserve"> PartitionFinder2 judges to share similar evolutionary dynamics and can be </w:t>
      </w:r>
      <w:r>
        <w:rPr>
          <w:sz w:val="24"/>
          <w:szCs w:val="24"/>
          <w:lang w:val="en-GB"/>
        </w:rPr>
        <w:t xml:space="preserve">analysed </w:t>
      </w:r>
      <w:r w:rsidRPr="009877E6">
        <w:rPr>
          <w:sz w:val="24"/>
          <w:szCs w:val="24"/>
          <w:lang w:val="en-GB"/>
        </w:rPr>
        <w:t>as a single unit</w:t>
      </w:r>
      <w:r>
        <w:rPr>
          <w:sz w:val="24"/>
          <w:szCs w:val="24"/>
          <w:lang w:val="en-GB"/>
        </w:rPr>
        <w:t xml:space="preserve">, according to the corrected </w:t>
      </w:r>
      <w:r w:rsidRPr="00F74550">
        <w:rPr>
          <w:sz w:val="24"/>
          <w:szCs w:val="24"/>
          <w:lang w:val="en-GB"/>
        </w:rPr>
        <w:t>Akaike information criterion</w:t>
      </w:r>
      <w:r w:rsidRPr="009877E6">
        <w:rPr>
          <w:sz w:val="24"/>
          <w:szCs w:val="24"/>
          <w:lang w:val="en-GB"/>
        </w:rPr>
        <w:t xml:space="preserve">. </w:t>
      </w:r>
      <w:r>
        <w:rPr>
          <w:sz w:val="24"/>
          <w:szCs w:val="24"/>
          <w:lang w:val="en-GB"/>
        </w:rPr>
        <w:t xml:space="preserve">Meta-partitions with lengths below 500 amino acids were excluded, leaving a data set consisting of </w:t>
      </w:r>
      <w:r w:rsidRPr="009877E6">
        <w:rPr>
          <w:sz w:val="24"/>
          <w:szCs w:val="24"/>
          <w:lang w:val="en-GB"/>
        </w:rPr>
        <w:t>220,615 amino acid sites</w:t>
      </w:r>
      <w:r>
        <w:rPr>
          <w:sz w:val="24"/>
          <w:szCs w:val="24"/>
          <w:lang w:val="en-GB"/>
        </w:rPr>
        <w:t>. The ‘greediest’ search algorithm was used in PartitionFinder 2 to split the data set into 85 meta-partitions, with the s</w:t>
      </w:r>
      <w:r w:rsidRPr="009877E6">
        <w:rPr>
          <w:sz w:val="24"/>
          <w:szCs w:val="24"/>
          <w:lang w:val="en-GB"/>
        </w:rPr>
        <w:t xml:space="preserve">ubstitution model for each meta-partition </w:t>
      </w:r>
      <w:r>
        <w:rPr>
          <w:sz w:val="24"/>
          <w:szCs w:val="24"/>
          <w:lang w:val="en-GB"/>
        </w:rPr>
        <w:t xml:space="preserve">selected </w:t>
      </w:r>
      <w:r w:rsidRPr="009877E6">
        <w:rPr>
          <w:sz w:val="24"/>
          <w:szCs w:val="24"/>
          <w:lang w:val="en-GB"/>
        </w:rPr>
        <w:t>using PartitionFinder2 [</w:t>
      </w:r>
      <w:r w:rsidR="004C21EF">
        <w:rPr>
          <w:sz w:val="24"/>
          <w:szCs w:val="24"/>
          <w:lang w:val="en-GB"/>
        </w:rPr>
        <w:t>83</w:t>
      </w:r>
      <w:r w:rsidRPr="009877E6">
        <w:rPr>
          <w:sz w:val="24"/>
          <w:szCs w:val="24"/>
          <w:lang w:val="en-GB"/>
        </w:rPr>
        <w:t>]</w:t>
      </w:r>
      <w:r>
        <w:rPr>
          <w:sz w:val="24"/>
          <w:szCs w:val="24"/>
          <w:lang w:val="en-GB"/>
        </w:rPr>
        <w:t>. T</w:t>
      </w:r>
      <w:r w:rsidRPr="009877E6">
        <w:rPr>
          <w:sz w:val="24"/>
          <w:szCs w:val="24"/>
          <w:lang w:val="en-GB"/>
        </w:rPr>
        <w:t xml:space="preserve">he LG amino-acid replacement matrix </w:t>
      </w:r>
      <w:r>
        <w:rPr>
          <w:sz w:val="24"/>
          <w:szCs w:val="24"/>
          <w:lang w:val="en-GB"/>
        </w:rPr>
        <w:t xml:space="preserve">was chosen </w:t>
      </w:r>
      <w:r w:rsidRPr="009877E6">
        <w:rPr>
          <w:sz w:val="24"/>
          <w:szCs w:val="24"/>
          <w:lang w:val="en-GB"/>
        </w:rPr>
        <w:t>for 78 meta</w:t>
      </w:r>
      <w:r>
        <w:rPr>
          <w:sz w:val="24"/>
          <w:szCs w:val="24"/>
          <w:lang w:val="en-GB"/>
        </w:rPr>
        <w:t>-</w:t>
      </w:r>
      <w:r w:rsidRPr="009877E6">
        <w:rPr>
          <w:sz w:val="24"/>
          <w:szCs w:val="24"/>
          <w:lang w:val="en-GB"/>
        </w:rPr>
        <w:t>partitions [</w:t>
      </w:r>
      <w:r w:rsidR="004C21EF">
        <w:rPr>
          <w:sz w:val="24"/>
          <w:szCs w:val="24"/>
          <w:lang w:val="en-GB"/>
        </w:rPr>
        <w:t>84</w:t>
      </w:r>
      <w:r w:rsidRPr="009877E6">
        <w:rPr>
          <w:sz w:val="24"/>
          <w:szCs w:val="24"/>
          <w:lang w:val="en-GB"/>
        </w:rPr>
        <w:t xml:space="preserve">], </w:t>
      </w:r>
      <w:r w:rsidRPr="0075759C">
        <w:rPr>
          <w:sz w:val="24"/>
          <w:szCs w:val="24"/>
          <w:lang w:val="en-GB"/>
        </w:rPr>
        <w:t>the WAG matrix for five meta-partitions [8</w:t>
      </w:r>
      <w:r w:rsidR="004C21EF">
        <w:rPr>
          <w:sz w:val="24"/>
          <w:szCs w:val="24"/>
          <w:lang w:val="en-GB"/>
        </w:rPr>
        <w:t>5</w:t>
      </w:r>
      <w:r w:rsidRPr="0075759C">
        <w:rPr>
          <w:sz w:val="24"/>
          <w:szCs w:val="24"/>
          <w:lang w:val="en-GB"/>
        </w:rPr>
        <w:t>], and the JTT matrix for two meta-partitions [8</w:t>
      </w:r>
      <w:r w:rsidR="004C21EF">
        <w:rPr>
          <w:sz w:val="24"/>
          <w:szCs w:val="24"/>
          <w:lang w:val="en-GB"/>
        </w:rPr>
        <w:t>6</w:t>
      </w:r>
      <w:r w:rsidRPr="0075759C">
        <w:rPr>
          <w:sz w:val="24"/>
          <w:szCs w:val="24"/>
          <w:lang w:val="en-GB"/>
        </w:rPr>
        <w:t>].</w:t>
      </w:r>
    </w:p>
    <w:p w14:paraId="0E7C86F6" w14:textId="0AF32E51" w:rsidR="008B258C" w:rsidRPr="0075759C" w:rsidRDefault="008B258C" w:rsidP="00E425AF">
      <w:pPr>
        <w:spacing w:line="480" w:lineRule="auto"/>
        <w:jc w:val="both"/>
        <w:rPr>
          <w:sz w:val="24"/>
          <w:szCs w:val="24"/>
          <w:lang w:val="en-GB"/>
        </w:rPr>
      </w:pPr>
    </w:p>
    <w:p w14:paraId="09F78DAE" w14:textId="77777777" w:rsidR="0075759C" w:rsidRPr="0075759C" w:rsidRDefault="009774BC" w:rsidP="00E425AF">
      <w:pPr>
        <w:pStyle w:val="ListParagraph"/>
        <w:numPr>
          <w:ilvl w:val="0"/>
          <w:numId w:val="1"/>
        </w:numPr>
        <w:tabs>
          <w:tab w:val="left" w:pos="284"/>
        </w:tabs>
        <w:spacing w:line="480" w:lineRule="auto"/>
        <w:ind w:left="0" w:firstLine="0"/>
        <w:jc w:val="both"/>
        <w:rPr>
          <w:sz w:val="24"/>
          <w:szCs w:val="24"/>
          <w:lang w:val="en-GB"/>
        </w:rPr>
      </w:pPr>
      <w:r w:rsidRPr="0075759C">
        <w:rPr>
          <w:i/>
          <w:iCs/>
          <w:sz w:val="24"/>
          <w:szCs w:val="24"/>
          <w:lang w:val="en-GB"/>
        </w:rPr>
        <w:t xml:space="preserve">Description of the five sets of phylogenomic dating analyses performed </w:t>
      </w:r>
    </w:p>
    <w:p w14:paraId="2E44984B" w14:textId="2F13141E" w:rsidR="008B258C" w:rsidRPr="0075759C" w:rsidRDefault="008B258C" w:rsidP="0075759C">
      <w:pPr>
        <w:pStyle w:val="ListParagraph"/>
        <w:tabs>
          <w:tab w:val="left" w:pos="284"/>
        </w:tabs>
        <w:spacing w:line="480" w:lineRule="auto"/>
        <w:ind w:left="0"/>
        <w:jc w:val="both"/>
        <w:rPr>
          <w:lang w:val="en-GB"/>
        </w:rPr>
      </w:pPr>
      <w:r w:rsidRPr="0075759C">
        <w:rPr>
          <w:sz w:val="24"/>
          <w:szCs w:val="24"/>
          <w:lang w:val="en-GB"/>
        </w:rPr>
        <w:lastRenderedPageBreak/>
        <w:t xml:space="preserve">In Analysis 1, we attempted to replicate the dating analysis of Misof et al. [12] by using their 37 fossil calibrations (20 lognormal and 17 uniform priors on node times). In Analysis 2, we used the calibrations from Misof et al. [12] and added the eight MSG calibrations as uniform priors on node times. In Analysis 3, we used the 37 fossil calibrations of Misof et al. [12] but all in the form of uniform priors on node times. This represents a more conservative treatment of fossil evidence because it makes no further assumptions about the relationship between the fossil age and the node time except in providing a minimum age. In Analysis 4, we used the calibrations of Misof et al. [12] and the eight MSG calibrations, all specified in the form of uniform priors on node times. </w:t>
      </w:r>
      <w:r w:rsidRPr="0075759C">
        <w:rPr>
          <w:rStyle w:val="PageNumber"/>
          <w:sz w:val="24"/>
          <w:szCs w:val="24"/>
          <w:lang w:val="en-GB"/>
        </w:rPr>
        <w:t xml:space="preserve">Analyses 1 to 4 all involved the use of an </w:t>
      </w:r>
      <w:r w:rsidRPr="0075759C">
        <w:rPr>
          <w:sz w:val="24"/>
          <w:szCs w:val="24"/>
          <w:lang w:val="en-GB"/>
        </w:rPr>
        <w:t xml:space="preserve">independent-rates relaxed-clock model, whereby the branch rates are independently drawn from a common distribution [87]. In Analysis 5, we matched the calibration scheme of Analysis 4 but instead used an autocorrelated-rates relaxed-clock model. </w:t>
      </w:r>
    </w:p>
    <w:p w14:paraId="60D3D73D" w14:textId="0E3A19A9" w:rsidR="0058140B" w:rsidRDefault="0058140B" w:rsidP="00E425AF">
      <w:pPr>
        <w:spacing w:line="480" w:lineRule="auto"/>
        <w:jc w:val="both"/>
        <w:rPr>
          <w:sz w:val="24"/>
          <w:szCs w:val="24"/>
          <w:lang w:val="en-GB"/>
        </w:rPr>
      </w:pPr>
    </w:p>
    <w:p w14:paraId="65F71CC4" w14:textId="24978AFA" w:rsidR="0058140B" w:rsidRPr="0058140B" w:rsidRDefault="0058140B" w:rsidP="00E425AF">
      <w:pPr>
        <w:spacing w:line="480" w:lineRule="auto"/>
        <w:jc w:val="both"/>
        <w:rPr>
          <w:i/>
          <w:iCs/>
          <w:sz w:val="24"/>
          <w:szCs w:val="24"/>
          <w:lang w:val="en-GB"/>
        </w:rPr>
      </w:pPr>
      <w:r w:rsidRPr="0058140B">
        <w:rPr>
          <w:i/>
          <w:iCs/>
          <w:sz w:val="24"/>
          <w:szCs w:val="24"/>
          <w:lang w:val="en-GB"/>
        </w:rPr>
        <w:t>X. Supplementary references</w:t>
      </w:r>
    </w:p>
    <w:p w14:paraId="1D1CBA59" w14:textId="6BF50F44" w:rsidR="0058140B" w:rsidRPr="008B258C" w:rsidRDefault="004C21EF" w:rsidP="0058140B">
      <w:pPr>
        <w:spacing w:line="480" w:lineRule="auto"/>
        <w:ind w:left="284" w:hanging="284"/>
        <w:jc w:val="both"/>
        <w:rPr>
          <w:sz w:val="24"/>
          <w:szCs w:val="24"/>
          <w:lang w:val="en-GB"/>
        </w:rPr>
      </w:pPr>
      <w:r>
        <w:rPr>
          <w:sz w:val="24"/>
          <w:szCs w:val="24"/>
          <w:lang w:val="en-GB"/>
        </w:rPr>
        <w:t>80</w:t>
      </w:r>
      <w:r w:rsidR="0058140B" w:rsidRPr="008B258C">
        <w:rPr>
          <w:sz w:val="24"/>
          <w:szCs w:val="24"/>
          <w:lang w:val="en-GB"/>
        </w:rPr>
        <w:t xml:space="preserve">. Kück P, Meusemann K, Dambach J, Thormann B, von Reumont BM, Wägele JW, Misof B 2010. Parametric and non-parametric masking of randomness in sequence alignments can be improved and leads to better resolved trees. </w:t>
      </w:r>
      <w:r w:rsidR="0058140B" w:rsidRPr="008B258C">
        <w:rPr>
          <w:i/>
          <w:sz w:val="24"/>
          <w:szCs w:val="24"/>
          <w:lang w:val="en-GB"/>
        </w:rPr>
        <w:t>Front. Zool.</w:t>
      </w:r>
      <w:r w:rsidR="0058140B" w:rsidRPr="008B258C">
        <w:rPr>
          <w:sz w:val="24"/>
          <w:szCs w:val="24"/>
          <w:lang w:val="en-GB"/>
        </w:rPr>
        <w:t xml:space="preserve"> </w:t>
      </w:r>
      <w:r w:rsidR="0058140B" w:rsidRPr="008B258C">
        <w:rPr>
          <w:b/>
          <w:sz w:val="24"/>
          <w:szCs w:val="24"/>
          <w:lang w:val="en-GB"/>
        </w:rPr>
        <w:t>7</w:t>
      </w:r>
      <w:r w:rsidR="0058140B" w:rsidRPr="008B258C">
        <w:rPr>
          <w:sz w:val="24"/>
          <w:szCs w:val="24"/>
          <w:lang w:val="en-GB"/>
        </w:rPr>
        <w:t>, 10.</w:t>
      </w:r>
    </w:p>
    <w:p w14:paraId="7225A89E" w14:textId="3357A3BF" w:rsidR="0058140B" w:rsidRPr="008B258C" w:rsidRDefault="004C21EF" w:rsidP="0058140B">
      <w:pPr>
        <w:spacing w:line="480" w:lineRule="auto"/>
        <w:ind w:left="284" w:hanging="284"/>
        <w:jc w:val="both"/>
        <w:rPr>
          <w:sz w:val="24"/>
          <w:szCs w:val="24"/>
          <w:lang w:val="en-GB"/>
        </w:rPr>
      </w:pPr>
      <w:r>
        <w:rPr>
          <w:sz w:val="24"/>
          <w:szCs w:val="24"/>
          <w:lang w:val="en-GB"/>
        </w:rPr>
        <w:t>81</w:t>
      </w:r>
      <w:r w:rsidR="0058140B" w:rsidRPr="008B258C">
        <w:rPr>
          <w:sz w:val="24"/>
          <w:szCs w:val="24"/>
          <w:lang w:val="en-GB"/>
        </w:rPr>
        <w:t xml:space="preserve">. Misof B, Misof K 2009. A Monte Carlo approach successfully identifies randomness in multiple sequence alignments: A more objective means of data exclusion. </w:t>
      </w:r>
      <w:r w:rsidR="0058140B" w:rsidRPr="008B258C">
        <w:rPr>
          <w:i/>
          <w:sz w:val="24"/>
          <w:szCs w:val="24"/>
          <w:lang w:val="en-GB"/>
        </w:rPr>
        <w:t>Syst. Biol.</w:t>
      </w:r>
      <w:r w:rsidR="0058140B" w:rsidRPr="008B258C">
        <w:rPr>
          <w:sz w:val="24"/>
          <w:szCs w:val="24"/>
          <w:lang w:val="en-GB"/>
        </w:rPr>
        <w:t xml:space="preserve"> </w:t>
      </w:r>
      <w:r w:rsidR="0058140B" w:rsidRPr="008B258C">
        <w:rPr>
          <w:b/>
          <w:sz w:val="24"/>
          <w:szCs w:val="24"/>
          <w:lang w:val="en-GB"/>
        </w:rPr>
        <w:t>58</w:t>
      </w:r>
      <w:r w:rsidR="0058140B" w:rsidRPr="008B258C">
        <w:rPr>
          <w:sz w:val="24"/>
          <w:szCs w:val="24"/>
          <w:lang w:val="en-GB"/>
        </w:rPr>
        <w:t>, 21–34.</w:t>
      </w:r>
    </w:p>
    <w:p w14:paraId="29C2AFC2" w14:textId="4431B146" w:rsidR="0058140B" w:rsidRPr="008B258C" w:rsidRDefault="004C21EF" w:rsidP="0058140B">
      <w:pPr>
        <w:spacing w:line="480" w:lineRule="auto"/>
        <w:ind w:left="284" w:hanging="284"/>
        <w:jc w:val="both"/>
        <w:rPr>
          <w:sz w:val="24"/>
          <w:szCs w:val="24"/>
          <w:lang w:val="en-GB"/>
        </w:rPr>
      </w:pPr>
      <w:r>
        <w:rPr>
          <w:sz w:val="24"/>
          <w:szCs w:val="24"/>
          <w:lang w:val="en-GB"/>
        </w:rPr>
        <w:t>82</w:t>
      </w:r>
      <w:r w:rsidR="0058140B" w:rsidRPr="008B258C">
        <w:rPr>
          <w:sz w:val="24"/>
          <w:szCs w:val="24"/>
          <w:lang w:val="en-GB"/>
        </w:rPr>
        <w:t xml:space="preserve">. Jermiin L, Ho SYW, Ababneh F, Robinson J, Larkum AWD 2004 The biasing effect of compositional heterogeneity on phylogenetic estimates may be underestimated. </w:t>
      </w:r>
      <w:r w:rsidR="0058140B" w:rsidRPr="008B258C">
        <w:rPr>
          <w:i/>
          <w:sz w:val="24"/>
          <w:szCs w:val="24"/>
          <w:lang w:val="en-GB"/>
        </w:rPr>
        <w:t>Syst. Biol.</w:t>
      </w:r>
      <w:r w:rsidR="0058140B" w:rsidRPr="008B258C">
        <w:rPr>
          <w:sz w:val="24"/>
          <w:szCs w:val="24"/>
          <w:lang w:val="en-GB"/>
        </w:rPr>
        <w:t xml:space="preserve"> </w:t>
      </w:r>
      <w:r w:rsidR="0058140B" w:rsidRPr="008B258C">
        <w:rPr>
          <w:b/>
          <w:sz w:val="24"/>
          <w:szCs w:val="24"/>
          <w:lang w:val="en-GB"/>
        </w:rPr>
        <w:t>53</w:t>
      </w:r>
      <w:r w:rsidR="0058140B" w:rsidRPr="008B258C">
        <w:rPr>
          <w:sz w:val="24"/>
          <w:szCs w:val="24"/>
          <w:lang w:val="en-GB"/>
        </w:rPr>
        <w:t>, 638–643.</w:t>
      </w:r>
    </w:p>
    <w:p w14:paraId="2CDD70C8" w14:textId="416AB0EF" w:rsidR="0058140B" w:rsidRPr="008B258C" w:rsidRDefault="004C21EF" w:rsidP="0058140B">
      <w:pPr>
        <w:spacing w:line="480" w:lineRule="auto"/>
        <w:ind w:left="284" w:hanging="284"/>
        <w:jc w:val="both"/>
        <w:rPr>
          <w:sz w:val="24"/>
          <w:szCs w:val="24"/>
          <w:lang w:val="en-GB"/>
        </w:rPr>
      </w:pPr>
      <w:r>
        <w:rPr>
          <w:sz w:val="24"/>
          <w:szCs w:val="24"/>
          <w:lang w:val="en-GB"/>
        </w:rPr>
        <w:t>83</w:t>
      </w:r>
      <w:r w:rsidR="0058140B" w:rsidRPr="008B258C">
        <w:rPr>
          <w:sz w:val="24"/>
          <w:szCs w:val="24"/>
          <w:lang w:val="en-GB"/>
        </w:rPr>
        <w:t xml:space="preserve">. Lanfear R, Frandsen PB, Wright AM, Senfeld T, Calcott B 2017 PartitionFinder 2: new methods for selecting partitioned models of evolution for molecular and morphological phylogenetic analyses. </w:t>
      </w:r>
      <w:r w:rsidR="0058140B" w:rsidRPr="008B258C">
        <w:rPr>
          <w:i/>
          <w:iCs/>
          <w:sz w:val="24"/>
          <w:szCs w:val="24"/>
          <w:lang w:val="en-GB"/>
        </w:rPr>
        <w:t>Mol. Biol. Evol.</w:t>
      </w:r>
      <w:r w:rsidR="0058140B" w:rsidRPr="008B258C">
        <w:rPr>
          <w:sz w:val="24"/>
          <w:szCs w:val="24"/>
          <w:lang w:val="en-GB"/>
        </w:rPr>
        <w:t xml:space="preserve"> </w:t>
      </w:r>
      <w:r w:rsidR="0058140B" w:rsidRPr="008B258C">
        <w:rPr>
          <w:b/>
          <w:bCs/>
          <w:sz w:val="24"/>
          <w:szCs w:val="24"/>
          <w:lang w:val="en-GB"/>
        </w:rPr>
        <w:t>34</w:t>
      </w:r>
      <w:r w:rsidR="0058140B" w:rsidRPr="008B258C">
        <w:rPr>
          <w:sz w:val="24"/>
          <w:szCs w:val="24"/>
          <w:lang w:val="en-GB"/>
        </w:rPr>
        <w:t>, 772–773.</w:t>
      </w:r>
    </w:p>
    <w:p w14:paraId="463C7130" w14:textId="351286E2" w:rsidR="0058140B" w:rsidRPr="008B258C" w:rsidRDefault="004C21EF" w:rsidP="0058140B">
      <w:pPr>
        <w:spacing w:line="480" w:lineRule="auto"/>
        <w:ind w:left="284" w:hanging="284"/>
        <w:jc w:val="both"/>
        <w:rPr>
          <w:sz w:val="24"/>
          <w:szCs w:val="24"/>
          <w:lang w:val="en-GB"/>
        </w:rPr>
      </w:pPr>
      <w:r>
        <w:rPr>
          <w:sz w:val="24"/>
          <w:szCs w:val="24"/>
          <w:lang w:val="en-GB"/>
        </w:rPr>
        <w:t>84</w:t>
      </w:r>
      <w:r w:rsidR="0058140B" w:rsidRPr="008B258C">
        <w:rPr>
          <w:sz w:val="24"/>
          <w:szCs w:val="24"/>
          <w:lang w:val="en-GB"/>
        </w:rPr>
        <w:t xml:space="preserve">. Le SQ, Gascuel O 2008 An improved general amino acid replacement matrix. </w:t>
      </w:r>
      <w:r w:rsidR="0058140B" w:rsidRPr="008B258C">
        <w:rPr>
          <w:i/>
          <w:sz w:val="24"/>
          <w:szCs w:val="24"/>
          <w:lang w:val="en-GB"/>
        </w:rPr>
        <w:t>Mol. Biol. Evol.</w:t>
      </w:r>
      <w:r w:rsidR="0058140B" w:rsidRPr="008B258C">
        <w:rPr>
          <w:sz w:val="24"/>
          <w:szCs w:val="24"/>
          <w:lang w:val="en-GB"/>
        </w:rPr>
        <w:t xml:space="preserve"> </w:t>
      </w:r>
      <w:r w:rsidR="0058140B" w:rsidRPr="008B258C">
        <w:rPr>
          <w:b/>
          <w:sz w:val="24"/>
          <w:szCs w:val="24"/>
          <w:lang w:val="en-GB"/>
        </w:rPr>
        <w:t>25</w:t>
      </w:r>
      <w:r w:rsidR="0058140B" w:rsidRPr="008B258C">
        <w:rPr>
          <w:sz w:val="24"/>
          <w:szCs w:val="24"/>
          <w:lang w:val="en-GB"/>
        </w:rPr>
        <w:t>, 1307–1320.</w:t>
      </w:r>
    </w:p>
    <w:p w14:paraId="17CF11B0" w14:textId="22CD5F93" w:rsidR="0058140B" w:rsidRPr="008B258C" w:rsidRDefault="0058140B" w:rsidP="0058140B">
      <w:pPr>
        <w:spacing w:line="480" w:lineRule="auto"/>
        <w:ind w:left="284" w:hanging="284"/>
        <w:jc w:val="both"/>
        <w:rPr>
          <w:sz w:val="24"/>
          <w:szCs w:val="24"/>
          <w:lang w:val="en-GB"/>
        </w:rPr>
      </w:pPr>
      <w:r w:rsidRPr="008B258C">
        <w:rPr>
          <w:sz w:val="24"/>
          <w:szCs w:val="24"/>
          <w:lang w:val="en-GB"/>
        </w:rPr>
        <w:lastRenderedPageBreak/>
        <w:t>8</w:t>
      </w:r>
      <w:r w:rsidR="004C21EF">
        <w:rPr>
          <w:sz w:val="24"/>
          <w:szCs w:val="24"/>
          <w:lang w:val="en-GB"/>
        </w:rPr>
        <w:t>5</w:t>
      </w:r>
      <w:r w:rsidRPr="008B258C">
        <w:rPr>
          <w:sz w:val="24"/>
          <w:szCs w:val="24"/>
          <w:lang w:val="en-GB"/>
        </w:rPr>
        <w:t xml:space="preserve">. Whelan S, Goldman N 2001 A general empirical model of protein evolution derived from multiple protein families using a maximum–likelihood approach. </w:t>
      </w:r>
      <w:r w:rsidRPr="008B258C">
        <w:rPr>
          <w:i/>
          <w:sz w:val="24"/>
          <w:szCs w:val="24"/>
          <w:lang w:val="en-GB"/>
        </w:rPr>
        <w:t>Mol. Biol. Evol.</w:t>
      </w:r>
      <w:r w:rsidRPr="008B258C">
        <w:rPr>
          <w:sz w:val="24"/>
          <w:szCs w:val="24"/>
          <w:lang w:val="en-GB"/>
        </w:rPr>
        <w:t xml:space="preserve"> </w:t>
      </w:r>
      <w:r w:rsidRPr="008B258C">
        <w:rPr>
          <w:b/>
          <w:sz w:val="24"/>
          <w:szCs w:val="24"/>
          <w:lang w:val="en-GB"/>
        </w:rPr>
        <w:t>18</w:t>
      </w:r>
      <w:r w:rsidRPr="008B258C">
        <w:rPr>
          <w:sz w:val="24"/>
          <w:szCs w:val="24"/>
          <w:lang w:val="en-GB"/>
        </w:rPr>
        <w:t xml:space="preserve">, 691–699. </w:t>
      </w:r>
    </w:p>
    <w:p w14:paraId="7DE638D8" w14:textId="3BD84B37" w:rsidR="0058140B" w:rsidRDefault="0058140B" w:rsidP="0058140B">
      <w:pPr>
        <w:spacing w:line="480" w:lineRule="auto"/>
        <w:ind w:left="284" w:hanging="284"/>
        <w:jc w:val="both"/>
        <w:rPr>
          <w:sz w:val="24"/>
          <w:szCs w:val="24"/>
          <w:lang w:val="en-GB"/>
        </w:rPr>
      </w:pPr>
      <w:r w:rsidRPr="008B258C">
        <w:rPr>
          <w:sz w:val="24"/>
          <w:szCs w:val="24"/>
          <w:lang w:val="en-GB"/>
        </w:rPr>
        <w:t>8</w:t>
      </w:r>
      <w:r w:rsidR="004C21EF">
        <w:rPr>
          <w:sz w:val="24"/>
          <w:szCs w:val="24"/>
          <w:lang w:val="en-GB"/>
        </w:rPr>
        <w:t>6</w:t>
      </w:r>
      <w:r w:rsidRPr="008B258C">
        <w:rPr>
          <w:sz w:val="24"/>
          <w:szCs w:val="24"/>
          <w:lang w:val="en-GB"/>
        </w:rPr>
        <w:t xml:space="preserve">. Jones DT, Taylor WR, Thornton JM 1992 The rapid generation of mutation data matrices from protein sequences. </w:t>
      </w:r>
      <w:r w:rsidRPr="008B258C">
        <w:rPr>
          <w:i/>
          <w:sz w:val="24"/>
          <w:szCs w:val="24"/>
          <w:lang w:val="en-GB"/>
        </w:rPr>
        <w:t>Comput. Appl. Biosci.</w:t>
      </w:r>
      <w:r w:rsidRPr="008B258C">
        <w:rPr>
          <w:sz w:val="24"/>
          <w:szCs w:val="24"/>
          <w:lang w:val="en-GB"/>
        </w:rPr>
        <w:t xml:space="preserve"> </w:t>
      </w:r>
      <w:r w:rsidRPr="008B258C">
        <w:rPr>
          <w:b/>
          <w:sz w:val="24"/>
          <w:szCs w:val="24"/>
          <w:lang w:val="en-GB"/>
        </w:rPr>
        <w:t>8</w:t>
      </w:r>
      <w:r w:rsidRPr="008B258C">
        <w:rPr>
          <w:sz w:val="24"/>
          <w:szCs w:val="24"/>
          <w:lang w:val="en-GB"/>
        </w:rPr>
        <w:t>, 275–282.</w:t>
      </w:r>
    </w:p>
    <w:p w14:paraId="4D3B064B" w14:textId="59972D03" w:rsidR="009774BC" w:rsidRPr="009877E6" w:rsidRDefault="009774BC" w:rsidP="009774BC">
      <w:pPr>
        <w:spacing w:line="480" w:lineRule="auto"/>
        <w:ind w:left="284" w:hanging="284"/>
        <w:jc w:val="both"/>
        <w:rPr>
          <w:sz w:val="24"/>
          <w:szCs w:val="24"/>
          <w:lang w:val="en-GB"/>
        </w:rPr>
      </w:pPr>
      <w:r>
        <w:rPr>
          <w:sz w:val="24"/>
          <w:szCs w:val="24"/>
          <w:lang w:val="en-GB"/>
        </w:rPr>
        <w:t>87</w:t>
      </w:r>
      <w:r w:rsidRPr="009877E6">
        <w:rPr>
          <w:sz w:val="24"/>
          <w:szCs w:val="24"/>
          <w:lang w:val="en-GB"/>
        </w:rPr>
        <w:t xml:space="preserve">. Rannala B, Yang Z 2007 Inferring speciation times under an episodic molecular clock. </w:t>
      </w:r>
      <w:r w:rsidRPr="009877E6">
        <w:rPr>
          <w:i/>
          <w:sz w:val="24"/>
          <w:szCs w:val="24"/>
          <w:lang w:val="en-GB"/>
        </w:rPr>
        <w:t>Syst. Biol.</w:t>
      </w:r>
      <w:r w:rsidRPr="009877E6">
        <w:rPr>
          <w:sz w:val="24"/>
          <w:szCs w:val="24"/>
          <w:lang w:val="en-GB"/>
        </w:rPr>
        <w:t xml:space="preserve"> </w:t>
      </w:r>
      <w:r w:rsidRPr="009877E6">
        <w:rPr>
          <w:b/>
          <w:sz w:val="24"/>
          <w:szCs w:val="24"/>
          <w:lang w:val="en-GB"/>
        </w:rPr>
        <w:t>56</w:t>
      </w:r>
      <w:r w:rsidRPr="009877E6">
        <w:rPr>
          <w:sz w:val="24"/>
          <w:szCs w:val="24"/>
          <w:lang w:val="en-GB"/>
        </w:rPr>
        <w:t>, 453–466.</w:t>
      </w:r>
    </w:p>
    <w:p w14:paraId="5556BA0C" w14:textId="77777777" w:rsidR="00E425AF" w:rsidRPr="004C14D5" w:rsidRDefault="00E425AF" w:rsidP="004C14D5">
      <w:pPr>
        <w:spacing w:line="480" w:lineRule="auto"/>
        <w:jc w:val="both"/>
        <w:rPr>
          <w:sz w:val="24"/>
          <w:szCs w:val="24"/>
          <w:lang w:val="en-GB"/>
        </w:rPr>
      </w:pPr>
    </w:p>
    <w:sectPr w:rsidR="00E425AF" w:rsidRPr="004C14D5" w:rsidSect="00C5369C">
      <w:pgSz w:w="11901" w:h="16817"/>
      <w:pgMar w:top="1418" w:right="1134" w:bottom="1134"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40D1D"/>
    <w:multiLevelType w:val="hybridMultilevel"/>
    <w:tmpl w:val="B5F03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03"/>
    <w:rsid w:val="000F00B6"/>
    <w:rsid w:val="00137035"/>
    <w:rsid w:val="00142CC0"/>
    <w:rsid w:val="001907BD"/>
    <w:rsid w:val="002A13A7"/>
    <w:rsid w:val="003D3CAE"/>
    <w:rsid w:val="003D757E"/>
    <w:rsid w:val="004C14D5"/>
    <w:rsid w:val="004C21EF"/>
    <w:rsid w:val="00533845"/>
    <w:rsid w:val="0058140B"/>
    <w:rsid w:val="005C4F9F"/>
    <w:rsid w:val="00603EB7"/>
    <w:rsid w:val="006C3751"/>
    <w:rsid w:val="0075759C"/>
    <w:rsid w:val="008B258C"/>
    <w:rsid w:val="009774BC"/>
    <w:rsid w:val="009B1B09"/>
    <w:rsid w:val="00A26B44"/>
    <w:rsid w:val="00A3232B"/>
    <w:rsid w:val="00B805DC"/>
    <w:rsid w:val="00C53303"/>
    <w:rsid w:val="00C5369C"/>
    <w:rsid w:val="00CE3CDC"/>
    <w:rsid w:val="00DE451F"/>
    <w:rsid w:val="00DE6368"/>
    <w:rsid w:val="00E42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17E0"/>
  <w14:defaultImageDpi w14:val="32767"/>
  <w15:chartTrackingRefBased/>
  <w15:docId w15:val="{7F721F6B-5074-344D-B238-28F014F9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03"/>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14D5"/>
    <w:pPr>
      <w:spacing w:before="120"/>
      <w:ind w:firstLine="720"/>
    </w:pPr>
    <w:rPr>
      <w:rFonts w:eastAsia="Times New Roman"/>
      <w:sz w:val="24"/>
      <w:szCs w:val="24"/>
    </w:rPr>
  </w:style>
  <w:style w:type="paragraph" w:customStyle="1" w:styleId="Teaser">
    <w:name w:val="Teaser"/>
    <w:basedOn w:val="Normal"/>
    <w:rsid w:val="004C14D5"/>
    <w:pPr>
      <w:spacing w:before="120"/>
    </w:pPr>
    <w:rPr>
      <w:rFonts w:eastAsia="Times New Roman"/>
      <w:sz w:val="24"/>
      <w:szCs w:val="24"/>
    </w:rPr>
  </w:style>
  <w:style w:type="paragraph" w:styleId="ListParagraph">
    <w:name w:val="List Paragraph"/>
    <w:basedOn w:val="Normal"/>
    <w:uiPriority w:val="34"/>
    <w:qFormat/>
    <w:rsid w:val="004C14D5"/>
    <w:pPr>
      <w:ind w:left="720"/>
      <w:contextualSpacing/>
    </w:pPr>
  </w:style>
  <w:style w:type="character" w:styleId="LineNumber">
    <w:name w:val="line number"/>
    <w:basedOn w:val="DefaultParagraphFont"/>
    <w:uiPriority w:val="99"/>
    <w:semiHidden/>
    <w:unhideWhenUsed/>
    <w:rsid w:val="00A3232B"/>
  </w:style>
  <w:style w:type="character" w:styleId="PageNumber">
    <w:name w:val="page number"/>
    <w:basedOn w:val="DefaultParagraphFont"/>
    <w:rsid w:val="00E425AF"/>
  </w:style>
  <w:style w:type="paragraph" w:customStyle="1" w:styleId="Body">
    <w:name w:val="Body"/>
    <w:rsid w:val="00E425AF"/>
    <w:pPr>
      <w:pBdr>
        <w:top w:val="nil"/>
        <w:left w:val="nil"/>
        <w:bottom w:val="nil"/>
        <w:right w:val="nil"/>
        <w:between w:val="nil"/>
        <w:bar w:val="nil"/>
      </w:pBdr>
    </w:pPr>
    <w:rPr>
      <w:rFonts w:ascii="Cambria" w:eastAsia="Cambria" w:hAnsi="Cambria" w:cs="Cambria"/>
      <w:color w:val="000000"/>
      <w:u w:color="000000"/>
      <w:bdr w:val="nil"/>
      <w:lang w:val="en-AU" w:eastAsia="ja-JP"/>
    </w:rPr>
  </w:style>
  <w:style w:type="paragraph" w:styleId="BalloonText">
    <w:name w:val="Balloon Text"/>
    <w:basedOn w:val="Normal"/>
    <w:link w:val="BalloonTextChar"/>
    <w:uiPriority w:val="99"/>
    <w:semiHidden/>
    <w:unhideWhenUsed/>
    <w:rsid w:val="0058140B"/>
    <w:rPr>
      <w:sz w:val="18"/>
      <w:szCs w:val="18"/>
    </w:rPr>
  </w:style>
  <w:style w:type="character" w:customStyle="1" w:styleId="BalloonTextChar">
    <w:name w:val="Balloon Text Char"/>
    <w:basedOn w:val="DefaultParagraphFont"/>
    <w:link w:val="BalloonText"/>
    <w:uiPriority w:val="99"/>
    <w:semiHidden/>
    <w:rsid w:val="0058140B"/>
    <w:rPr>
      <w:rFonts w:ascii="Times New Roman" w:eastAsia="Calibri" w:hAnsi="Times New Roman" w:cs="Times New Roman"/>
      <w:sz w:val="18"/>
      <w:szCs w:val="18"/>
      <w:lang w:val="en-US"/>
    </w:rPr>
  </w:style>
  <w:style w:type="paragraph" w:styleId="DocumentMap">
    <w:name w:val="Document Map"/>
    <w:basedOn w:val="Normal"/>
    <w:link w:val="DocumentMapChar"/>
    <w:uiPriority w:val="99"/>
    <w:semiHidden/>
    <w:unhideWhenUsed/>
    <w:rsid w:val="004C21EF"/>
    <w:rPr>
      <w:rFonts w:ascii="Helvetica" w:hAnsi="Helvetica"/>
      <w:sz w:val="24"/>
      <w:szCs w:val="24"/>
    </w:rPr>
  </w:style>
  <w:style w:type="character" w:customStyle="1" w:styleId="DocumentMapChar">
    <w:name w:val="Document Map Char"/>
    <w:basedOn w:val="DefaultParagraphFont"/>
    <w:link w:val="DocumentMap"/>
    <w:uiPriority w:val="99"/>
    <w:semiHidden/>
    <w:rsid w:val="004C21EF"/>
    <w:rPr>
      <w:rFonts w:ascii="Helvetica" w:eastAsia="Calibri" w:hAnsi="Helvetic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Montagna</dc:creator>
  <cp:keywords/>
  <dc:description/>
  <cp:lastModifiedBy>Matteo Montagna</cp:lastModifiedBy>
  <cp:revision>3</cp:revision>
  <dcterms:created xsi:type="dcterms:W3CDTF">2019-09-17T07:22:00Z</dcterms:created>
  <dcterms:modified xsi:type="dcterms:W3CDTF">2019-09-17T08:23:00Z</dcterms:modified>
</cp:coreProperties>
</file>