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D54FD" w14:textId="77777777" w:rsidR="00D66AC2" w:rsidRDefault="00D66AC2" w:rsidP="00D66AC2">
      <w:pPr>
        <w:pStyle w:val="Heading1"/>
      </w:pPr>
    </w:p>
    <w:p w14:paraId="43D93D9D" w14:textId="1D48BCBD" w:rsidR="00D66AC2" w:rsidRPr="00DD065F" w:rsidRDefault="00D66AC2" w:rsidP="00D66AC2">
      <w:pPr>
        <w:pStyle w:val="Heading1"/>
      </w:pPr>
      <w:r w:rsidRPr="00DD065F">
        <w:t>Supplementary material</w:t>
      </w:r>
    </w:p>
    <w:p w14:paraId="0661FD85" w14:textId="55D7D9A0" w:rsidR="00D66AC2" w:rsidRPr="00DD065F" w:rsidRDefault="00C644A8" w:rsidP="00D66AC2">
      <w:pPr>
        <w:pStyle w:val="Heading1"/>
        <w:rPr>
          <w:i/>
          <w:sz w:val="24"/>
          <w:szCs w:val="24"/>
        </w:rPr>
      </w:pPr>
      <w:r w:rsidRPr="00DD065F">
        <w:rPr>
          <w:i/>
          <w:sz w:val="24"/>
          <w:szCs w:val="24"/>
        </w:rPr>
        <w:t xml:space="preserve">Jafarian A,  Zeidman P, Litvak V and Friston K, </w:t>
      </w:r>
      <w:r w:rsidR="00D66AC2" w:rsidRPr="00DD065F">
        <w:rPr>
          <w:i/>
          <w:sz w:val="24"/>
          <w:szCs w:val="24"/>
        </w:rPr>
        <w:t>Structure Learning in Coupled Dynamical Systems and Dynamic Causal Modelling</w:t>
      </w:r>
      <w:r w:rsidRPr="00DD065F">
        <w:rPr>
          <w:i/>
          <w:sz w:val="24"/>
          <w:szCs w:val="24"/>
        </w:rPr>
        <w:t>, Philosophical Transactions A, DOI: 10.1098/</w:t>
      </w:r>
      <w:bookmarkStart w:id="0" w:name="_GoBack"/>
      <w:r w:rsidRPr="00DD065F">
        <w:rPr>
          <w:i/>
          <w:sz w:val="24"/>
          <w:szCs w:val="24"/>
        </w:rPr>
        <w:t>rsta.2019.0048</w:t>
      </w:r>
      <w:bookmarkEnd w:id="0"/>
      <w:r w:rsidR="00D66AC2" w:rsidRPr="00DD065F">
        <w:rPr>
          <w:i/>
          <w:sz w:val="24"/>
          <w:szCs w:val="24"/>
        </w:rPr>
        <w:t>.</w:t>
      </w:r>
      <w:r w:rsidRPr="00DD065F">
        <w:rPr>
          <w:i/>
          <w:sz w:val="24"/>
          <w:szCs w:val="24"/>
        </w:rPr>
        <w:t xml:space="preserve"> </w:t>
      </w:r>
    </w:p>
    <w:p w14:paraId="583F8ED0" w14:textId="77777777" w:rsidR="00D66AC2" w:rsidRPr="00DD065F" w:rsidRDefault="00D66AC2" w:rsidP="00D66AC2"/>
    <w:p w14:paraId="0C52FDD1" w14:textId="2282635A" w:rsidR="00FB7BB8" w:rsidRPr="00DD065F" w:rsidRDefault="00FB7BB8" w:rsidP="00FB7BB8">
      <w:pPr>
        <w:spacing w:line="360" w:lineRule="auto"/>
        <w:jc w:val="both"/>
      </w:pPr>
      <w:r w:rsidRPr="00DD065F">
        <w:t>This brief note explains the parameter estimation routine in DCM. Detailed explanation can be found in</w:t>
      </w:r>
      <w:r w:rsidR="005B01E5" w:rsidRPr="00DD065F">
        <w:t xml:space="preserve"> </w:t>
      </w:r>
      <w:r w:rsidR="005B01E5" w:rsidRPr="00DD065F">
        <w:fldChar w:fldCharType="begin" w:fldLock="1"/>
      </w:r>
      <w:r w:rsidR="005B01E5" w:rsidRPr="00DD065F">
        <w:instrText>ADDIN CSL_CITATION { "citationItems" : [ { "id" : "ITEM-1", "itemData" : { "DOI" : "10.1016/j.neuroimage.2006.08.035", "ISSN" : "10538119", "PMID" : "17055746", "abstract" : "\\nThis note derives the variational free energy under the Laplace approximation, with a focus on accounting for additional model complexity induced by increasing the number of model parameters. This is relevant when using the free energy as an approximation to the log-evidence in Bayesian model averaging and selection. By setting restricted maximum likelihood (ReML) in the larger context of variational learning and expectation maximisation (EM), we show how the ReML objective function can be adjusted to provide an approximation to the log-evidence for a particular model. This means ReML can be used for model selection, specifically to select or compare models with different covariance components. This is useful in the context of hierarchical models because it enables a principled selection of priors that, under simple hyperpriors, can be used for automatic model selection and relevance determination (ARD). Deriving the ReML objective function, from basic variational principles, discloses the simple relationships among Variational Bayes, EM and ReML. Furthermore, we show that EM is formally identical to a full variational treatment when the precisions are linear in the hyperparameters. Finally, we also consider, briefly, dynamic models and how these inform the regularisation of free energy ascent schemes, like EM and ReML.", "author" : [ { "dropping-particle" : "", "family" : "Friston", "given" : "Karl", "non-dropping-particle" : "", "parse-names" : false, "suffix" : "" }, { "dropping-particle" : "", "family" : "Mattout", "given" : "J\u00e9r\u00e9mie", "non-dropping-particle" : "", "parse-names" : false, "suffix" : "" }, { "dropping-particle" : "", "family" : "Trujillo-Barreto", "given" : "Nelson", "non-dropping-particle" : "", "parse-names" : false, "suffix" : "" }, { "dropping-particle" : "", "family" : "Ashburner", "given" : "John", "non-dropping-particle" : "", "parse-names" : false, "suffix" : "" }, { "dropping-particle" : "", "family" : "Penny", "given" : "Will", "non-dropping-particle" : "", "parse-names" : false, "suffix" : "" }, { "dropping-particle" : "", "family" : "Friston", "given" : "Karl", "non-dropping-particle" : "", "parse-names" : false, "suffix" : "" } ], "container-title" : "NeuroImage", "id" : "ITEM-1", "issue" : "1", "issued" : { "date-parts" : [ [ "2006", "1", "1" ] ] }, "page" : "220-234", "title" : "Variational free energy and the Laplace approximation", "type" : "article-journal", "volume" : "34" }, "uris" : [ "http://www.mendeley.com/documents/?uuid=0dc298b4-37b3-4c61-97a9-e0e2245a9e5a" ] }, { "id" : "ITEM-2", "itemData" : { "DOI" : "10.1016/j.neuroimage.2008.02.054", "ISBN" : "1053-8119 (Print)", "ISSN" : "10538119", "PMID" : "18434205", "abstract" : "This paper presents a variational treatment of dynamic models that furnishes time-dependent conditional densities on the path or trajectory of a system's states and the time-independent densities of its parameters. These are obtained by maximising a variational action with respect to conditional densities, under a fixed-form assumption about their form. The action or path-integral of free-energy represents a lower bound on the model's log-evidence or marginal likelihood required for model selection and averaging. This approach rests on formulating the optimisation dynamically, in generalised coordinates of motion. The resulting scheme can be used for online Bayesian inversion of nonlinear dynamic causal models and is shown to outperform existing approaches, such as Kalman and particle filtering. Furthermore, it provides for dual and triple inferences on a system's states, parameters and hyperparameters using exactly the same principles. We refer to this approach as dynamic expectation maximisation (DEM). \u00a9 2008 Elsevier Inc. All rights reserved.", "author" : [ { "dropping-particle" : "", "family" : "Friston", "given" : "K. J.", "non-dropping-particle" : "", "parse-names" : false, "suffix" : "" }, { "dropping-particle" : "", "family" : "Trujillo-Barreto", "given" : "N.", "non-dropping-particle" : "", "parse-names" : false, "suffix" : "" }, { "dropping-particle" : "", "family" : "Daunizeau", "given" : "J.", "non-dropping-particle" : "", "parse-names" : false, "suffix" : "" } ], "container-title" : "NeuroImage", "id" : "ITEM-2", "issue" : "3", "issued" : { "date-parts" : [ [ "2008" ] ] }, "page" : "849-885", "title" : "DEM: A variational treatment of dynamic systems", "type" : "article-journal", "volume" : "41" }, "uris" : [ "http://www.mendeley.com/documents/?uuid=f6512dfb-e6b0-45c9-8257-eaec88613ee5" ] } ], "mendeley" : { "formattedCitation" : "(1,2)", "plainTextFormattedCitation" : "(1,2)", "previouslyFormattedCitation" : "(1,2)" }, "properties" : {  }, "schema" : "https://github.com/citation-style-language/schema/raw/master/csl-citation.json" }</w:instrText>
      </w:r>
      <w:r w:rsidR="005B01E5" w:rsidRPr="00DD065F">
        <w:fldChar w:fldCharType="separate"/>
      </w:r>
      <w:r w:rsidR="005B01E5" w:rsidRPr="00DD065F">
        <w:rPr>
          <w:noProof/>
        </w:rPr>
        <w:t>(1,2)</w:t>
      </w:r>
      <w:r w:rsidR="005B01E5" w:rsidRPr="00DD065F">
        <w:fldChar w:fldCharType="end"/>
      </w:r>
      <w:r w:rsidRPr="00DD065F">
        <w:t xml:space="preserve">. A generic form of a nonlinear model with unknown </w:t>
      </w:r>
      <w:r w:rsidR="00CA7D07" w:rsidRPr="00DD065F">
        <w:t>parameter</w:t>
      </w:r>
      <w:r w:rsidR="001453E0" w:rsidRPr="00DD065F">
        <w:t xml:space="preserve"> vector</w:t>
      </w:r>
      <w:r w:rsidR="00CA7D07" w:rsidRPr="00DD065F">
        <w:t xml:space="preserve"> </w:t>
      </w:r>
      <m:oMath>
        <m:r>
          <w:rPr>
            <w:rFonts w:ascii="Cambria Math" w:hAnsi="Cambria Math"/>
          </w:rPr>
          <m:t>θ</m:t>
        </m:r>
      </m:oMath>
      <w:r w:rsidR="001453E0" w:rsidRPr="00DD065F">
        <w:t xml:space="preserve"> </w:t>
      </w:r>
      <w:r w:rsidR="00CA7D07" w:rsidRPr="00DD065F">
        <w:t xml:space="preserve">is </w:t>
      </w:r>
      <w:r w:rsidRPr="00DD065F">
        <w:t>as follows:</w:t>
      </w:r>
    </w:p>
    <w:tbl>
      <w:tblPr>
        <w:tblW w:w="5130" w:type="pct"/>
        <w:tblLook w:val="04A0" w:firstRow="1" w:lastRow="0" w:firstColumn="1" w:lastColumn="0" w:noHBand="0" w:noVBand="1"/>
      </w:tblPr>
      <w:tblGrid>
        <w:gridCol w:w="1458"/>
        <w:gridCol w:w="6802"/>
        <w:gridCol w:w="1455"/>
      </w:tblGrid>
      <w:tr w:rsidR="00FB7BB8" w:rsidRPr="00DD065F" w14:paraId="1ADB0AA8" w14:textId="77777777" w:rsidTr="0084443C">
        <w:trPr>
          <w:trHeight w:val="1296"/>
        </w:trPr>
        <w:tc>
          <w:tcPr>
            <w:tcW w:w="750" w:type="pct"/>
            <w:shd w:val="clear" w:color="auto" w:fill="auto"/>
            <w:vAlign w:val="center"/>
          </w:tcPr>
          <w:p w14:paraId="66DFFFC8" w14:textId="77777777" w:rsidR="00FB7BB8" w:rsidRPr="00DD065F" w:rsidRDefault="00FB7BB8" w:rsidP="006E1EF6">
            <w:pPr>
              <w:spacing w:line="360" w:lineRule="auto"/>
            </w:pPr>
          </w:p>
        </w:tc>
        <w:tc>
          <w:tcPr>
            <w:tcW w:w="3501" w:type="pct"/>
            <w:shd w:val="clear" w:color="auto" w:fill="auto"/>
            <w:vAlign w:val="center"/>
          </w:tcPr>
          <w:p w14:paraId="3A649916" w14:textId="77777777" w:rsidR="00FB7BB8" w:rsidRPr="00DD065F" w:rsidRDefault="00FB7BB8" w:rsidP="006E1EF6">
            <w:pPr>
              <w:spacing w:line="360" w:lineRule="auto"/>
            </w:pPr>
            <m:oMathPara>
              <m:oMath>
                <m:r>
                  <w:rPr>
                    <w:rFonts w:ascii="Cambria Math" w:hAnsi="Cambria Math"/>
                  </w:rPr>
                  <m:t>y=g</m:t>
                </m:r>
                <m:d>
                  <m:dPr>
                    <m:ctrlPr>
                      <w:rPr>
                        <w:rFonts w:ascii="Cambria Math" w:hAnsi="Cambria Math"/>
                        <w:i/>
                      </w:rPr>
                    </m:ctrlPr>
                  </m:dPr>
                  <m:e>
                    <m:r>
                      <w:rPr>
                        <w:rFonts w:ascii="Cambria Math" w:hAnsi="Cambria Math"/>
                      </w:rPr>
                      <m:t>θ</m:t>
                    </m:r>
                  </m:e>
                </m:d>
                <m:r>
                  <w:rPr>
                    <w:rFonts w:ascii="Cambria Math" w:hAnsi="Cambria Math"/>
                  </w:rPr>
                  <m:t>+e</m:t>
                </m:r>
              </m:oMath>
            </m:oMathPara>
          </w:p>
        </w:tc>
        <w:tc>
          <w:tcPr>
            <w:tcW w:w="749" w:type="pct"/>
            <w:shd w:val="clear" w:color="auto" w:fill="auto"/>
            <w:vAlign w:val="center"/>
          </w:tcPr>
          <w:p w14:paraId="4051BD61" w14:textId="7F2A2751" w:rsidR="00FB7BB8" w:rsidRPr="00DD065F" w:rsidRDefault="00FB7BB8">
            <w:pPr>
              <w:spacing w:line="360" w:lineRule="auto"/>
              <w:jc w:val="center"/>
            </w:pPr>
            <w:r w:rsidRPr="00DD065F">
              <w:t>(A</w:t>
            </w:r>
            <w:r w:rsidR="001453E0" w:rsidRPr="00DD065F">
              <w:t>1</w:t>
            </w:r>
            <w:r w:rsidRPr="00DD065F">
              <w:t>)</w:t>
            </w:r>
          </w:p>
        </w:tc>
      </w:tr>
    </w:tbl>
    <w:p w14:paraId="60348F65" w14:textId="63380787" w:rsidR="00FB7BB8" w:rsidRPr="00DD065F" w:rsidRDefault="00CA7D07" w:rsidP="00FB7BB8">
      <w:pPr>
        <w:spacing w:line="360" w:lineRule="auto"/>
        <w:jc w:val="both"/>
      </w:pPr>
      <w:r w:rsidRPr="00DD065F">
        <w:t>In equation (A</w:t>
      </w:r>
      <w:r w:rsidR="001453E0" w:rsidRPr="00DD065F">
        <w:t>1</w:t>
      </w:r>
      <w:r w:rsidRPr="00DD065F">
        <w:t xml:space="preserve">), </w:t>
      </w:r>
      <w:r w:rsidR="00FB7BB8" w:rsidRPr="00DD065F">
        <w:t xml:space="preserve"> </w:t>
      </w:r>
      <m:oMath>
        <m:r>
          <w:rPr>
            <w:rFonts w:ascii="Cambria Math" w:hAnsi="Cambria Math"/>
          </w:rPr>
          <m:t>e</m:t>
        </m:r>
      </m:oMath>
      <w:r w:rsidR="00FB7BB8" w:rsidRPr="00DD065F">
        <w:t xml:space="preserve"> is</w:t>
      </w:r>
      <w:r w:rsidR="001453E0" w:rsidRPr="00DD065F">
        <w:t xml:space="preserve"> an</w:t>
      </w:r>
      <w:r w:rsidR="00FB7BB8" w:rsidRPr="00DD065F">
        <w:t xml:space="preserve"> additive error term with Gaussian distribution </w:t>
      </w:r>
      <m:oMath>
        <m:r>
          <w:rPr>
            <w:rFonts w:ascii="Cambria Math" w:hAnsi="Cambria Math"/>
          </w:rPr>
          <m:t>e~N(0,</m:t>
        </m:r>
        <m:sSub>
          <m:sSubPr>
            <m:ctrlPr>
              <w:rPr>
                <w:rFonts w:ascii="Cambria Math" w:hAnsi="Cambria Math"/>
                <w:i/>
              </w:rPr>
            </m:ctrlPr>
          </m:sSubPr>
          <m:e>
            <m:r>
              <w:rPr>
                <w:rFonts w:ascii="Cambria Math" w:hAnsi="Cambria Math"/>
              </w:rPr>
              <m:t>C</m:t>
            </m:r>
          </m:e>
          <m:sub>
            <m:r>
              <w:rPr>
                <w:rFonts w:ascii="Cambria Math" w:hAnsi="Cambria Math"/>
              </w:rPr>
              <m:t>y</m:t>
            </m:r>
          </m:sub>
        </m:sSub>
        <m:r>
          <w:rPr>
            <w:rFonts w:ascii="Cambria Math" w:hAnsi="Cambria Math"/>
          </w:rPr>
          <m:t>)</m:t>
        </m:r>
      </m:oMath>
      <w:r w:rsidRPr="00DD065F">
        <w:t xml:space="preserve"> (where</w:t>
      </w:r>
      <w:r w:rsidR="001453E0" w:rsidRPr="00DD065F">
        <w:t xml:space="preserve"> </w:t>
      </w:r>
      <m:oMath>
        <m:sSub>
          <m:sSubPr>
            <m:ctrlPr>
              <w:rPr>
                <w:rFonts w:ascii="Cambria Math" w:hAnsi="Cambria Math"/>
                <w:i/>
              </w:rPr>
            </m:ctrlPr>
          </m:sSubPr>
          <m:e>
            <m:r>
              <w:rPr>
                <w:rFonts w:ascii="Cambria Math" w:hAnsi="Cambria Math"/>
              </w:rPr>
              <m:t>C</m:t>
            </m:r>
          </m:e>
          <m:sub>
            <m:r>
              <w:rPr>
                <w:rFonts w:ascii="Cambria Math" w:hAnsi="Cambria Math"/>
              </w:rPr>
              <m:t>y</m:t>
            </m:r>
          </m:sub>
        </m:sSub>
      </m:oMath>
      <w:r w:rsidRPr="00DD065F">
        <w:t xml:space="preserve"> is a</w:t>
      </w:r>
      <w:r w:rsidR="00FB7BB8" w:rsidRPr="00DD065F">
        <w:t xml:space="preserve"> covariance matrix</w:t>
      </w:r>
      <w:r w:rsidRPr="00DD065F">
        <w:t>)</w:t>
      </w:r>
      <w:r w:rsidR="00FB7BB8" w:rsidRPr="00DD065F">
        <w:t xml:space="preserve">. The inverse of the error covariance matrix is </w:t>
      </w:r>
      <w:r w:rsidRPr="00DD065F">
        <w:t xml:space="preserve">called </w:t>
      </w:r>
      <w:r w:rsidR="00DF2F2D" w:rsidRPr="00DD065F">
        <w:t>the</w:t>
      </w:r>
      <w:r w:rsidR="00FB7BB8" w:rsidRPr="00DD065F">
        <w:t xml:space="preserve"> precision matrix </w:t>
      </w:r>
      <w:r w:rsidRPr="00DD065F">
        <w:t xml:space="preserve">and is denoted </w:t>
      </w:r>
      <w:proofErr w:type="gramStart"/>
      <w:r w:rsidRPr="00DD065F">
        <w:t xml:space="preserve">by </w:t>
      </w:r>
      <w:proofErr w:type="gramEnd"/>
      <m:oMath>
        <m:sSub>
          <m:sSubPr>
            <m:ctrlPr>
              <w:rPr>
                <w:rFonts w:ascii="Cambria Math" w:hAnsi="Cambria Math"/>
                <w:i/>
              </w:rPr>
            </m:ctrlPr>
          </m:sSubPr>
          <m:e>
            <m:r>
              <m:rPr>
                <m:sty m:val="p"/>
              </m:rPr>
              <w:rPr>
                <w:rFonts w:ascii="Cambria Math" w:hAnsi="Cambria Math"/>
              </w:rPr>
              <m:t>Π</m:t>
            </m:r>
            <m:ctrlPr>
              <w:rPr>
                <w:rFonts w:ascii="Cambria Math" w:hAnsi="Cambria Math"/>
              </w:rPr>
            </m:ctrlPr>
          </m:e>
          <m:sub>
            <m:r>
              <w:rPr>
                <w:rFonts w:ascii="Cambria Math" w:hAnsi="Cambria Math"/>
              </w:rPr>
              <m:t>y</m:t>
            </m:r>
          </m:sub>
        </m:sSub>
      </m:oMath>
      <w:r w:rsidR="00751188" w:rsidRPr="00DD065F">
        <w:t>. The precision matrix</w:t>
      </w:r>
      <w:r w:rsidR="00FB7BB8" w:rsidRPr="00DD065F">
        <w:t xml:space="preserve"> </w:t>
      </w:r>
      <w:r w:rsidR="00751188" w:rsidRPr="00DD065F">
        <w:t xml:space="preserve">can be </w:t>
      </w:r>
      <w:r w:rsidR="00FB7BB8" w:rsidRPr="00DD065F">
        <w:t xml:space="preserve">decomposed </w:t>
      </w:r>
      <w:r w:rsidR="00751188" w:rsidRPr="00DD065F">
        <w:t xml:space="preserve">using </w:t>
      </w:r>
      <w:r w:rsidR="00FB7BB8" w:rsidRPr="00DD065F">
        <w:t xml:space="preserve">known precision basis functions </w:t>
      </w:r>
      <m:oMath>
        <m:sSub>
          <m:sSubPr>
            <m:ctrlPr>
              <w:rPr>
                <w:rFonts w:ascii="Cambria Math" w:hAnsi="Cambria Math"/>
                <w:i/>
              </w:rPr>
            </m:ctrlPr>
          </m:sSubPr>
          <m:e>
            <m:r>
              <w:rPr>
                <w:rFonts w:ascii="Cambria Math" w:hAnsi="Cambria Math"/>
              </w:rPr>
              <m:t>Q</m:t>
            </m:r>
          </m:e>
          <m:sub>
            <m:r>
              <w:rPr>
                <w:rFonts w:ascii="Cambria Math" w:hAnsi="Cambria Math"/>
              </w:rPr>
              <m:t>i</m:t>
            </m:r>
          </m:sub>
        </m:sSub>
      </m:oMath>
      <w:r w:rsidR="00FB7BB8" w:rsidRPr="00DD065F">
        <w:t xml:space="preserve"> as follows:</w:t>
      </w:r>
    </w:p>
    <w:p w14:paraId="5B6DF0A7" w14:textId="77777777" w:rsidR="00FB7BB8" w:rsidRPr="00DD065F" w:rsidRDefault="00FB7BB8" w:rsidP="00FB7BB8">
      <w:pPr>
        <w:spacing w:line="360" w:lineRule="auto"/>
      </w:pPr>
    </w:p>
    <w:tbl>
      <w:tblPr>
        <w:tblW w:w="5093" w:type="pct"/>
        <w:tblLook w:val="04A0" w:firstRow="1" w:lastRow="0" w:firstColumn="1" w:lastColumn="0" w:noHBand="0" w:noVBand="1"/>
      </w:tblPr>
      <w:tblGrid>
        <w:gridCol w:w="1427"/>
        <w:gridCol w:w="6798"/>
        <w:gridCol w:w="1420"/>
      </w:tblGrid>
      <w:tr w:rsidR="00FB7BB8" w:rsidRPr="00DD065F" w14:paraId="58E13343" w14:textId="77777777" w:rsidTr="0084443C">
        <w:trPr>
          <w:trHeight w:val="1228"/>
        </w:trPr>
        <w:tc>
          <w:tcPr>
            <w:tcW w:w="740" w:type="pct"/>
            <w:shd w:val="clear" w:color="auto" w:fill="auto"/>
            <w:vAlign w:val="center"/>
          </w:tcPr>
          <w:p w14:paraId="23B62424" w14:textId="77777777" w:rsidR="00FB7BB8" w:rsidRPr="00DD065F" w:rsidRDefault="00FB7BB8" w:rsidP="006E1EF6">
            <w:pPr>
              <w:spacing w:line="360" w:lineRule="auto"/>
            </w:pPr>
          </w:p>
        </w:tc>
        <w:tc>
          <w:tcPr>
            <w:tcW w:w="3524" w:type="pct"/>
            <w:shd w:val="clear" w:color="auto" w:fill="auto"/>
            <w:vAlign w:val="center"/>
          </w:tcPr>
          <w:p w14:paraId="1D953B04" w14:textId="77777777" w:rsidR="00FB7BB8" w:rsidRPr="00DD065F" w:rsidRDefault="008174F3" w:rsidP="006E1EF6">
            <w:pPr>
              <w:spacing w:line="360" w:lineRule="auto"/>
            </w:pPr>
            <m:oMathPara>
              <m:oMath>
                <m:sSubSup>
                  <m:sSubSupPr>
                    <m:ctrlPr>
                      <w:rPr>
                        <w:rFonts w:ascii="Cambria Math" w:hAnsi="Cambria Math"/>
                        <w:i/>
                      </w:rPr>
                    </m:ctrlPr>
                  </m:sSubSupPr>
                  <m:e>
                    <m:sSub>
                      <m:sSubPr>
                        <m:ctrlPr>
                          <w:rPr>
                            <w:rFonts w:ascii="Cambria Math" w:hAnsi="Cambria Math"/>
                            <w:i/>
                          </w:rPr>
                        </m:ctrlPr>
                      </m:sSubPr>
                      <m:e>
                        <m:r>
                          <m:rPr>
                            <m:sty m:val="p"/>
                          </m:rPr>
                          <w:rPr>
                            <w:rFonts w:ascii="Cambria Math" w:hAnsi="Cambria Math"/>
                          </w:rPr>
                          <m:t>Π</m:t>
                        </m:r>
                        <m:ctrlPr>
                          <w:rPr>
                            <w:rFonts w:ascii="Cambria Math" w:hAnsi="Cambria Math"/>
                          </w:rPr>
                        </m:ctrlPr>
                      </m:e>
                      <m:sub>
                        <m:r>
                          <w:rPr>
                            <w:rFonts w:ascii="Cambria Math" w:hAnsi="Cambria Math"/>
                          </w:rPr>
                          <m:t>y</m:t>
                        </m:r>
                      </m:sub>
                    </m:sSub>
                    <m:r>
                      <w:rPr>
                        <w:rFonts w:ascii="Cambria Math" w:hAnsi="Cambria Math"/>
                      </w:rPr>
                      <m:t>=C</m:t>
                    </m:r>
                  </m:e>
                  <m:sub>
                    <m:r>
                      <w:rPr>
                        <w:rFonts w:ascii="Cambria Math" w:hAnsi="Cambria Math"/>
                      </w:rPr>
                      <m:t>y</m:t>
                    </m:r>
                  </m:sub>
                  <m:sup>
                    <m:r>
                      <w:rPr>
                        <w:rFonts w:ascii="Cambria Math" w:hAnsi="Cambria Math"/>
                      </w:rPr>
                      <m:t>-1</m:t>
                    </m:r>
                  </m:sup>
                </m:sSubSup>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sSub>
                              <m:sSubPr>
                                <m:ctrlPr>
                                  <w:rPr>
                                    <w:rFonts w:ascii="Cambria Math" w:hAnsi="Cambria Math"/>
                                    <w:i/>
                                  </w:rPr>
                                </m:ctrlPr>
                              </m:sSubPr>
                              <m:e>
                                <m:r>
                                  <w:rPr>
                                    <w:rFonts w:ascii="Cambria Math" w:hAnsi="Cambria Math"/>
                                  </w:rPr>
                                  <m:t>λ</m:t>
                                </m:r>
                                <m:ctrlPr>
                                  <w:rPr>
                                    <w:rFonts w:ascii="Cambria Math" w:hAnsi="Cambria Math"/>
                                  </w:rPr>
                                </m:ctrlPr>
                              </m:e>
                              <m:sub>
                                <m:r>
                                  <w:rPr>
                                    <w:rFonts w:ascii="Cambria Math" w:hAnsi="Cambria Math"/>
                                  </w:rPr>
                                  <m:t>i</m:t>
                                </m:r>
                              </m:sub>
                            </m:sSub>
                            <m:ctrlPr>
                              <w:rPr>
                                <w:rFonts w:ascii="Cambria Math" w:hAnsi="Cambria Math"/>
                                <w:i/>
                              </w:rPr>
                            </m:ctrlPr>
                          </m:e>
                        </m:d>
                      </m:e>
                    </m:func>
                    <m:sSub>
                      <m:sSubPr>
                        <m:ctrlPr>
                          <w:rPr>
                            <w:rFonts w:ascii="Cambria Math" w:hAnsi="Cambria Math"/>
                            <w:i/>
                          </w:rPr>
                        </m:ctrlPr>
                      </m:sSubPr>
                      <m:e>
                        <m:r>
                          <w:rPr>
                            <w:rFonts w:ascii="Cambria Math" w:hAnsi="Cambria Math"/>
                          </w:rPr>
                          <m:t>Q</m:t>
                        </m:r>
                      </m:e>
                      <m:sub>
                        <m:r>
                          <w:rPr>
                            <w:rFonts w:ascii="Cambria Math" w:hAnsi="Cambria Math"/>
                          </w:rPr>
                          <m:t>i</m:t>
                        </m:r>
                      </m:sub>
                    </m:sSub>
                  </m:e>
                </m:nary>
              </m:oMath>
            </m:oMathPara>
          </w:p>
        </w:tc>
        <w:tc>
          <w:tcPr>
            <w:tcW w:w="736" w:type="pct"/>
            <w:shd w:val="clear" w:color="auto" w:fill="auto"/>
            <w:vAlign w:val="center"/>
          </w:tcPr>
          <w:p w14:paraId="0105DC4D" w14:textId="04546D82" w:rsidR="00FB7BB8" w:rsidRPr="00DD065F" w:rsidRDefault="00947B93">
            <w:pPr>
              <w:spacing w:line="360" w:lineRule="auto"/>
            </w:pPr>
            <w:r w:rsidRPr="00DD065F">
              <w:t xml:space="preserve">         </w:t>
            </w:r>
            <w:r w:rsidR="00FB7BB8" w:rsidRPr="00DD065F">
              <w:t>(A</w:t>
            </w:r>
            <w:r w:rsidR="001453E0" w:rsidRPr="00DD065F">
              <w:t>2</w:t>
            </w:r>
            <w:r w:rsidR="00FB7BB8" w:rsidRPr="00DD065F">
              <w:t>)</w:t>
            </w:r>
          </w:p>
        </w:tc>
      </w:tr>
    </w:tbl>
    <w:p w14:paraId="52788182" w14:textId="618936C4" w:rsidR="00FB7BB8" w:rsidRPr="00DD065F" w:rsidRDefault="00751188" w:rsidP="00FB7BB8">
      <w:pPr>
        <w:spacing w:line="360" w:lineRule="auto"/>
        <w:jc w:val="both"/>
      </w:pPr>
      <w:r w:rsidRPr="00DD065F">
        <w:t>In equation (A</w:t>
      </w:r>
      <w:r w:rsidR="001453E0" w:rsidRPr="00DD065F">
        <w:t>2</w:t>
      </w:r>
      <w:r w:rsidRPr="00DD065F">
        <w:t>)</w:t>
      </w:r>
      <w:proofErr w:type="gramStart"/>
      <w:r w:rsidRPr="00DD065F">
        <w:t xml:space="preserve">, </w:t>
      </w:r>
      <w:r w:rsidR="00FB7BB8" w:rsidRPr="00DD065F">
        <w:t xml:space="preserve"> scalar</w:t>
      </w:r>
      <w:proofErr w:type="gramEnd"/>
      <w:r w:rsidR="00FB7BB8" w:rsidRPr="00DD065F">
        <w:t xml:space="preserve"> </w:t>
      </w:r>
      <m:oMath>
        <m:sSub>
          <m:sSubPr>
            <m:ctrlPr>
              <w:rPr>
                <w:rFonts w:ascii="Cambria Math" w:hAnsi="Cambria Math"/>
                <w:i/>
              </w:rPr>
            </m:ctrlPr>
          </m:sSubPr>
          <m:e>
            <m:r>
              <w:rPr>
                <w:rFonts w:ascii="Cambria Math" w:hAnsi="Cambria Math"/>
              </w:rPr>
              <m:t>λ</m:t>
            </m:r>
          </m:e>
          <m:sub>
            <m:r>
              <w:rPr>
                <w:rFonts w:ascii="Cambria Math" w:hAnsi="Cambria Math"/>
              </w:rPr>
              <m:t>i</m:t>
            </m:r>
          </m:sub>
        </m:sSub>
      </m:oMath>
      <w:r w:rsidR="00FB7BB8" w:rsidRPr="00DD065F">
        <w:t xml:space="preserve"> is called a hyperparameter (since it </w:t>
      </w:r>
      <w:r w:rsidR="00A44E7C" w:rsidRPr="00DD065F">
        <w:t xml:space="preserve">is used to </w:t>
      </w:r>
      <w:r w:rsidR="00FB7BB8" w:rsidRPr="00DD065F">
        <w:t xml:space="preserve">define </w:t>
      </w:r>
      <w:r w:rsidR="00A44E7C" w:rsidRPr="00DD065F">
        <w:t>the distribution</w:t>
      </w:r>
      <w:r w:rsidR="00FB7BB8" w:rsidRPr="00DD065F">
        <w:t xml:space="preserve"> of the error term) and </w:t>
      </w:r>
      <m:oMath>
        <m:r>
          <w:rPr>
            <w:rFonts w:ascii="Cambria Math" w:hAnsi="Cambria Math"/>
          </w:rPr>
          <m:t>i</m:t>
        </m:r>
      </m:oMath>
      <w:r w:rsidR="00FB7BB8" w:rsidRPr="00DD065F">
        <w:t xml:space="preserve"> is the number of the precision component. The </w:t>
      </w:r>
      <w:r w:rsidR="00A44E7C" w:rsidRPr="00DD065F">
        <w:t xml:space="preserve">aim </w:t>
      </w:r>
      <w:r w:rsidR="00FB7BB8" w:rsidRPr="00DD065F">
        <w:t xml:space="preserve">of model </w:t>
      </w:r>
      <w:r w:rsidR="00FB7BB8" w:rsidRPr="00DD065F">
        <w:rPr>
          <w:i/>
        </w:rPr>
        <w:t>inversion</w:t>
      </w:r>
      <w:r w:rsidR="00FB7BB8" w:rsidRPr="00DD065F">
        <w:t xml:space="preserve"> is to </w:t>
      </w:r>
      <w:r w:rsidR="00A44E7C" w:rsidRPr="00DD065F">
        <w:t xml:space="preserve">infer </w:t>
      </w:r>
      <w:r w:rsidR="00FB7BB8" w:rsidRPr="00DD065F">
        <w:t xml:space="preserve">the posterior probability of parameters </w:t>
      </w:r>
      <m:oMath>
        <m:r>
          <w:rPr>
            <w:rFonts w:ascii="Cambria Math" w:hAnsi="Cambria Math"/>
          </w:rPr>
          <m:t>θ</m:t>
        </m:r>
      </m:oMath>
      <w:r w:rsidR="00FB7BB8" w:rsidRPr="00DD065F">
        <w:t xml:space="preserve"> and hyperparameters </w:t>
      </w:r>
      <m:oMath>
        <m:r>
          <w:rPr>
            <w:rFonts w:ascii="Cambria Math" w:hAnsi="Cambria Math"/>
          </w:rPr>
          <m:t>λ</m:t>
        </m:r>
      </m:oMath>
      <w:r w:rsidR="00FB7BB8" w:rsidRPr="00DD065F">
        <w:t xml:space="preserve"> given their (normal) prior densities</w:t>
      </w:r>
      <w:r w:rsidR="00C64CA5" w:rsidRPr="00DD065F">
        <w:t xml:space="preserve"> which are denoted by</w:t>
      </w:r>
      <w:r w:rsidR="00FB7BB8" w:rsidRPr="00DD065F">
        <w:t xml:space="preserve"> </w:t>
      </w:r>
      <m:oMath>
        <m:r>
          <w:rPr>
            <w:rFonts w:ascii="Cambria Math" w:hAnsi="Cambria Math"/>
          </w:rPr>
          <m:t>p</m:t>
        </m:r>
        <m:d>
          <m:dPr>
            <m:ctrlPr>
              <w:rPr>
                <w:rFonts w:ascii="Cambria Math" w:hAnsi="Cambria Math"/>
                <w:i/>
              </w:rPr>
            </m:ctrlPr>
          </m:dPr>
          <m:e>
            <m:r>
              <w:rPr>
                <w:rFonts w:ascii="Cambria Math" w:hAnsi="Cambria Math"/>
              </w:rPr>
              <m:t>θ</m:t>
            </m:r>
          </m:e>
        </m:d>
        <m:r>
          <w:rPr>
            <w:rFonts w:ascii="Cambria Math" w:hAnsi="Cambria Math"/>
          </w:rPr>
          <m:t>=N</m:t>
        </m:r>
        <m:d>
          <m:dPr>
            <m:ctrlPr>
              <w:rPr>
                <w:rFonts w:ascii="Cambria Math" w:hAnsi="Cambria Math"/>
                <w:i/>
              </w:rPr>
            </m:ctrlPr>
          </m:dPr>
          <m:e>
            <m:r>
              <w:rPr>
                <w:rFonts w:ascii="Cambria Math" w:hAnsi="Cambria Math"/>
              </w:rPr>
              <m:t>θ;</m:t>
            </m:r>
            <m:sSub>
              <m:sSubPr>
                <m:ctrlPr>
                  <w:rPr>
                    <w:rFonts w:ascii="Cambria Math" w:hAnsi="Cambria Math"/>
                    <w:i/>
                  </w:rPr>
                </m:ctrlPr>
              </m:sSubPr>
              <m:e>
                <m:r>
                  <w:rPr>
                    <w:rFonts w:ascii="Cambria Math" w:hAnsi="Cambria Math"/>
                  </w:rPr>
                  <m:t>μ</m:t>
                </m:r>
              </m:e>
              <m:sub>
                <m:r>
                  <w:rPr>
                    <w:rFonts w:ascii="Cambria Math" w:hAnsi="Cambria Math"/>
                  </w:rPr>
                  <m:t>θ</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θ</m:t>
                </m:r>
              </m:sub>
            </m:sSub>
          </m:e>
        </m:d>
      </m:oMath>
      <w:r w:rsidR="00FB7BB8" w:rsidRPr="00DD065F">
        <w:t xml:space="preserve"> and</w:t>
      </w:r>
      <m:oMath>
        <m:r>
          <w:rPr>
            <w:rFonts w:ascii="Cambria Math" w:hAnsi="Cambria Math"/>
          </w:rPr>
          <m:t xml:space="preserve"> p(λ)=N</m:t>
        </m:r>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μ</m:t>
                </m:r>
              </m:e>
              <m:sub>
                <m:r>
                  <w:rPr>
                    <w:rFonts w:ascii="Cambria Math" w:hAnsi="Cambria Math"/>
                  </w:rPr>
                  <m:t>λ</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λ</m:t>
                </m:r>
              </m:sub>
            </m:sSub>
          </m:e>
        </m:d>
      </m:oMath>
      <w:r w:rsidR="00FB7BB8" w:rsidRPr="00DD065F">
        <w:t xml:space="preserve">, respectively. An iterative </w:t>
      </w:r>
      <w:r w:rsidR="00C64CA5" w:rsidRPr="00DD065F">
        <w:t xml:space="preserve">optimisation </w:t>
      </w:r>
      <w:r w:rsidR="00FB7BB8" w:rsidRPr="00DD065F">
        <w:t>scheme is used</w:t>
      </w:r>
      <w:r w:rsidR="00C64CA5" w:rsidRPr="00DD065F">
        <w:t xml:space="preserve"> in DCM</w:t>
      </w:r>
      <w:r w:rsidR="00FB7BB8" w:rsidRPr="00DD065F">
        <w:t xml:space="preserve"> that searches for settings of the parameters </w:t>
      </w:r>
      <w:r w:rsidR="00DF2F2D" w:rsidRPr="00DD065F">
        <w:t xml:space="preserve">that </w:t>
      </w:r>
      <w:r w:rsidR="00FB7BB8" w:rsidRPr="00DD065F">
        <w:t xml:space="preserve">maximise the log model evidence </w:t>
      </w:r>
      <m:oMath>
        <m:func>
          <m:funcPr>
            <m:ctrlPr>
              <w:rPr>
                <w:rFonts w:ascii="Cambria Math" w:hAnsi="Cambria Math"/>
                <w:i/>
              </w:rPr>
            </m:ctrlPr>
          </m:funcPr>
          <m:fName>
            <m:r>
              <m:rPr>
                <m:sty m:val="p"/>
              </m:rPr>
              <w:rPr>
                <w:rFonts w:ascii="Cambria Math" w:hAnsi="Cambria Math"/>
              </w:rPr>
              <m:t>ln</m:t>
            </m:r>
          </m:fName>
          <m:e>
            <m:r>
              <w:rPr>
                <w:rFonts w:ascii="Cambria Math" w:hAnsi="Cambria Math"/>
              </w:rPr>
              <m:t>p(y)</m:t>
            </m:r>
          </m:e>
        </m:func>
      </m:oMath>
      <w:r w:rsidR="00C64CA5" w:rsidRPr="00DD065F">
        <w:t xml:space="preserve"> (1</w:t>
      </w:r>
      <w:proofErr w:type="gramStart"/>
      <w:r w:rsidR="00C64CA5" w:rsidRPr="00DD065F">
        <w:t>,2</w:t>
      </w:r>
      <w:proofErr w:type="gramEnd"/>
      <w:r w:rsidR="00C64CA5" w:rsidRPr="00DD065F">
        <w:t>)</w:t>
      </w:r>
      <w:r w:rsidR="00FB7BB8" w:rsidRPr="00DD065F">
        <w:t xml:space="preserve">. </w:t>
      </w:r>
      <w:r w:rsidR="00C64CA5" w:rsidRPr="00DD065F">
        <w:t>However, since i</w:t>
      </w:r>
      <w:r w:rsidR="00FB7BB8" w:rsidRPr="00DD065F">
        <w:t xml:space="preserve">n practice </w:t>
      </w:r>
      <w:r w:rsidR="00C64CA5" w:rsidRPr="00DD065F">
        <w:t xml:space="preserve">the log model evidence </w:t>
      </w:r>
      <w:r w:rsidR="00FB7BB8" w:rsidRPr="00DD065F">
        <w:t>cannot be computed exactly, and an approximation called the negative variational free energy</w:t>
      </w:r>
      <w:r w:rsidR="0084443C" w:rsidRPr="00DD065F">
        <w:t xml:space="preserve"> functional</w:t>
      </w:r>
      <w:r w:rsidR="00FB7BB8" w:rsidRPr="00DD065F">
        <w:t xml:space="preserve"> </w:t>
      </w:r>
      <m:oMath>
        <m:r>
          <w:rPr>
            <w:rFonts w:ascii="Cambria Math" w:hAnsi="Cambria Math"/>
          </w:rPr>
          <m:t>F</m:t>
        </m:r>
      </m:oMath>
      <w:r w:rsidR="00FB7BB8" w:rsidRPr="00DD065F">
        <w:t xml:space="preserve"> </w:t>
      </w:r>
      <w:r w:rsidR="0084443C" w:rsidRPr="00DD065F">
        <w:t>(</w:t>
      </w:r>
      <w:r w:rsidR="00FB7BB8" w:rsidRPr="00DD065F">
        <w:t>o</w:t>
      </w:r>
      <w:r w:rsidR="0084443C" w:rsidRPr="00DD065F">
        <w:t>r evidence lower bound) is</w:t>
      </w:r>
      <w:r w:rsidR="00DF2F2D" w:rsidRPr="00DD065F">
        <w:t xml:space="preserve"> used and is</w:t>
      </w:r>
      <w:r w:rsidR="0084443C" w:rsidRPr="00DD065F">
        <w:t xml:space="preserve"> returned by DCM. </w:t>
      </w:r>
      <w:r w:rsidR="00C64CA5" w:rsidRPr="00DD065F">
        <w:t>The negative variational free energy</w:t>
      </w:r>
      <w:r w:rsidR="00DF2F2D" w:rsidRPr="00DD065F">
        <w:t>, hereafter the free energy,</w:t>
      </w:r>
      <w:r w:rsidR="00C64CA5" w:rsidRPr="00DD065F">
        <w:t xml:space="preserve"> is</w:t>
      </w:r>
      <w:r w:rsidR="00FB7BB8" w:rsidRPr="00DD065F">
        <w:t xml:space="preserve"> used as the basis for comparing the evidence for different candidate models (Bayesian model selection). </w:t>
      </w:r>
    </w:p>
    <w:p w14:paraId="740D3A4E" w14:textId="77777777" w:rsidR="0097346D" w:rsidRPr="00DD065F" w:rsidRDefault="0097346D" w:rsidP="00FB7BB8">
      <w:pPr>
        <w:spacing w:line="360" w:lineRule="auto"/>
        <w:jc w:val="both"/>
      </w:pPr>
    </w:p>
    <w:p w14:paraId="3A82B99F" w14:textId="6806DCBC" w:rsidR="00FB7BB8" w:rsidRPr="00DD065F" w:rsidRDefault="00FB7BB8" w:rsidP="00FB7BB8">
      <w:pPr>
        <w:spacing w:line="360" w:lineRule="auto"/>
        <w:jc w:val="both"/>
      </w:pPr>
      <w:r w:rsidRPr="00DD065F">
        <w:t>The scheme for estimation</w:t>
      </w:r>
      <w:r w:rsidR="00C64CA5" w:rsidRPr="00DD065F">
        <w:t xml:space="preserve"> of model parameters</w:t>
      </w:r>
      <w:r w:rsidRPr="00DD065F">
        <w:t xml:space="preserve"> in DCM is called variational Bayes method under Laplace approximation (</w:t>
      </w:r>
      <w:proofErr w:type="spellStart"/>
      <w:r w:rsidRPr="00DD065F">
        <w:t>a.k.a</w:t>
      </w:r>
      <w:proofErr w:type="spellEnd"/>
      <w:r w:rsidRPr="00DD065F">
        <w:t xml:space="preserve">, </w:t>
      </w:r>
      <w:proofErr w:type="spellStart"/>
      <w:r w:rsidRPr="00DD065F">
        <w:t>variational</w:t>
      </w:r>
      <w:proofErr w:type="spellEnd"/>
      <w:r w:rsidRPr="00DD065F">
        <w:t xml:space="preserve"> Laplace), and is employed to approximate posterior densities of parameters with Gaussian </w:t>
      </w:r>
      <w:r w:rsidR="00C64CA5" w:rsidRPr="00DD065F">
        <w:t>distributions</w:t>
      </w:r>
      <w:r w:rsidRPr="00DD065F">
        <w:t xml:space="preserve">. </w:t>
      </w:r>
      <w:r w:rsidR="0014377B" w:rsidRPr="00DD065F">
        <w:t>The</w:t>
      </w:r>
      <w:r w:rsidRPr="00DD065F">
        <w:t xml:space="preserve"> approximation can be </w:t>
      </w:r>
      <w:r w:rsidR="00E16A83" w:rsidRPr="00DD065F">
        <w:t xml:space="preserve">evaluated </w:t>
      </w:r>
      <w:r w:rsidRPr="00DD065F">
        <w:t>in terms of the difference (</w:t>
      </w:r>
      <m:oMath>
        <m:r>
          <w:rPr>
            <w:rFonts w:ascii="Cambria Math" w:hAnsi="Cambria Math"/>
          </w:rPr>
          <m:t>KL</m:t>
        </m:r>
      </m:oMath>
      <w:r w:rsidRPr="00DD065F">
        <w:t xml:space="preserve"> divergence) between the true posterior </w:t>
      </w:r>
      <m:oMath>
        <m:r>
          <w:rPr>
            <w:rFonts w:ascii="Cambria Math" w:hAnsi="Cambria Math"/>
          </w:rPr>
          <m:t>p(θ,λ|y)</m:t>
        </m:r>
      </m:oMath>
      <w:r w:rsidRPr="00DD065F">
        <w:t xml:space="preserve"> and the approximated Gaussian posterior </w:t>
      </w:r>
      <m:oMath>
        <m:r>
          <w:rPr>
            <w:rFonts w:ascii="Cambria Math" w:hAnsi="Cambria Math"/>
          </w:rPr>
          <m:t>q(θ,λ)</m:t>
        </m:r>
      </m:oMath>
      <w:r w:rsidRPr="00DD065F">
        <w:t xml:space="preserve"> over the parameters. However, since the true posterior is not </w:t>
      </w:r>
      <w:r w:rsidR="0014377B" w:rsidRPr="00DD065F">
        <w:t>known</w:t>
      </w:r>
      <w:r w:rsidRPr="00DD065F">
        <w:t xml:space="preserve">, </w:t>
      </w:r>
      <w:r w:rsidR="0014377B" w:rsidRPr="00DD065F">
        <w:t xml:space="preserve">the </w:t>
      </w:r>
      <w:r w:rsidRPr="00DD065F">
        <w:t>difference cannot be computed directly, and the goodness of the approximation needs to be evaluated indirectly</w:t>
      </w:r>
      <w:r w:rsidR="00F06487" w:rsidRPr="00DD065F">
        <w:t xml:space="preserve"> through optimisation of </w:t>
      </w:r>
      <w:r w:rsidR="005D52EB" w:rsidRPr="00DD065F">
        <w:t xml:space="preserve">the </w:t>
      </w:r>
      <w:r w:rsidR="00F06487" w:rsidRPr="00DD065F">
        <w:t>free energy</w:t>
      </w:r>
      <w:r w:rsidRPr="00DD065F">
        <w:t xml:space="preserve">. This </w:t>
      </w:r>
      <w:r w:rsidR="005D52EB" w:rsidRPr="00DD065F">
        <w:t>follows</w:t>
      </w:r>
      <w:r w:rsidR="00F06487" w:rsidRPr="00DD065F">
        <w:t xml:space="preserve"> because</w:t>
      </w:r>
      <w:r w:rsidRPr="00DD065F">
        <w:t xml:space="preserve"> the log model evidence </w:t>
      </w:r>
      <w:r w:rsidR="00F06487" w:rsidRPr="00DD065F">
        <w:t xml:space="preserve">can </w:t>
      </w:r>
      <w:r w:rsidRPr="00DD065F">
        <w:t xml:space="preserve">be expressed as the algebraic sum of the negative free energy </w:t>
      </w:r>
      <m:oMath>
        <m:r>
          <w:rPr>
            <w:rFonts w:ascii="Cambria Math" w:hAnsi="Cambria Math"/>
          </w:rPr>
          <m:t>F</m:t>
        </m:r>
      </m:oMath>
      <w:r w:rsidRPr="00DD065F">
        <w:t xml:space="preserve"> and the KL divergence</w:t>
      </w:r>
      <w:r w:rsidR="005D52EB" w:rsidRPr="00DD065F">
        <w:t>, given in Equation 2 of the main text and re-expressed here for convenience</w:t>
      </w:r>
      <w:r w:rsidRPr="00DD065F">
        <w:t>:</w:t>
      </w:r>
    </w:p>
    <w:tbl>
      <w:tblPr>
        <w:tblW w:w="5093" w:type="pct"/>
        <w:tblLook w:val="04A0" w:firstRow="1" w:lastRow="0" w:firstColumn="1" w:lastColumn="0" w:noHBand="0" w:noVBand="1"/>
      </w:tblPr>
      <w:tblGrid>
        <w:gridCol w:w="1458"/>
        <w:gridCol w:w="6804"/>
        <w:gridCol w:w="1383"/>
      </w:tblGrid>
      <w:tr w:rsidR="00FB7BB8" w:rsidRPr="00DD065F" w14:paraId="72D68A73" w14:textId="77777777" w:rsidTr="0084443C">
        <w:trPr>
          <w:trHeight w:val="1296"/>
        </w:trPr>
        <w:tc>
          <w:tcPr>
            <w:tcW w:w="756" w:type="pct"/>
            <w:shd w:val="clear" w:color="auto" w:fill="auto"/>
            <w:vAlign w:val="center"/>
          </w:tcPr>
          <w:p w14:paraId="4417E932" w14:textId="77777777" w:rsidR="00FB7BB8" w:rsidRPr="00DD065F" w:rsidRDefault="00FB7BB8" w:rsidP="006E1EF6">
            <w:pPr>
              <w:spacing w:line="360" w:lineRule="auto"/>
            </w:pPr>
          </w:p>
        </w:tc>
        <w:tc>
          <w:tcPr>
            <w:tcW w:w="3527" w:type="pct"/>
            <w:shd w:val="clear" w:color="auto" w:fill="auto"/>
            <w:vAlign w:val="center"/>
          </w:tcPr>
          <w:p w14:paraId="6459F43C" w14:textId="77777777" w:rsidR="00FB7BB8" w:rsidRPr="00DD065F" w:rsidRDefault="008174F3" w:rsidP="006E1EF6">
            <w:pPr>
              <w:spacing w:line="360" w:lineRule="auto"/>
            </w:pPr>
            <m:oMathPara>
              <m:oMath>
                <m:func>
                  <m:funcPr>
                    <m:ctrlPr>
                      <w:rPr>
                        <w:rFonts w:ascii="Cambria Math" w:hAnsi="Cambria Math"/>
                        <w:i/>
                      </w:rPr>
                    </m:ctrlPr>
                  </m:funcPr>
                  <m:fName>
                    <m:r>
                      <m:rPr>
                        <m:sty m:val="p"/>
                      </m:rPr>
                      <w:rPr>
                        <w:rFonts w:ascii="Cambria Math" w:hAnsi="Cambria Math"/>
                      </w:rPr>
                      <m:t>ln</m:t>
                    </m:r>
                  </m:fName>
                  <m:e>
                    <m:r>
                      <w:rPr>
                        <w:rFonts w:ascii="Cambria Math" w:hAnsi="Cambria Math"/>
                      </w:rPr>
                      <m:t>p</m:t>
                    </m:r>
                    <m:d>
                      <m:dPr>
                        <m:ctrlPr>
                          <w:rPr>
                            <w:rFonts w:ascii="Cambria Math" w:hAnsi="Cambria Math"/>
                            <w:i/>
                          </w:rPr>
                        </m:ctrlPr>
                      </m:dPr>
                      <m:e>
                        <m:r>
                          <w:rPr>
                            <w:rFonts w:ascii="Cambria Math" w:hAnsi="Cambria Math"/>
                          </w:rPr>
                          <m:t>y</m:t>
                        </m:r>
                      </m:e>
                    </m:d>
                    <m:r>
                      <w:rPr>
                        <w:rFonts w:ascii="Cambria Math" w:hAnsi="Cambria Math"/>
                      </w:rPr>
                      <m:t>=F+KL</m:t>
                    </m:r>
                    <m:d>
                      <m:dPr>
                        <m:begChr m:val="["/>
                        <m:endChr m:val="]"/>
                        <m:ctrlPr>
                          <w:rPr>
                            <w:rFonts w:ascii="Cambria Math" w:hAnsi="Cambria Math"/>
                            <w:i/>
                          </w:rPr>
                        </m:ctrlPr>
                      </m:dPr>
                      <m:e>
                        <m:r>
                          <w:rPr>
                            <w:rFonts w:ascii="Cambria Math" w:hAnsi="Cambria Math"/>
                          </w:rPr>
                          <m:t>q</m:t>
                        </m:r>
                        <m:d>
                          <m:dPr>
                            <m:ctrlPr>
                              <w:rPr>
                                <w:rFonts w:ascii="Cambria Math" w:hAnsi="Cambria Math"/>
                                <w:i/>
                              </w:rPr>
                            </m:ctrlPr>
                          </m:dPr>
                          <m:e>
                            <m:r>
                              <w:rPr>
                                <w:rFonts w:ascii="Cambria Math" w:hAnsi="Cambria Math"/>
                              </w:rPr>
                              <m:t>θ,λ</m:t>
                            </m:r>
                          </m:e>
                        </m:d>
                        <m:r>
                          <w:rPr>
                            <w:rFonts w:ascii="Cambria Math" w:hAnsi="Cambria Math"/>
                          </w:rPr>
                          <m:t>||p(θ,λ|y)</m:t>
                        </m:r>
                      </m:e>
                    </m:d>
                  </m:e>
                </m:func>
              </m:oMath>
            </m:oMathPara>
          </w:p>
        </w:tc>
        <w:tc>
          <w:tcPr>
            <w:tcW w:w="718" w:type="pct"/>
            <w:shd w:val="clear" w:color="auto" w:fill="auto"/>
            <w:vAlign w:val="center"/>
          </w:tcPr>
          <w:p w14:paraId="69FB902A" w14:textId="7DA7EA71" w:rsidR="00FB7BB8" w:rsidRPr="00DD065F" w:rsidRDefault="00FB7BB8">
            <w:pPr>
              <w:spacing w:line="360" w:lineRule="auto"/>
              <w:jc w:val="center"/>
            </w:pPr>
            <w:r w:rsidRPr="00DD065F">
              <w:t>(A</w:t>
            </w:r>
            <w:r w:rsidR="005D52EB" w:rsidRPr="00DD065F">
              <w:t>3</w:t>
            </w:r>
            <w:r w:rsidRPr="00DD065F">
              <w:t>)</w:t>
            </w:r>
          </w:p>
        </w:tc>
      </w:tr>
    </w:tbl>
    <w:p w14:paraId="2B8A4CE6" w14:textId="2CA09241" w:rsidR="00FB7BB8" w:rsidRPr="00DD065F" w:rsidRDefault="00F06487" w:rsidP="00FB7BB8">
      <w:pPr>
        <w:spacing w:line="360" w:lineRule="auto"/>
        <w:jc w:val="both"/>
      </w:pPr>
      <w:r w:rsidRPr="00DD065F">
        <w:t>As t</w:t>
      </w:r>
      <w:r w:rsidR="00FB7BB8" w:rsidRPr="00DD065F">
        <w:t xml:space="preserve">he left hand side of this equation - the log model evidence </w:t>
      </w:r>
      <m:oMath>
        <m:func>
          <m:funcPr>
            <m:ctrlPr>
              <w:rPr>
                <w:rFonts w:ascii="Cambria Math" w:hAnsi="Cambria Math"/>
              </w:rPr>
            </m:ctrlPr>
          </m:funcPr>
          <m:fName>
            <m:r>
              <m:rPr>
                <m:sty m:val="p"/>
              </m:rPr>
              <w:rPr>
                <w:rFonts w:ascii="Cambria Math" w:hAnsi="Cambria Math"/>
              </w:rPr>
              <m:t>log</m:t>
            </m:r>
          </m:fName>
          <m:e>
            <m:r>
              <w:rPr>
                <w:rFonts w:ascii="Cambria Math" w:hAnsi="Cambria Math"/>
              </w:rPr>
              <m:t>p(y)</m:t>
            </m:r>
          </m:e>
        </m:func>
      </m:oMath>
      <w:r w:rsidR="00FB7BB8" w:rsidRPr="00DD065F">
        <w:t xml:space="preserve"> – is a fixed value</w:t>
      </w:r>
      <w:r w:rsidRPr="00DD065F">
        <w:t xml:space="preserve">, </w:t>
      </w:r>
      <w:r w:rsidR="00FB7BB8" w:rsidRPr="00DD065F">
        <w:t xml:space="preserve">maximising the free energy </w:t>
      </w:r>
      <m:oMath>
        <m:r>
          <w:rPr>
            <w:rFonts w:ascii="Cambria Math" w:hAnsi="Cambria Math"/>
          </w:rPr>
          <m:t>F</m:t>
        </m:r>
      </m:oMath>
      <w:r w:rsidR="00FB7BB8" w:rsidRPr="00DD065F">
        <w:t xml:space="preserve"> will minimize the difference between the approximate and true parameter densities. </w:t>
      </w:r>
    </w:p>
    <w:p w14:paraId="49D36872" w14:textId="77777777" w:rsidR="005D52EB" w:rsidRPr="00DD065F" w:rsidRDefault="005D52EB" w:rsidP="00FB7BB8">
      <w:pPr>
        <w:spacing w:line="360" w:lineRule="auto"/>
        <w:jc w:val="both"/>
      </w:pPr>
    </w:p>
    <w:p w14:paraId="73B4D56A" w14:textId="34DA7A98" w:rsidR="00FB7BB8" w:rsidRPr="00DD065F" w:rsidRDefault="00FB7BB8" w:rsidP="00FB7BB8">
      <w:pPr>
        <w:spacing w:line="360" w:lineRule="auto"/>
        <w:jc w:val="both"/>
      </w:pPr>
      <w:r w:rsidRPr="00DD065F">
        <w:t>Estimation of the densities in DCM rest</w:t>
      </w:r>
      <w:r w:rsidR="00F06487" w:rsidRPr="00DD065F">
        <w:t>s</w:t>
      </w:r>
      <w:r w:rsidRPr="00DD065F">
        <w:t xml:space="preserve"> upon a mean field approximation, </w:t>
      </w:r>
      <w:r w:rsidR="00AA09A4" w:rsidRPr="00DD065F">
        <w:t>meaning that probability</w:t>
      </w:r>
      <w:r w:rsidRPr="00DD065F">
        <w:t xml:space="preserve"> densities over the parameters and </w:t>
      </w:r>
      <w:proofErr w:type="spellStart"/>
      <w:r w:rsidRPr="00DD065F">
        <w:t>hyperparameters</w:t>
      </w:r>
      <w:proofErr w:type="spellEnd"/>
      <w:r w:rsidRPr="00DD065F">
        <w:t xml:space="preserve"> are</w:t>
      </w:r>
      <w:r w:rsidR="00AA09A4" w:rsidRPr="00DD065F">
        <w:t xml:space="preserve"> treated as</w:t>
      </w:r>
      <w:r w:rsidRPr="00DD065F">
        <w:t xml:space="preserve"> independent and </w:t>
      </w:r>
      <w:r w:rsidR="00AA09A4" w:rsidRPr="00DD065F">
        <w:t xml:space="preserve">can </w:t>
      </w:r>
      <w:r w:rsidRPr="00DD065F">
        <w:t xml:space="preserve">therefore be factorised. </w:t>
      </w:r>
      <w:r w:rsidR="00AA09A4" w:rsidRPr="00DD065F">
        <w:t>The</w:t>
      </w:r>
      <w:r w:rsidRPr="00DD065F">
        <w:t xml:space="preserve"> posterior</w:t>
      </w:r>
      <w:r w:rsidR="00AA09A4" w:rsidRPr="00DD065F">
        <w:t xml:space="preserve"> density over the</w:t>
      </w:r>
      <w:r w:rsidRPr="00DD065F">
        <w:t xml:space="preserve"> parameters </w:t>
      </w:r>
      <m:oMath>
        <m:r>
          <w:rPr>
            <w:rFonts w:ascii="Cambria Math" w:hAnsi="Cambria Math"/>
          </w:rPr>
          <m:t>q(θ,λ)</m:t>
        </m:r>
      </m:oMath>
      <w:r w:rsidRPr="00DD065F">
        <w:t xml:space="preserve"> </w:t>
      </w:r>
      <w:r w:rsidR="00AA09A4" w:rsidRPr="00DD065F">
        <w:t>factorise</w:t>
      </w:r>
      <w:r w:rsidRPr="00DD065F">
        <w:t xml:space="preserve"> as follows:</w:t>
      </w:r>
    </w:p>
    <w:p w14:paraId="148B4CFE" w14:textId="04EE3938" w:rsidR="00E16A83" w:rsidRPr="00DD065F" w:rsidRDefault="00E16A83" w:rsidP="00FB7BB8">
      <w:pPr>
        <w:spacing w:line="360" w:lineRule="auto"/>
        <w:jc w:val="both"/>
      </w:pPr>
    </w:p>
    <w:tbl>
      <w:tblPr>
        <w:tblW w:w="5115" w:type="pct"/>
        <w:tblLook w:val="04A0" w:firstRow="1" w:lastRow="0" w:firstColumn="1" w:lastColumn="0" w:noHBand="0" w:noVBand="1"/>
      </w:tblPr>
      <w:tblGrid>
        <w:gridCol w:w="1465"/>
        <w:gridCol w:w="6835"/>
        <w:gridCol w:w="1387"/>
      </w:tblGrid>
      <w:tr w:rsidR="007307E1" w:rsidRPr="00DD065F" w14:paraId="4EE35B35" w14:textId="77777777" w:rsidTr="00532253">
        <w:trPr>
          <w:trHeight w:val="1834"/>
        </w:trPr>
        <w:tc>
          <w:tcPr>
            <w:tcW w:w="756" w:type="pct"/>
            <w:shd w:val="clear" w:color="auto" w:fill="auto"/>
            <w:vAlign w:val="center"/>
          </w:tcPr>
          <w:p w14:paraId="7B6C36BF" w14:textId="77777777" w:rsidR="007307E1" w:rsidRPr="00DD065F" w:rsidRDefault="007307E1" w:rsidP="00297814">
            <w:pPr>
              <w:spacing w:line="360" w:lineRule="auto"/>
            </w:pPr>
          </w:p>
        </w:tc>
        <w:tc>
          <w:tcPr>
            <w:tcW w:w="3528" w:type="pct"/>
            <w:shd w:val="clear" w:color="auto" w:fill="auto"/>
            <w:vAlign w:val="center"/>
          </w:tcPr>
          <w:p w14:paraId="017D2551" w14:textId="0066B903" w:rsidR="007307E1" w:rsidRPr="00DD065F" w:rsidRDefault="007307E1" w:rsidP="00297814">
            <w:pPr>
              <w:spacing w:line="360" w:lineRule="auto"/>
            </w:pPr>
            <m:oMathPara>
              <m:oMath>
                <m:r>
                  <w:rPr>
                    <w:rFonts w:ascii="Cambria Math" w:hAnsi="Cambria Math"/>
                  </w:rPr>
                  <m:t>q(θ,λ)</m:t>
                </m:r>
                <m:r>
                  <m:rPr>
                    <m:aln/>
                  </m:rPr>
                  <w:rPr>
                    <w:rFonts w:ascii="Cambria Math" w:hAnsi="Cambria Math"/>
                  </w:rPr>
                  <m:t>=q</m:t>
                </m:r>
                <m:d>
                  <m:dPr>
                    <m:ctrlPr>
                      <w:rPr>
                        <w:rFonts w:ascii="Cambria Math" w:hAnsi="Cambria Math"/>
                        <w:i/>
                      </w:rPr>
                    </m:ctrlPr>
                  </m:dPr>
                  <m:e>
                    <m:r>
                      <w:rPr>
                        <w:rFonts w:ascii="Cambria Math" w:hAnsi="Cambria Math"/>
                      </w:rPr>
                      <m:t>θ</m:t>
                    </m:r>
                  </m:e>
                </m:d>
                <m:r>
                  <w:rPr>
                    <w:rFonts w:ascii="Cambria Math" w:hAnsi="Cambria Math"/>
                  </w:rPr>
                  <m:t>q</m:t>
                </m:r>
                <m:d>
                  <m:dPr>
                    <m:ctrlPr>
                      <w:rPr>
                        <w:rFonts w:ascii="Cambria Math" w:hAnsi="Cambria Math"/>
                        <w:i/>
                      </w:rPr>
                    </m:ctrlPr>
                  </m:dPr>
                  <m:e>
                    <m:r>
                      <w:rPr>
                        <w:rFonts w:ascii="Cambria Math" w:hAnsi="Cambria Math"/>
                      </w:rPr>
                      <m:t>λ</m:t>
                    </m:r>
                  </m:e>
                </m:d>
                <m:r>
                  <m:rPr>
                    <m:sty m:val="p"/>
                  </m:rPr>
                  <w:rPr>
                    <w:rFonts w:ascii="Cambria Math" w:hAnsi="Cambria Math"/>
                  </w:rPr>
                  <w:br/>
                </m:r>
              </m:oMath>
              <m:oMath>
                <m:r>
                  <w:rPr>
                    <w:rFonts w:ascii="Cambria Math" w:hAnsi="Cambria Math"/>
                  </w:rPr>
                  <m:t xml:space="preserve"> q</m:t>
                </m:r>
                <m:d>
                  <m:dPr>
                    <m:ctrlPr>
                      <w:rPr>
                        <w:rFonts w:ascii="Cambria Math" w:hAnsi="Cambria Math"/>
                        <w:i/>
                      </w:rPr>
                    </m:ctrlPr>
                  </m:dPr>
                  <m:e>
                    <m:r>
                      <w:rPr>
                        <w:rFonts w:ascii="Cambria Math" w:hAnsi="Cambria Math"/>
                      </w:rPr>
                      <m:t>θ</m:t>
                    </m:r>
                  </m:e>
                </m:d>
                <m:r>
                  <m:rPr>
                    <m:aln/>
                  </m:rPr>
                  <w:rPr>
                    <w:rFonts w:ascii="Cambria Math" w:hAnsi="Cambria Math"/>
                  </w:rPr>
                  <m:t xml:space="preserve">=N(θ, </m:t>
                </m:r>
                <m:sSub>
                  <m:sSubPr>
                    <m:ctrlPr>
                      <w:rPr>
                        <w:rFonts w:ascii="Cambria Math" w:hAnsi="Cambria Math"/>
                        <w:i/>
                      </w:rPr>
                    </m:ctrlPr>
                  </m:sSubPr>
                  <m:e>
                    <m:r>
                      <w:rPr>
                        <w:rFonts w:ascii="Cambria Math" w:hAnsi="Cambria Math"/>
                      </w:rPr>
                      <m:t>m</m:t>
                    </m:r>
                  </m:e>
                  <m:sub>
                    <m:r>
                      <w:rPr>
                        <w:rFonts w:ascii="Cambria Math" w:hAnsi="Cambria Math"/>
                      </w:rPr>
                      <m:t>θ</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θ</m:t>
                    </m:r>
                  </m:sub>
                </m:sSub>
                <m:r>
                  <w:rPr>
                    <w:rFonts w:ascii="Cambria Math" w:hAnsi="Cambria Math"/>
                  </w:rPr>
                  <m:t>)</m:t>
                </m:r>
              </m:oMath>
            </m:oMathPara>
          </w:p>
          <w:p w14:paraId="390D4581" w14:textId="7FD44BFA" w:rsidR="007307E1" w:rsidRPr="00DD065F" w:rsidRDefault="0013147E" w:rsidP="00B917EC">
            <w:pPr>
              <w:spacing w:line="360" w:lineRule="auto"/>
            </w:pPr>
            <m:oMathPara>
              <m:oMath>
                <m:r>
                  <w:rPr>
                    <w:rFonts w:ascii="Cambria Math" w:hAnsi="Cambria Math"/>
                  </w:rPr>
                  <m:t>q</m:t>
                </m:r>
                <m:d>
                  <m:dPr>
                    <m:ctrlPr>
                      <w:rPr>
                        <w:rFonts w:ascii="Cambria Math" w:hAnsi="Cambria Math"/>
                        <w:i/>
                      </w:rPr>
                    </m:ctrlPr>
                  </m:dPr>
                  <m:e>
                    <m:r>
                      <w:rPr>
                        <w:rFonts w:ascii="Cambria Math" w:hAnsi="Cambria Math"/>
                      </w:rPr>
                      <m:t>λ</m:t>
                    </m:r>
                  </m:e>
                </m:d>
                <m:r>
                  <m:rPr>
                    <m:aln/>
                  </m:rPr>
                  <w:rPr>
                    <w:rFonts w:ascii="Cambria Math" w:hAnsi="Cambria Math"/>
                  </w:rPr>
                  <m:t xml:space="preserve">=N(λ, </m:t>
                </m:r>
                <m:sSub>
                  <m:sSubPr>
                    <m:ctrlPr>
                      <w:rPr>
                        <w:rFonts w:ascii="Cambria Math" w:hAnsi="Cambria Math"/>
                        <w:i/>
                      </w:rPr>
                    </m:ctrlPr>
                  </m:sSubPr>
                  <m:e>
                    <m:r>
                      <w:rPr>
                        <w:rFonts w:ascii="Cambria Math" w:hAnsi="Cambria Math"/>
                      </w:rPr>
                      <m:t>m</m:t>
                    </m:r>
                  </m:e>
                  <m:sub>
                    <m:r>
                      <w:rPr>
                        <w:rFonts w:ascii="Cambria Math" w:hAnsi="Cambria Math"/>
                      </w:rPr>
                      <m:t>λ</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λ</m:t>
                    </m:r>
                  </m:sub>
                </m:sSub>
                <m:r>
                  <w:rPr>
                    <w:rFonts w:ascii="Cambria Math" w:hAnsi="Cambria Math"/>
                  </w:rPr>
                  <m:t>)</m:t>
                </m:r>
              </m:oMath>
            </m:oMathPara>
          </w:p>
        </w:tc>
        <w:tc>
          <w:tcPr>
            <w:tcW w:w="716" w:type="pct"/>
            <w:shd w:val="clear" w:color="auto" w:fill="auto"/>
            <w:vAlign w:val="center"/>
          </w:tcPr>
          <w:p w14:paraId="4D303EBB" w14:textId="0E73B641" w:rsidR="007307E1" w:rsidRPr="00DD065F" w:rsidRDefault="007307E1">
            <w:pPr>
              <w:spacing w:line="360" w:lineRule="auto"/>
              <w:jc w:val="center"/>
            </w:pPr>
            <w:r w:rsidRPr="00DD065F">
              <w:t>(</w:t>
            </w:r>
            <w:r w:rsidR="00AA09A4" w:rsidRPr="00DD065F">
              <w:t>A4</w:t>
            </w:r>
            <w:r w:rsidRPr="00DD065F">
              <w:t>)</w:t>
            </w:r>
          </w:p>
        </w:tc>
      </w:tr>
    </w:tbl>
    <w:p w14:paraId="7A5233CB" w14:textId="082383DA" w:rsidR="00FB7BB8" w:rsidRPr="00DD065F" w:rsidRDefault="00AA09A4" w:rsidP="007307E1">
      <w:pPr>
        <w:spacing w:line="360" w:lineRule="auto"/>
        <w:jc w:val="both"/>
      </w:pPr>
      <w:r w:rsidRPr="00DD065F">
        <w:t xml:space="preserve">This </w:t>
      </w:r>
      <w:r w:rsidR="00FB7BB8" w:rsidRPr="00DD065F">
        <w:t xml:space="preserve">allows estimation of parameters and </w:t>
      </w:r>
      <w:proofErr w:type="spellStart"/>
      <w:r w:rsidR="00FB7BB8" w:rsidRPr="00DD065F">
        <w:t>hyperparameters</w:t>
      </w:r>
      <w:proofErr w:type="spellEnd"/>
      <w:r w:rsidR="00FB7BB8" w:rsidRPr="00DD065F">
        <w:t xml:space="preserve"> to be carried out separately. Under the mean field approximation, the free energy function</w:t>
      </w:r>
      <w:r w:rsidR="0084443C" w:rsidRPr="00DD065F">
        <w:t>al</w:t>
      </w:r>
      <w:r w:rsidR="00FB7BB8" w:rsidRPr="00DD065F">
        <w:t xml:space="preserve"> can be written as follows:</w:t>
      </w:r>
    </w:p>
    <w:tbl>
      <w:tblPr>
        <w:tblW w:w="5093" w:type="pct"/>
        <w:tblLook w:val="04A0" w:firstRow="1" w:lastRow="0" w:firstColumn="1" w:lastColumn="0" w:noHBand="0" w:noVBand="1"/>
      </w:tblPr>
      <w:tblGrid>
        <w:gridCol w:w="1462"/>
        <w:gridCol w:w="6825"/>
        <w:gridCol w:w="1358"/>
      </w:tblGrid>
      <w:tr w:rsidR="00FB7BB8" w:rsidRPr="00DD065F" w14:paraId="026F9D7F" w14:textId="77777777" w:rsidTr="0084443C">
        <w:trPr>
          <w:trHeight w:val="1285"/>
        </w:trPr>
        <w:tc>
          <w:tcPr>
            <w:tcW w:w="758" w:type="pct"/>
            <w:shd w:val="clear" w:color="auto" w:fill="auto"/>
            <w:vAlign w:val="center"/>
          </w:tcPr>
          <w:p w14:paraId="3E99FF3D" w14:textId="77777777" w:rsidR="00FB7BB8" w:rsidRPr="00DD065F" w:rsidRDefault="00FB7BB8" w:rsidP="006E1EF6">
            <w:pPr>
              <w:spacing w:line="360" w:lineRule="auto"/>
            </w:pPr>
          </w:p>
        </w:tc>
        <w:tc>
          <w:tcPr>
            <w:tcW w:w="3538" w:type="pct"/>
            <w:shd w:val="clear" w:color="auto" w:fill="auto"/>
            <w:vAlign w:val="center"/>
          </w:tcPr>
          <w:p w14:paraId="34E190D1" w14:textId="77777777" w:rsidR="00FB7BB8" w:rsidRPr="00DD065F" w:rsidRDefault="00FB7BB8" w:rsidP="006E1EF6">
            <w:pPr>
              <w:spacing w:line="360" w:lineRule="auto"/>
            </w:pPr>
            <m:oMathPara>
              <m:oMath>
                <m:r>
                  <w:rPr>
                    <w:rFonts w:ascii="Cambria Math" w:hAnsi="Cambria Math"/>
                  </w:rPr>
                  <m:t>F</m:t>
                </m:r>
                <m:r>
                  <m:rPr>
                    <m:aln/>
                  </m:rPr>
                  <w:rPr>
                    <w:rFonts w:ascii="Cambria Math" w:hAnsi="Cambria Math"/>
                  </w:rPr>
                  <m:t>=∫∫q</m:t>
                </m:r>
                <m:d>
                  <m:dPr>
                    <m:ctrlPr>
                      <w:rPr>
                        <w:rFonts w:ascii="Cambria Math" w:hAnsi="Cambria Math"/>
                        <w:i/>
                      </w:rPr>
                    </m:ctrlPr>
                  </m:dPr>
                  <m:e>
                    <m:r>
                      <w:rPr>
                        <w:rFonts w:ascii="Cambria Math" w:hAnsi="Cambria Math"/>
                      </w:rPr>
                      <m:t>θ</m:t>
                    </m:r>
                  </m:e>
                </m:d>
                <m:r>
                  <w:rPr>
                    <w:rFonts w:ascii="Cambria Math" w:hAnsi="Cambria Math"/>
                  </w:rPr>
                  <m:t>q</m:t>
                </m:r>
                <m:d>
                  <m:dPr>
                    <m:ctrlPr>
                      <w:rPr>
                        <w:rFonts w:ascii="Cambria Math" w:hAnsi="Cambria Math"/>
                        <w:i/>
                      </w:rPr>
                    </m:ctrlPr>
                  </m:dPr>
                  <m:e>
                    <m:r>
                      <w:rPr>
                        <w:rFonts w:ascii="Cambria Math" w:hAnsi="Cambria Math"/>
                      </w:rPr>
                      <m:t>λ</m:t>
                    </m:r>
                  </m:e>
                </m:d>
                <m:func>
                  <m:funcPr>
                    <m:ctrlPr>
                      <w:rPr>
                        <w:rFonts w:ascii="Cambria Math" w:hAnsi="Cambria Math"/>
                      </w:rPr>
                    </m:ctrlPr>
                  </m:funcPr>
                  <m:fName>
                    <m:r>
                      <m:rPr>
                        <m:sty m:val="p"/>
                      </m:rPr>
                      <w:rPr>
                        <w:rFonts w:ascii="Cambria Math" w:hAnsi="Cambria Math"/>
                      </w:rPr>
                      <m:t>ln</m:t>
                    </m:r>
                  </m:fName>
                  <m:e>
                    <m:r>
                      <w:rPr>
                        <w:rFonts w:ascii="Cambria Math" w:hAnsi="Cambria Math"/>
                      </w:rPr>
                      <m:t>p</m:t>
                    </m:r>
                  </m:e>
                </m:func>
                <m:d>
                  <m:dPr>
                    <m:ctrlPr>
                      <w:rPr>
                        <w:rFonts w:ascii="Cambria Math" w:hAnsi="Cambria Math"/>
                        <w:i/>
                      </w:rPr>
                    </m:ctrlPr>
                  </m:dPr>
                  <m:e>
                    <m:r>
                      <w:rPr>
                        <w:rFonts w:ascii="Cambria Math" w:hAnsi="Cambria Math"/>
                      </w:rPr>
                      <m:t>y,θ, λ</m:t>
                    </m:r>
                  </m:e>
                </m:d>
                <m:r>
                  <w:rPr>
                    <w:rFonts w:ascii="Cambria Math" w:hAnsi="Cambria Math"/>
                  </w:rPr>
                  <m:t>dθdλ -∫q</m:t>
                </m:r>
                <m:d>
                  <m:dPr>
                    <m:ctrlPr>
                      <w:rPr>
                        <w:rFonts w:ascii="Cambria Math" w:hAnsi="Cambria Math"/>
                        <w:i/>
                      </w:rPr>
                    </m:ctrlPr>
                  </m:dPr>
                  <m:e>
                    <m:r>
                      <w:rPr>
                        <w:rFonts w:ascii="Cambria Math" w:hAnsi="Cambria Math"/>
                      </w:rPr>
                      <m:t>θ</m:t>
                    </m:r>
                  </m:e>
                </m:d>
                <m:func>
                  <m:funcPr>
                    <m:ctrlPr>
                      <w:rPr>
                        <w:rFonts w:ascii="Cambria Math" w:hAnsi="Cambria Math"/>
                        <w:i/>
                      </w:rPr>
                    </m:ctrlPr>
                  </m:funcPr>
                  <m:fName>
                    <m:r>
                      <m:rPr>
                        <m:sty m:val="p"/>
                      </m:rPr>
                      <w:rPr>
                        <w:rFonts w:ascii="Cambria Math" w:hAnsi="Cambria Math"/>
                      </w:rPr>
                      <m:t>ln</m:t>
                    </m:r>
                  </m:fName>
                  <m:e>
                    <m:r>
                      <w:rPr>
                        <w:rFonts w:ascii="Cambria Math" w:hAnsi="Cambria Math"/>
                      </w:rPr>
                      <m:t>q</m:t>
                    </m:r>
                    <m:d>
                      <m:dPr>
                        <m:ctrlPr>
                          <w:rPr>
                            <w:rFonts w:ascii="Cambria Math" w:hAnsi="Cambria Math"/>
                            <w:i/>
                          </w:rPr>
                        </m:ctrlPr>
                      </m:dPr>
                      <m:e>
                        <m:r>
                          <w:rPr>
                            <w:rFonts w:ascii="Cambria Math" w:hAnsi="Cambria Math"/>
                          </w:rPr>
                          <m:t>θ</m:t>
                        </m:r>
                      </m:e>
                    </m:d>
                  </m:e>
                </m:func>
                <m:r>
                  <w:rPr>
                    <w:rFonts w:ascii="Cambria Math" w:hAnsi="Cambria Math"/>
                  </w:rPr>
                  <m:t>dθ -∫q</m:t>
                </m:r>
                <m:d>
                  <m:dPr>
                    <m:ctrlPr>
                      <w:rPr>
                        <w:rFonts w:ascii="Cambria Math" w:hAnsi="Cambria Math"/>
                        <w:i/>
                      </w:rPr>
                    </m:ctrlPr>
                  </m:dPr>
                  <m:e>
                    <m:r>
                      <w:rPr>
                        <w:rFonts w:ascii="Cambria Math" w:hAnsi="Cambria Math"/>
                      </w:rPr>
                      <m:t>λ</m:t>
                    </m:r>
                  </m:e>
                </m:d>
                <m:func>
                  <m:funcPr>
                    <m:ctrlPr>
                      <w:rPr>
                        <w:rFonts w:ascii="Cambria Math" w:hAnsi="Cambria Math"/>
                        <w:i/>
                      </w:rPr>
                    </m:ctrlPr>
                  </m:funcPr>
                  <m:fName>
                    <m:r>
                      <m:rPr>
                        <m:sty m:val="p"/>
                      </m:rPr>
                      <w:rPr>
                        <w:rFonts w:ascii="Cambria Math" w:hAnsi="Cambria Math"/>
                      </w:rPr>
                      <m:t>ln</m:t>
                    </m:r>
                  </m:fName>
                  <m:e>
                    <m:r>
                      <w:rPr>
                        <w:rFonts w:ascii="Cambria Math" w:hAnsi="Cambria Math"/>
                      </w:rPr>
                      <m:t>q</m:t>
                    </m:r>
                    <m:d>
                      <m:dPr>
                        <m:ctrlPr>
                          <w:rPr>
                            <w:rFonts w:ascii="Cambria Math" w:hAnsi="Cambria Math"/>
                            <w:i/>
                          </w:rPr>
                        </m:ctrlPr>
                      </m:dPr>
                      <m:e>
                        <m:r>
                          <w:rPr>
                            <w:rFonts w:ascii="Cambria Math" w:hAnsi="Cambria Math"/>
                          </w:rPr>
                          <m:t>λ</m:t>
                        </m:r>
                      </m:e>
                    </m:d>
                  </m:e>
                </m:func>
                <m:r>
                  <w:rPr>
                    <w:rFonts w:ascii="Cambria Math" w:hAnsi="Cambria Math"/>
                  </w:rPr>
                  <m:t>dλ</m:t>
                </m:r>
              </m:oMath>
            </m:oMathPara>
          </w:p>
        </w:tc>
        <w:tc>
          <w:tcPr>
            <w:tcW w:w="704" w:type="pct"/>
            <w:shd w:val="clear" w:color="auto" w:fill="auto"/>
            <w:vAlign w:val="center"/>
          </w:tcPr>
          <w:p w14:paraId="4C7D6A9B" w14:textId="55860A6D" w:rsidR="00FB7BB8" w:rsidRPr="00DD065F" w:rsidRDefault="00FB7BB8">
            <w:pPr>
              <w:spacing w:line="360" w:lineRule="auto"/>
              <w:jc w:val="center"/>
            </w:pPr>
            <w:r w:rsidRPr="00DD065F">
              <w:t>(</w:t>
            </w:r>
            <w:r w:rsidR="00AA09A4" w:rsidRPr="00DD065F">
              <w:t>A5</w:t>
            </w:r>
            <w:r w:rsidRPr="00DD065F">
              <w:t>)</w:t>
            </w:r>
          </w:p>
        </w:tc>
      </w:tr>
    </w:tbl>
    <w:p w14:paraId="0EF9B4CE" w14:textId="68591A52" w:rsidR="00FB7BB8" w:rsidRPr="00DD065F" w:rsidRDefault="00FB7BB8" w:rsidP="00FB7BB8">
      <w:pPr>
        <w:spacing w:line="360" w:lineRule="auto"/>
        <w:jc w:val="both"/>
      </w:pPr>
      <w:r w:rsidRPr="00DD065F">
        <w:t xml:space="preserve">In DCM, to calculate the </w:t>
      </w:r>
      <w:r w:rsidR="0084443C" w:rsidRPr="00DD065F">
        <w:t>f</w:t>
      </w:r>
      <w:r w:rsidRPr="00DD065F">
        <w:t>ree energy in equation (</w:t>
      </w:r>
      <w:r w:rsidR="00B917EC" w:rsidRPr="00DD065F">
        <w:t>A5</w:t>
      </w:r>
      <w:r w:rsidRPr="00DD065F">
        <w:t xml:space="preserve">), the function </w:t>
      </w:r>
      <m:oMath>
        <m:func>
          <m:funcPr>
            <m:ctrlPr>
              <w:rPr>
                <w:rFonts w:ascii="Cambria Math" w:hAnsi="Cambria Math"/>
              </w:rPr>
            </m:ctrlPr>
          </m:funcPr>
          <m:fName>
            <m:r>
              <m:rPr>
                <m:sty m:val="p"/>
              </m:rPr>
              <w:rPr>
                <w:rFonts w:ascii="Cambria Math" w:hAnsi="Cambria Math"/>
              </w:rPr>
              <m:t>ln</m:t>
            </m:r>
          </m:fName>
          <m:e>
            <m:r>
              <w:rPr>
                <w:rFonts w:ascii="Cambria Math" w:hAnsi="Cambria Math"/>
              </w:rPr>
              <m:t>p</m:t>
            </m:r>
          </m:e>
        </m:func>
        <m:d>
          <m:dPr>
            <m:ctrlPr>
              <w:rPr>
                <w:rFonts w:ascii="Cambria Math" w:hAnsi="Cambria Math"/>
                <w:i/>
              </w:rPr>
            </m:ctrlPr>
          </m:dPr>
          <m:e>
            <m:r>
              <w:rPr>
                <w:rFonts w:ascii="Cambria Math" w:hAnsi="Cambria Math"/>
              </w:rPr>
              <m:t>y,θ, λ</m:t>
            </m:r>
          </m:e>
        </m:d>
      </m:oMath>
      <w:r w:rsidRPr="00DD065F">
        <w:t xml:space="preserve"> is approximated around the estimated posterior mean of unknown</w:t>
      </w:r>
      <w:r w:rsidR="00F06487" w:rsidRPr="00DD065F">
        <w:t xml:space="preserve"> parameters </w:t>
      </w:r>
      <w:r w:rsidRPr="00DD065F">
        <w:t>using</w:t>
      </w:r>
      <w:r w:rsidR="00641DC4" w:rsidRPr="00DD065F">
        <w:t xml:space="preserve"> a</w:t>
      </w:r>
      <w:r w:rsidRPr="00DD065F">
        <w:t xml:space="preserve"> second order Taylor series expansion</w:t>
      </w:r>
      <w:r w:rsidR="00641DC4" w:rsidRPr="00DD065F">
        <w:t xml:space="preserve"> </w:t>
      </w:r>
      <w:r w:rsidRPr="00DD065F">
        <w:t xml:space="preserve">- formally known as </w:t>
      </w:r>
      <w:r w:rsidR="00641DC4" w:rsidRPr="00DD065F">
        <w:t xml:space="preserve">a </w:t>
      </w:r>
      <w:r w:rsidRPr="00DD065F">
        <w:t>Laplace approximation</w:t>
      </w:r>
      <w:r w:rsidR="00E16A83" w:rsidRPr="00DD065F">
        <w:t xml:space="preserve"> </w:t>
      </w:r>
      <w:r w:rsidR="00E16A83" w:rsidRPr="00DD065F">
        <w:fldChar w:fldCharType="begin" w:fldLock="1"/>
      </w:r>
      <w:r w:rsidR="005B01E5" w:rsidRPr="00DD065F">
        <w:instrText>ADDIN CSL_CITATION { "citationItems" : [ { "id" : "ITEM-1", "itemData" : { "DOI" : "10.1016/j.neuroimage.2006.08.035", "ISSN" : "10538119", "PMID" : "17055746", "abstract" : "\\nThis note derives the variational free energy under the Laplace approximation, with a focus on accounting for additional model complexity induced by increasing the number of model parameters. This is relevant when using the free energy as an approximation to the log-evidence in Bayesian model averaging and selection. By setting restricted maximum likelihood (ReML) in the larger context of variational learning and expectation maximisation (EM), we show how the ReML objective function can be adjusted to provide an approximation to the log-evidence for a particular model. This means ReML can be used for model selection, specifically to select or compare models with different covariance components. This is useful in the context of hierarchical models because it enables a principled selection of priors that, under simple hyperpriors, can be used for automatic model selection and relevance determination (ARD). Deriving the ReML objective function, from basic variational principles, discloses the simple relationships among Variational Bayes, EM and ReML. Furthermore, we show that EM is formally identical to a full variational treatment when the precisions are linear in the hyperparameters. Finally, we also consider, briefly, dynamic models and how these inform the regularisation of free energy ascent schemes, like EM and ReML.", "author" : [ { "dropping-particle" : "", "family" : "Friston", "given" : "Karl", "non-dropping-particle" : "", "parse-names" : false, "suffix" : "" }, { "dropping-particle" : "", "family" : "Mattout", "given" : "J\u00e9r\u00e9mie", "non-dropping-particle" : "", "parse-names" : false, "suffix" : "" }, { "dropping-particle" : "", "family" : "Trujillo-Barreto", "given" : "Nelson", "non-dropping-particle" : "", "parse-names" : false, "suffix" : "" }, { "dropping-particle" : "", "family" : "Ashburner", "given" : "John", "non-dropping-particle" : "", "parse-names" : false, "suffix" : "" }, { "dropping-particle" : "", "family" : "Penny", "given" : "Will", "non-dropping-particle" : "", "parse-names" : false, "suffix" : "" }, { "dropping-particle" : "", "family" : "Friston", "given" : "Karl", "non-dropping-particle" : "", "parse-names" : false, "suffix" : "" } ], "container-title" : "NeuroImage", "id" : "ITEM-1", "issue" : "1", "issued" : { "date-parts" : [ [ "2006", "1", "1" ] ] }, "page" : "220-234", "title" : "Variational free energy and the Laplace approximation", "type" : "article-journal", "volume" : "34" }, "uris" : [ "http://www.mendeley.com/documents/?uuid=0dc298b4-37b3-4c61-97a9-e0e2245a9e5a" ] } ], "mendeley" : { "formattedCitation" : "(1)", "plainTextFormattedCitation" : "(1)", "previouslyFormattedCitation" : "(1)" }, "properties" : {  }, "schema" : "https://github.com/citation-style-language/schema/raw/master/csl-citation.json" }</w:instrText>
      </w:r>
      <w:r w:rsidR="00E16A83" w:rsidRPr="00DD065F">
        <w:fldChar w:fldCharType="separate"/>
      </w:r>
      <w:r w:rsidR="005B01E5" w:rsidRPr="00DD065F">
        <w:rPr>
          <w:noProof/>
        </w:rPr>
        <w:t>(1)</w:t>
      </w:r>
      <w:r w:rsidR="00E16A83" w:rsidRPr="00DD065F">
        <w:fldChar w:fldCharType="end"/>
      </w:r>
      <w:r w:rsidR="00E16A83" w:rsidRPr="00DD065F">
        <w:t>.</w:t>
      </w:r>
      <w:r w:rsidRPr="00DD065F">
        <w:t xml:space="preserve"> In effect, equation (A</w:t>
      </w:r>
      <w:r w:rsidR="00641DC4" w:rsidRPr="00DD065F">
        <w:t>5</w:t>
      </w:r>
      <w:r w:rsidRPr="00DD065F">
        <w:t>) can be expressed in a closed form</w:t>
      </w:r>
      <w:r w:rsidR="00F06487" w:rsidRPr="00DD065F">
        <w:t xml:space="preserve"> (i.e., analytically)</w:t>
      </w:r>
      <w:r w:rsidRPr="00DD065F">
        <w:t xml:space="preserve"> in terms of Gaussian functions. </w:t>
      </w:r>
    </w:p>
    <w:p w14:paraId="7B379CC7" w14:textId="77777777" w:rsidR="00E16A83" w:rsidRPr="00DD065F" w:rsidRDefault="00E16A83" w:rsidP="00FB7BB8">
      <w:pPr>
        <w:spacing w:line="360" w:lineRule="auto"/>
        <w:jc w:val="both"/>
      </w:pPr>
    </w:p>
    <w:p w14:paraId="5C31A537" w14:textId="4EB38437" w:rsidR="00FB7BB8" w:rsidRPr="00DD065F" w:rsidRDefault="00FB7BB8" w:rsidP="007307E1">
      <w:pPr>
        <w:spacing w:line="360" w:lineRule="auto"/>
        <w:jc w:val="both"/>
      </w:pPr>
      <w:r w:rsidRPr="00DD065F">
        <w:t xml:space="preserve">To find the posterior density </w:t>
      </w:r>
      <w:r w:rsidR="00641DC4" w:rsidRPr="00DD065F">
        <w:t>over the</w:t>
      </w:r>
      <w:r w:rsidRPr="00DD065F">
        <w:t xml:space="preserve"> parameters, iterative maximization of the Laplace approximation of the following </w:t>
      </w:r>
      <w:r w:rsidR="007307E1" w:rsidRPr="00DD065F">
        <w:t xml:space="preserve">energy </w:t>
      </w:r>
      <w:r w:rsidRPr="00DD065F">
        <w:t>integrals is performed</w:t>
      </w:r>
      <w:r w:rsidR="00F06487" w:rsidRPr="00DD065F">
        <w:t xml:space="preserve"> </w:t>
      </w:r>
      <w:r w:rsidR="00641DC4" w:rsidRPr="00DD065F">
        <w:t>by the</w:t>
      </w:r>
      <w:r w:rsidR="00F06487" w:rsidRPr="00DD065F">
        <w:t xml:space="preserve"> DCM software</w:t>
      </w:r>
      <w:r w:rsidRPr="00DD065F">
        <w:t xml:space="preserve">:   </w:t>
      </w:r>
    </w:p>
    <w:tbl>
      <w:tblPr>
        <w:tblW w:w="5093" w:type="pct"/>
        <w:tblLook w:val="04A0" w:firstRow="1" w:lastRow="0" w:firstColumn="1" w:lastColumn="0" w:noHBand="0" w:noVBand="1"/>
      </w:tblPr>
      <w:tblGrid>
        <w:gridCol w:w="1421"/>
        <w:gridCol w:w="6640"/>
        <w:gridCol w:w="1584"/>
      </w:tblGrid>
      <w:tr w:rsidR="00FB7BB8" w:rsidRPr="00DD065F" w14:paraId="54529123" w14:textId="77777777" w:rsidTr="0084443C">
        <w:trPr>
          <w:trHeight w:val="1262"/>
        </w:trPr>
        <w:tc>
          <w:tcPr>
            <w:tcW w:w="737" w:type="pct"/>
            <w:shd w:val="clear" w:color="auto" w:fill="auto"/>
            <w:vAlign w:val="center"/>
          </w:tcPr>
          <w:p w14:paraId="779C182D" w14:textId="77777777" w:rsidR="00FB7BB8" w:rsidRPr="00DD065F" w:rsidRDefault="00FB7BB8" w:rsidP="006E1EF6">
            <w:pPr>
              <w:spacing w:line="360" w:lineRule="auto"/>
            </w:pPr>
          </w:p>
        </w:tc>
        <w:tc>
          <w:tcPr>
            <w:tcW w:w="3441" w:type="pct"/>
            <w:shd w:val="clear" w:color="auto" w:fill="auto"/>
            <w:vAlign w:val="center"/>
          </w:tcPr>
          <w:p w14:paraId="3A587773" w14:textId="77777777" w:rsidR="00FB7BB8" w:rsidRPr="00DD065F" w:rsidRDefault="008174F3" w:rsidP="006E1EF6">
            <w:pPr>
              <w:spacing w:line="360" w:lineRule="auto"/>
            </w:pPr>
            <m:oMathPara>
              <m:oMath>
                <m:sSub>
                  <m:sSubPr>
                    <m:ctrlPr>
                      <w:rPr>
                        <w:rFonts w:ascii="Cambria Math" w:hAnsi="Cambria Math"/>
                        <w:i/>
                      </w:rPr>
                    </m:ctrlPr>
                  </m:sSubPr>
                  <m:e>
                    <m:r>
                      <w:rPr>
                        <w:rFonts w:ascii="Cambria Math" w:hAnsi="Cambria Math"/>
                      </w:rPr>
                      <m:t>I</m:t>
                    </m:r>
                  </m:e>
                  <m:sub>
                    <m:r>
                      <w:rPr>
                        <w:rFonts w:ascii="Cambria Math" w:hAnsi="Cambria Math"/>
                      </w:rPr>
                      <m:t>θ</m:t>
                    </m:r>
                  </m:sub>
                </m:sSub>
                <m:r>
                  <m:rPr>
                    <m:aln/>
                  </m:rPr>
                  <w:rPr>
                    <w:rFonts w:ascii="Cambria Math" w:hAnsi="Cambria Math"/>
                  </w:rPr>
                  <m:t>=∫L</m:t>
                </m:r>
                <m:d>
                  <m:dPr>
                    <m:ctrlPr>
                      <w:rPr>
                        <w:rFonts w:ascii="Cambria Math" w:hAnsi="Cambria Math"/>
                        <w:i/>
                      </w:rPr>
                    </m:ctrlPr>
                  </m:dPr>
                  <m:e>
                    <m:r>
                      <w:rPr>
                        <w:rFonts w:ascii="Cambria Math" w:hAnsi="Cambria Math"/>
                      </w:rPr>
                      <m:t>θ,λ</m:t>
                    </m:r>
                  </m:e>
                </m:d>
                <m:r>
                  <w:rPr>
                    <w:rFonts w:ascii="Cambria Math" w:hAnsi="Cambria Math"/>
                  </w:rPr>
                  <m:t>q</m:t>
                </m:r>
                <m:d>
                  <m:dPr>
                    <m:ctrlPr>
                      <w:rPr>
                        <w:rFonts w:ascii="Cambria Math" w:hAnsi="Cambria Math"/>
                        <w:i/>
                      </w:rPr>
                    </m:ctrlPr>
                  </m:dPr>
                  <m:e>
                    <m:r>
                      <w:rPr>
                        <w:rFonts w:ascii="Cambria Math" w:hAnsi="Cambria Math"/>
                      </w:rPr>
                      <m:t>λ</m:t>
                    </m:r>
                  </m:e>
                </m:d>
                <m:r>
                  <w:rPr>
                    <w:rFonts w:ascii="Cambria Math" w:hAnsi="Cambria Math"/>
                  </w:rPr>
                  <m:t>dλ</m:t>
                </m:r>
                <m:r>
                  <m:rPr>
                    <m:sty m:val="p"/>
                  </m:rPr>
                  <w:rPr>
                    <w:rFonts w:ascii="Cambria Math" w:hAnsi="Cambria Math"/>
                  </w:rPr>
                  <w:br/>
                </m:r>
              </m:oMath>
              <m:oMath>
                <m:sSub>
                  <m:sSubPr>
                    <m:ctrlPr>
                      <w:rPr>
                        <w:rFonts w:ascii="Cambria Math" w:hAnsi="Cambria Math"/>
                        <w:i/>
                      </w:rPr>
                    </m:ctrlPr>
                  </m:sSubPr>
                  <m:e>
                    <m:r>
                      <w:rPr>
                        <w:rFonts w:ascii="Cambria Math" w:hAnsi="Cambria Math"/>
                      </w:rPr>
                      <m:t>I</m:t>
                    </m:r>
                  </m:e>
                  <m:sub>
                    <m:r>
                      <w:rPr>
                        <w:rFonts w:ascii="Cambria Math" w:hAnsi="Cambria Math"/>
                      </w:rPr>
                      <m:t>λ</m:t>
                    </m:r>
                  </m:sub>
                </m:sSub>
                <m:r>
                  <m:rPr>
                    <m:aln/>
                  </m:rPr>
                  <w:rPr>
                    <w:rFonts w:ascii="Cambria Math" w:hAnsi="Cambria Math"/>
                  </w:rPr>
                  <m:t>=∫L</m:t>
                </m:r>
                <m:d>
                  <m:dPr>
                    <m:ctrlPr>
                      <w:rPr>
                        <w:rFonts w:ascii="Cambria Math" w:hAnsi="Cambria Math"/>
                        <w:i/>
                      </w:rPr>
                    </m:ctrlPr>
                  </m:dPr>
                  <m:e>
                    <m:r>
                      <w:rPr>
                        <w:rFonts w:ascii="Cambria Math" w:hAnsi="Cambria Math"/>
                      </w:rPr>
                      <m:t>θ,λ</m:t>
                    </m:r>
                  </m:e>
                </m:d>
                <m:r>
                  <w:rPr>
                    <w:rFonts w:ascii="Cambria Math" w:hAnsi="Cambria Math"/>
                  </w:rPr>
                  <m:t>q</m:t>
                </m:r>
                <m:d>
                  <m:dPr>
                    <m:ctrlPr>
                      <w:rPr>
                        <w:rFonts w:ascii="Cambria Math" w:hAnsi="Cambria Math"/>
                        <w:i/>
                      </w:rPr>
                    </m:ctrlPr>
                  </m:dPr>
                  <m:e>
                    <m:r>
                      <w:rPr>
                        <w:rFonts w:ascii="Cambria Math" w:hAnsi="Cambria Math"/>
                      </w:rPr>
                      <m:t>θ</m:t>
                    </m:r>
                  </m:e>
                </m:d>
                <m:r>
                  <w:rPr>
                    <w:rFonts w:ascii="Cambria Math" w:hAnsi="Cambria Math"/>
                  </w:rPr>
                  <m:t>dθ</m:t>
                </m:r>
              </m:oMath>
            </m:oMathPara>
          </w:p>
        </w:tc>
        <w:tc>
          <w:tcPr>
            <w:tcW w:w="821" w:type="pct"/>
            <w:shd w:val="clear" w:color="auto" w:fill="auto"/>
            <w:vAlign w:val="center"/>
          </w:tcPr>
          <w:p w14:paraId="6EEB4F6A" w14:textId="57E40B98" w:rsidR="00FB7BB8" w:rsidRPr="00DD065F" w:rsidRDefault="00FB7BB8">
            <w:pPr>
              <w:spacing w:line="360" w:lineRule="auto"/>
              <w:jc w:val="center"/>
            </w:pPr>
            <w:r w:rsidRPr="00DD065F">
              <w:t>(A</w:t>
            </w:r>
            <w:r w:rsidR="00641DC4" w:rsidRPr="00DD065F">
              <w:t>6</w:t>
            </w:r>
            <w:r w:rsidRPr="00DD065F">
              <w:t>)</w:t>
            </w:r>
          </w:p>
        </w:tc>
      </w:tr>
    </w:tbl>
    <w:p w14:paraId="7E96E0D3" w14:textId="7512F333" w:rsidR="00FB7BB8" w:rsidRPr="00DD065F" w:rsidRDefault="00776216" w:rsidP="00FB7BB8">
      <w:pPr>
        <w:spacing w:line="360" w:lineRule="auto"/>
        <w:jc w:val="both"/>
      </w:pPr>
      <w:r w:rsidRPr="00DD065F">
        <w:t>In equation (A</w:t>
      </w:r>
      <w:r w:rsidR="00641DC4" w:rsidRPr="00DD065F">
        <w:t>6</w:t>
      </w:r>
      <w:r w:rsidRPr="00DD065F">
        <w:t>),</w:t>
      </w:r>
      <w:r w:rsidR="00FB7BB8" w:rsidRPr="00DD065F">
        <w:t xml:space="preserve"> </w:t>
      </w:r>
      <m:oMath>
        <m:r>
          <w:rPr>
            <w:rFonts w:ascii="Cambria Math" w:hAnsi="Cambria Math"/>
          </w:rPr>
          <m:t>L</m:t>
        </m:r>
        <m:d>
          <m:dPr>
            <m:ctrlPr>
              <w:rPr>
                <w:rFonts w:ascii="Cambria Math" w:hAnsi="Cambria Math"/>
                <w:i/>
              </w:rPr>
            </m:ctrlPr>
          </m:dPr>
          <m:e>
            <m:r>
              <w:rPr>
                <w:rFonts w:ascii="Cambria Math" w:hAnsi="Cambria Math"/>
              </w:rPr>
              <m:t>θ,λ</m:t>
            </m:r>
          </m:e>
        </m:d>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begChr m:val="["/>
                <m:endChr m:val="]"/>
                <m:ctrlPr>
                  <w:rPr>
                    <w:rFonts w:ascii="Cambria Math" w:hAnsi="Cambria Math"/>
                    <w:i/>
                  </w:rPr>
                </m:ctrlPr>
              </m:dPr>
              <m:e>
                <m:r>
                  <w:rPr>
                    <w:rFonts w:ascii="Cambria Math" w:hAnsi="Cambria Math"/>
                  </w:rPr>
                  <m:t>p(y|θ,λ)p(θ)p(λ)</m:t>
                </m:r>
              </m:e>
            </m:d>
          </m:e>
        </m:func>
      </m:oMath>
      <w:r w:rsidR="00FB7BB8" w:rsidRPr="00DD065F">
        <w:t xml:space="preserve"> is the likelihood function. During the ensuing iterations, the </w:t>
      </w:r>
      <w:r w:rsidR="00DF2F2D" w:rsidRPr="00DD065F">
        <w:t>posterior mean of the</w:t>
      </w:r>
      <w:r w:rsidR="00FB7BB8" w:rsidRPr="00DD065F">
        <w:t xml:space="preserve"> parameters (in the same way for hyperparameters) are updated using the following rule</w:t>
      </w:r>
      <w:r w:rsidR="00DF2F2D" w:rsidRPr="00DD065F">
        <w:t>:</w:t>
      </w:r>
    </w:p>
    <w:tbl>
      <w:tblPr>
        <w:tblW w:w="5093" w:type="pct"/>
        <w:tblLook w:val="04A0" w:firstRow="1" w:lastRow="0" w:firstColumn="1" w:lastColumn="0" w:noHBand="0" w:noVBand="1"/>
      </w:tblPr>
      <w:tblGrid>
        <w:gridCol w:w="1418"/>
        <w:gridCol w:w="6607"/>
        <w:gridCol w:w="1620"/>
      </w:tblGrid>
      <w:tr w:rsidR="00FB7BB8" w:rsidRPr="00DD065F" w14:paraId="34E9A799" w14:textId="77777777" w:rsidTr="0084443C">
        <w:trPr>
          <w:trHeight w:val="1296"/>
        </w:trPr>
        <w:tc>
          <w:tcPr>
            <w:tcW w:w="735" w:type="pct"/>
            <w:shd w:val="clear" w:color="auto" w:fill="auto"/>
            <w:vAlign w:val="center"/>
          </w:tcPr>
          <w:p w14:paraId="7D3BFB2E" w14:textId="77777777" w:rsidR="00FB7BB8" w:rsidRPr="00DD065F" w:rsidRDefault="00FB7BB8" w:rsidP="006E1EF6">
            <w:pPr>
              <w:spacing w:line="360" w:lineRule="auto"/>
            </w:pPr>
          </w:p>
        </w:tc>
        <w:tc>
          <w:tcPr>
            <w:tcW w:w="3425" w:type="pct"/>
            <w:shd w:val="clear" w:color="auto" w:fill="auto"/>
            <w:vAlign w:val="center"/>
          </w:tcPr>
          <w:p w14:paraId="01200FB9" w14:textId="77777777" w:rsidR="00FB7BB8" w:rsidRPr="00DD065F" w:rsidRDefault="008174F3" w:rsidP="006E1EF6">
            <w:pPr>
              <w:spacing w:line="360" w:lineRule="auto"/>
            </w:pPr>
            <m:oMathPara>
              <m:oMath>
                <m:sSubSup>
                  <m:sSubSupPr>
                    <m:ctrlPr>
                      <w:rPr>
                        <w:rFonts w:ascii="Cambria Math" w:hAnsi="Cambria Math"/>
                        <w:i/>
                      </w:rPr>
                    </m:ctrlPr>
                  </m:sSubSupPr>
                  <m:e>
                    <m:r>
                      <w:rPr>
                        <w:rFonts w:ascii="Cambria Math" w:hAnsi="Cambria Math"/>
                      </w:rPr>
                      <m:t>μ</m:t>
                    </m:r>
                  </m:e>
                  <m:sub>
                    <m:r>
                      <w:rPr>
                        <w:rFonts w:ascii="Cambria Math" w:hAnsi="Cambria Math"/>
                      </w:rPr>
                      <m:t>θ</m:t>
                    </m:r>
                  </m:sub>
                  <m:sup>
                    <m:r>
                      <w:rPr>
                        <w:rFonts w:ascii="Cambria Math" w:hAnsi="Cambria Math"/>
                      </w:rPr>
                      <m:t>new</m:t>
                    </m:r>
                  </m:sup>
                </m:sSubSup>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θ</m:t>
                    </m:r>
                  </m:sub>
                  <m:sup>
                    <m:r>
                      <w:rPr>
                        <w:rFonts w:ascii="Cambria Math" w:hAnsi="Cambria Math"/>
                      </w:rPr>
                      <m:t>old</m:t>
                    </m:r>
                  </m:sup>
                </m:sSub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θ</m:t>
                    </m:r>
                  </m:sub>
                </m:sSub>
              </m:oMath>
            </m:oMathPara>
          </w:p>
        </w:tc>
        <w:tc>
          <w:tcPr>
            <w:tcW w:w="840" w:type="pct"/>
            <w:shd w:val="clear" w:color="auto" w:fill="auto"/>
            <w:vAlign w:val="center"/>
          </w:tcPr>
          <w:p w14:paraId="4607D0FF" w14:textId="430E9618" w:rsidR="00FB7BB8" w:rsidRPr="00DD065F" w:rsidRDefault="00FB7BB8">
            <w:pPr>
              <w:spacing w:line="360" w:lineRule="auto"/>
              <w:jc w:val="center"/>
            </w:pPr>
            <w:r w:rsidRPr="00DD065F">
              <w:t>(A</w:t>
            </w:r>
            <w:r w:rsidR="00641DC4" w:rsidRPr="00DD065F">
              <w:t>7</w:t>
            </w:r>
            <w:r w:rsidRPr="00DD065F">
              <w:t>)</w:t>
            </w:r>
          </w:p>
        </w:tc>
      </w:tr>
    </w:tbl>
    <w:p w14:paraId="02CF592D" w14:textId="7308D639" w:rsidR="00FB7BB8" w:rsidRPr="00DD065F" w:rsidRDefault="00947B93" w:rsidP="00FB7BB8">
      <w:pPr>
        <w:spacing w:line="360" w:lineRule="auto"/>
        <w:jc w:val="both"/>
      </w:pPr>
      <w:r w:rsidRPr="00DD065F">
        <w:t>In the equation (</w:t>
      </w:r>
      <w:r w:rsidR="00532253" w:rsidRPr="00DD065F">
        <w:t>A</w:t>
      </w:r>
      <w:r w:rsidR="00641DC4" w:rsidRPr="00DD065F">
        <w:t>7</w:t>
      </w:r>
      <w:r w:rsidRPr="00DD065F">
        <w:t xml:space="preserve">), </w:t>
      </w:r>
      <m:oMath>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θ</m:t>
            </m:r>
          </m:sub>
        </m:sSub>
      </m:oMath>
      <w:r w:rsidR="00FB7BB8" w:rsidRPr="00DD065F">
        <w:t xml:space="preserve">is </w:t>
      </w:r>
      <w:r w:rsidR="00641DC4" w:rsidRPr="00DD065F">
        <w:t xml:space="preserve">the </w:t>
      </w:r>
      <w:r w:rsidR="00FB7BB8" w:rsidRPr="00DD065F">
        <w:t xml:space="preserve">step size for updates to the model parameters. This is defined as </w:t>
      </w:r>
      <m:oMath>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θ</m:t>
            </m:r>
          </m:sub>
        </m:sSub>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θ</m:t>
            </m:r>
          </m:sub>
          <m:sup>
            <m:r>
              <w:rPr>
                <w:rFonts w:ascii="Cambria Math" w:hAnsi="Cambria Math"/>
              </w:rPr>
              <m:t>-1</m:t>
            </m:r>
          </m:sup>
        </m:sSubSup>
        <m:sSub>
          <m:sSubPr>
            <m:ctrlPr>
              <w:rPr>
                <w:rFonts w:ascii="Cambria Math" w:hAnsi="Cambria Math"/>
                <w:i/>
              </w:rPr>
            </m:ctrlPr>
          </m:sSubPr>
          <m:e>
            <m:r>
              <w:rPr>
                <w:rFonts w:ascii="Cambria Math" w:hAnsi="Cambria Math"/>
              </w:rPr>
              <m:t>J</m:t>
            </m:r>
          </m:e>
          <m:sub>
            <m:r>
              <w:rPr>
                <w:rFonts w:ascii="Cambria Math" w:hAnsi="Cambria Math"/>
              </w:rPr>
              <m:t>θ</m:t>
            </m:r>
          </m:sub>
        </m:sSub>
      </m:oMath>
      <w:r w:rsidR="00FB7BB8" w:rsidRPr="00DD065F">
        <w:t xml:space="preserve"> where</w:t>
      </w:r>
      <m:oMath>
        <m:r>
          <w:rPr>
            <w:rFonts w:ascii="Cambria Math" w:hAnsi="Cambria Math"/>
          </w:rPr>
          <m:t xml:space="preserve"> J</m:t>
        </m:r>
      </m:oMath>
      <w:r w:rsidR="00FB7BB8" w:rsidRPr="00DD065F">
        <w:t xml:space="preserve"> and </w:t>
      </w:r>
      <m:oMath>
        <m:r>
          <w:rPr>
            <w:rFonts w:ascii="Cambria Math" w:hAnsi="Cambria Math"/>
          </w:rPr>
          <m:t>H</m:t>
        </m:r>
      </m:oMath>
      <w:r w:rsidR="00FB7BB8" w:rsidRPr="00DD065F">
        <w:t xml:space="preserve">  are the gradient (</w:t>
      </w:r>
      <m:oMath>
        <m:sSub>
          <m:sSubPr>
            <m:ctrlPr>
              <w:rPr>
                <w:rFonts w:ascii="Cambria Math" w:hAnsi="Cambria Math"/>
                <w:i/>
              </w:rPr>
            </m:ctrlPr>
          </m:sSubPr>
          <m:e>
            <m:r>
              <w:rPr>
                <w:rFonts w:ascii="Cambria Math" w:hAnsi="Cambria Math"/>
              </w:rPr>
              <m:t>J</m:t>
            </m:r>
          </m:e>
          <m:sub>
            <m:r>
              <w:rPr>
                <w:rFonts w:ascii="Cambria Math" w:hAnsi="Cambria Math"/>
              </w:rPr>
              <m:t>θ</m:t>
            </m:r>
          </m:sub>
        </m:sSub>
        <m:r>
          <w:rPr>
            <w:rFonts w:ascii="Cambria Math" w:hAnsi="Cambria Math"/>
          </w:rPr>
          <m:t>=</m:t>
        </m:r>
        <m:f>
          <m:fPr>
            <m:ctrlPr>
              <w:rPr>
                <w:rFonts w:ascii="Cambria Math" w:hAnsi="Cambria Math"/>
                <w:i/>
              </w:rPr>
            </m:ctrlPr>
          </m:fPr>
          <m:num>
            <m:r>
              <w:rPr>
                <w:rFonts w:ascii="Cambria Math" w:hAnsi="Cambria Math"/>
              </w:rPr>
              <m:t>δ</m:t>
            </m:r>
            <m:sSub>
              <m:sSubPr>
                <m:ctrlPr>
                  <w:rPr>
                    <w:rFonts w:ascii="Cambria Math" w:hAnsi="Cambria Math"/>
                    <w:i/>
                  </w:rPr>
                </m:ctrlPr>
              </m:sSubPr>
              <m:e>
                <m:r>
                  <w:rPr>
                    <w:rFonts w:ascii="Cambria Math" w:hAnsi="Cambria Math"/>
                  </w:rPr>
                  <m:t>I</m:t>
                </m:r>
              </m:e>
              <m:sub>
                <m:r>
                  <w:rPr>
                    <w:rFonts w:ascii="Cambria Math" w:hAnsi="Cambria Math"/>
                  </w:rPr>
                  <m:t>θ</m:t>
                </m:r>
              </m:sub>
            </m:sSub>
          </m:num>
          <m:den>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θ</m:t>
                </m:r>
              </m:sub>
            </m:sSub>
          </m:den>
        </m:f>
      </m:oMath>
      <w:r w:rsidR="00FB7BB8" w:rsidRPr="00DD065F">
        <w:t>) and Hessian (</w:t>
      </w:r>
      <m:oMath>
        <m:sSub>
          <m:sSubPr>
            <m:ctrlPr>
              <w:rPr>
                <w:rFonts w:ascii="Cambria Math" w:hAnsi="Cambria Math"/>
                <w:i/>
              </w:rPr>
            </m:ctrlPr>
          </m:sSubPr>
          <m:e>
            <m:r>
              <w:rPr>
                <w:rFonts w:ascii="Cambria Math" w:hAnsi="Cambria Math"/>
              </w:rPr>
              <m:t>H</m:t>
            </m:r>
          </m:e>
          <m:sub>
            <m:r>
              <w:rPr>
                <w:rFonts w:ascii="Cambria Math" w:hAnsi="Cambria Math"/>
              </w:rPr>
              <m:t>θ</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δ</m:t>
                </m:r>
              </m:e>
              <m:sup>
                <m:r>
                  <w:rPr>
                    <w:rFonts w:ascii="Cambria Math" w:hAnsi="Cambria Math"/>
                  </w:rPr>
                  <m:t>2</m:t>
                </m:r>
              </m:sup>
            </m:sSup>
            <m:sSub>
              <m:sSubPr>
                <m:ctrlPr>
                  <w:rPr>
                    <w:rFonts w:ascii="Cambria Math" w:hAnsi="Cambria Math"/>
                    <w:i/>
                  </w:rPr>
                </m:ctrlPr>
              </m:sSubPr>
              <m:e>
                <m:r>
                  <w:rPr>
                    <w:rFonts w:ascii="Cambria Math" w:hAnsi="Cambria Math"/>
                  </w:rPr>
                  <m:t>I</m:t>
                </m:r>
              </m:e>
              <m:sub>
                <m:r>
                  <w:rPr>
                    <w:rFonts w:ascii="Cambria Math" w:hAnsi="Cambria Math"/>
                  </w:rPr>
                  <m:t>θ</m:t>
                </m:r>
              </m:sub>
            </m:sSub>
          </m:num>
          <m:den>
            <m:r>
              <w:rPr>
                <w:rFonts w:ascii="Cambria Math" w:hAnsi="Cambria Math"/>
              </w:rPr>
              <m:t>δ</m:t>
            </m:r>
            <m:sSub>
              <m:sSubPr>
                <m:ctrlPr>
                  <w:rPr>
                    <w:rFonts w:ascii="Cambria Math" w:hAnsi="Cambria Math"/>
                    <w:i/>
                  </w:rPr>
                </m:ctrlPr>
              </m:sSubPr>
              <m:e>
                <m:r>
                  <w:rPr>
                    <w:rFonts w:ascii="Cambria Math" w:hAnsi="Cambria Math"/>
                  </w:rPr>
                  <m:t>μ</m:t>
                </m:r>
              </m:e>
              <m:sub>
                <m:sSub>
                  <m:sSubPr>
                    <m:ctrlPr>
                      <w:rPr>
                        <w:rFonts w:ascii="Cambria Math" w:hAnsi="Cambria Math"/>
                        <w:i/>
                      </w:rPr>
                    </m:ctrlPr>
                  </m:sSubPr>
                  <m:e>
                    <m:r>
                      <w:rPr>
                        <w:rFonts w:ascii="Cambria Math" w:hAnsi="Cambria Math"/>
                      </w:rPr>
                      <m:t>θ</m:t>
                    </m:r>
                  </m:e>
                  <m:sub>
                    <m:r>
                      <w:rPr>
                        <w:rFonts w:ascii="Cambria Math" w:hAnsi="Cambria Math"/>
                      </w:rPr>
                      <m:t>i</m:t>
                    </m:r>
                  </m:sub>
                </m:sSub>
              </m:sub>
            </m:sSub>
            <m:r>
              <w:rPr>
                <w:rFonts w:ascii="Cambria Math" w:hAnsi="Cambria Math"/>
              </w:rPr>
              <m:t>δ</m:t>
            </m:r>
            <m:sSub>
              <m:sSubPr>
                <m:ctrlPr>
                  <w:rPr>
                    <w:rFonts w:ascii="Cambria Math" w:hAnsi="Cambria Math"/>
                    <w:i/>
                  </w:rPr>
                </m:ctrlPr>
              </m:sSubPr>
              <m:e>
                <m:r>
                  <w:rPr>
                    <w:rFonts w:ascii="Cambria Math" w:hAnsi="Cambria Math"/>
                  </w:rPr>
                  <m:t>μ</m:t>
                </m:r>
              </m:e>
              <m:sub>
                <m:sSub>
                  <m:sSubPr>
                    <m:ctrlPr>
                      <w:rPr>
                        <w:rFonts w:ascii="Cambria Math" w:hAnsi="Cambria Math"/>
                        <w:i/>
                      </w:rPr>
                    </m:ctrlPr>
                  </m:sSubPr>
                  <m:e>
                    <m:r>
                      <w:rPr>
                        <w:rFonts w:ascii="Cambria Math" w:hAnsi="Cambria Math"/>
                      </w:rPr>
                      <m:t>θ</m:t>
                    </m:r>
                  </m:e>
                  <m:sub>
                    <m:r>
                      <w:rPr>
                        <w:rFonts w:ascii="Cambria Math" w:hAnsi="Cambria Math"/>
                      </w:rPr>
                      <m:t>j</m:t>
                    </m:r>
                  </m:sub>
                </m:sSub>
              </m:sub>
            </m:sSub>
          </m:den>
        </m:f>
      </m:oMath>
      <w:r w:rsidR="00FB7BB8" w:rsidRPr="00DD065F">
        <w:t xml:space="preserve"> ) of</w:t>
      </w:r>
      <w:r w:rsidR="00FA0522" w:rsidRPr="00DD065F">
        <w:t xml:space="preserve"> the</w:t>
      </w:r>
      <w:r w:rsidR="00FB7BB8" w:rsidRPr="00DD065F">
        <w:t xml:space="preserve"> free energy function</w:t>
      </w:r>
      <w:r w:rsidR="00FA0522" w:rsidRPr="00DD065F">
        <w:t>al</w:t>
      </w:r>
      <w:r w:rsidR="00FB7BB8" w:rsidRPr="00DD065F">
        <w:t>. In effect, equation (</w:t>
      </w:r>
      <w:r w:rsidR="00FA0522" w:rsidRPr="00DD065F">
        <w:t>A7</w:t>
      </w:r>
      <w:r w:rsidR="00FB7BB8" w:rsidRPr="00DD065F">
        <w:t xml:space="preserve">) resembles </w:t>
      </w:r>
      <w:r w:rsidR="00776216" w:rsidRPr="00DD065F">
        <w:t>a</w:t>
      </w:r>
      <w:r w:rsidR="00FB7BB8" w:rsidRPr="00DD065F">
        <w:t xml:space="preserve"> Newton update method. Intuitively, in the region that the gradient changes slowly, changes to the parameters are large to avoid </w:t>
      </w:r>
      <w:r w:rsidR="00FA0522" w:rsidRPr="00DD065F">
        <w:t xml:space="preserve">an </w:t>
      </w:r>
      <w:r w:rsidR="00FB7BB8" w:rsidRPr="00DD065F">
        <w:t xml:space="preserve">unnecessary search, making the </w:t>
      </w:r>
      <w:r w:rsidR="00532253" w:rsidRPr="00DD065F">
        <w:t>pro</w:t>
      </w:r>
      <w:r w:rsidR="005B01E5" w:rsidRPr="00DD065F">
        <w:t>posed</w:t>
      </w:r>
      <w:r w:rsidR="00532253" w:rsidRPr="00DD065F">
        <w:t xml:space="preserve"> </w:t>
      </w:r>
      <w:r w:rsidR="00FB7BB8" w:rsidRPr="00DD065F">
        <w:t>algorithm efficient. The posterior covariance of the parameters is defined as negative inverse curvature</w:t>
      </w:r>
      <m:oMath>
        <m:sSub>
          <m:sSubPr>
            <m:ctrlPr>
              <w:rPr>
                <w:rFonts w:ascii="Cambria Math" w:hAnsi="Cambria Math"/>
                <w:i/>
              </w:rPr>
            </m:ctrlPr>
          </m:sSubPr>
          <m:e>
            <m:r>
              <w:rPr>
                <w:rFonts w:ascii="Cambria Math" w:hAnsi="Cambria Math"/>
              </w:rPr>
              <m:t xml:space="preserve"> S</m:t>
            </m:r>
          </m:e>
          <m:sub>
            <m:r>
              <w:rPr>
                <w:rFonts w:ascii="Cambria Math" w:hAnsi="Cambria Math"/>
              </w:rPr>
              <m:t>θ</m:t>
            </m:r>
          </m:sub>
        </m:sSub>
        <m:r>
          <w:rPr>
            <w:rFonts w:ascii="Cambria Math" w:hAnsi="Cambria Math"/>
          </w:rPr>
          <m:t>= -</m:t>
        </m:r>
        <m:sSub>
          <m:sSubPr>
            <m:ctrlPr>
              <w:rPr>
                <w:rFonts w:ascii="Cambria Math" w:hAnsi="Cambria Math"/>
                <w:i/>
              </w:rPr>
            </m:ctrlPr>
          </m:sSubPr>
          <m:e>
            <m:r>
              <w:rPr>
                <w:rFonts w:ascii="Cambria Math" w:hAnsi="Cambria Math"/>
              </w:rPr>
              <m:t>H</m:t>
            </m:r>
          </m:e>
          <m:sub>
            <m:r>
              <w:rPr>
                <w:rFonts w:ascii="Cambria Math" w:hAnsi="Cambria Math"/>
              </w:rPr>
              <m:t>θ</m:t>
            </m:r>
          </m:sub>
        </m:sSub>
      </m:oMath>
      <w:r w:rsidR="00FC2FC9" w:rsidRPr="00DD065F">
        <w:t xml:space="preserve"> (for </w:t>
      </w:r>
      <w:proofErr w:type="spellStart"/>
      <w:proofErr w:type="gramStart"/>
      <w:r w:rsidR="00FC2FC9" w:rsidRPr="00DD065F">
        <w:t>hyperparameter</w:t>
      </w:r>
      <w:r w:rsidR="00FA0522" w:rsidRPr="00DD065F">
        <w:t>s</w:t>
      </w:r>
      <w:proofErr w:type="spellEnd"/>
      <w:r w:rsidR="00FC2FC9" w:rsidRPr="00DD065F">
        <w:t xml:space="preserve"> </w:t>
      </w:r>
      <w:proofErr w:type="gramEnd"/>
      <m:oMath>
        <m:sSub>
          <m:sSubPr>
            <m:ctrlPr>
              <w:rPr>
                <w:rFonts w:ascii="Cambria Math" w:hAnsi="Cambria Math"/>
                <w:i/>
              </w:rPr>
            </m:ctrlPr>
          </m:sSubPr>
          <m:e>
            <m:r>
              <w:rPr>
                <w:rFonts w:ascii="Cambria Math" w:hAnsi="Cambria Math"/>
              </w:rPr>
              <m:t xml:space="preserve"> S</m:t>
            </m:r>
          </m:e>
          <m:sub>
            <m:r>
              <w:rPr>
                <w:rFonts w:ascii="Cambria Math" w:hAnsi="Cambria Math"/>
              </w:rPr>
              <m:t>λ</m:t>
            </m:r>
          </m:sub>
        </m:sSub>
        <m:r>
          <w:rPr>
            <w:rFonts w:ascii="Cambria Math" w:hAnsi="Cambria Math"/>
          </w:rPr>
          <m:t>= -</m:t>
        </m:r>
        <m:sSub>
          <m:sSubPr>
            <m:ctrlPr>
              <w:rPr>
                <w:rFonts w:ascii="Cambria Math" w:hAnsi="Cambria Math"/>
                <w:i/>
              </w:rPr>
            </m:ctrlPr>
          </m:sSubPr>
          <m:e>
            <m:r>
              <w:rPr>
                <w:rFonts w:ascii="Cambria Math" w:hAnsi="Cambria Math"/>
              </w:rPr>
              <m:t>H</m:t>
            </m:r>
          </m:e>
          <m:sub>
            <m:r>
              <w:rPr>
                <w:rFonts w:ascii="Cambria Math" w:hAnsi="Cambria Math"/>
              </w:rPr>
              <m:t>λ</m:t>
            </m:r>
          </m:sub>
        </m:sSub>
      </m:oMath>
      <w:r w:rsidR="00FC2FC9" w:rsidRPr="00DD065F">
        <w:t>)</w:t>
      </w:r>
      <w:r w:rsidR="00FB7BB8" w:rsidRPr="00DD065F">
        <w:t xml:space="preserve">. The estimation scheme iterates over the parameters and </w:t>
      </w:r>
      <w:proofErr w:type="spellStart"/>
      <w:r w:rsidR="00FB7BB8" w:rsidRPr="00DD065F">
        <w:t>hyperparameters</w:t>
      </w:r>
      <w:proofErr w:type="spellEnd"/>
      <w:r w:rsidR="00FB7BB8" w:rsidRPr="00DD065F">
        <w:t xml:space="preserve"> until the free energy quantity ceases to change significantly. </w:t>
      </w:r>
    </w:p>
    <w:p w14:paraId="372564BD" w14:textId="30967782" w:rsidR="005B01E5" w:rsidRPr="00DD065F" w:rsidRDefault="005B01E5" w:rsidP="00FB7BB8">
      <w:pPr>
        <w:spacing w:line="360" w:lineRule="auto"/>
        <w:jc w:val="both"/>
      </w:pPr>
    </w:p>
    <w:p w14:paraId="17738FB2" w14:textId="0534FD47" w:rsidR="005B01E5" w:rsidRPr="00DD065F" w:rsidRDefault="005B01E5" w:rsidP="00FB7BB8">
      <w:pPr>
        <w:spacing w:line="360" w:lineRule="auto"/>
        <w:jc w:val="both"/>
      </w:pPr>
      <w:r w:rsidRPr="00DD065F">
        <w:t>Reference</w:t>
      </w:r>
    </w:p>
    <w:p w14:paraId="7FC4EF73" w14:textId="78788B23" w:rsidR="005B01E5" w:rsidRPr="00DD065F" w:rsidRDefault="005B01E5" w:rsidP="005B01E5">
      <w:pPr>
        <w:widowControl w:val="0"/>
        <w:autoSpaceDE w:val="0"/>
        <w:autoSpaceDN w:val="0"/>
        <w:adjustRightInd w:val="0"/>
        <w:spacing w:line="360" w:lineRule="auto"/>
        <w:ind w:left="640" w:hanging="640"/>
        <w:rPr>
          <w:rFonts w:cs="Times New Roman"/>
          <w:noProof/>
          <w:szCs w:val="24"/>
        </w:rPr>
      </w:pPr>
      <w:r w:rsidRPr="00DD065F">
        <w:fldChar w:fldCharType="begin" w:fldLock="1"/>
      </w:r>
      <w:r w:rsidRPr="00DD065F">
        <w:instrText xml:space="preserve">ADDIN Mendeley Bibliography CSL_BIBLIOGRAPHY </w:instrText>
      </w:r>
      <w:r w:rsidRPr="00DD065F">
        <w:fldChar w:fldCharType="separate"/>
      </w:r>
      <w:r w:rsidRPr="00DD065F">
        <w:rPr>
          <w:rFonts w:cs="Times New Roman"/>
          <w:noProof/>
          <w:szCs w:val="24"/>
        </w:rPr>
        <w:t xml:space="preserve">1. </w:t>
      </w:r>
      <w:r w:rsidRPr="00DD065F">
        <w:rPr>
          <w:rFonts w:cs="Times New Roman"/>
          <w:noProof/>
          <w:szCs w:val="24"/>
        </w:rPr>
        <w:tab/>
        <w:t xml:space="preserve">Friston K, Mattout J, Trujillo-Barreto N, Ashburner J, Penny W, Friston K. Variational free energy and the Laplace approximation. Neuroimage. 2006 Jan 1;34(1):220–34. </w:t>
      </w:r>
    </w:p>
    <w:p w14:paraId="41230B62" w14:textId="77777777" w:rsidR="005B01E5" w:rsidRPr="00DD065F" w:rsidRDefault="005B01E5" w:rsidP="005B01E5">
      <w:pPr>
        <w:widowControl w:val="0"/>
        <w:autoSpaceDE w:val="0"/>
        <w:autoSpaceDN w:val="0"/>
        <w:adjustRightInd w:val="0"/>
        <w:spacing w:line="360" w:lineRule="auto"/>
        <w:ind w:left="640" w:hanging="640"/>
        <w:rPr>
          <w:noProof/>
        </w:rPr>
      </w:pPr>
      <w:r w:rsidRPr="00DD065F">
        <w:rPr>
          <w:rFonts w:cs="Times New Roman"/>
          <w:noProof/>
          <w:szCs w:val="24"/>
        </w:rPr>
        <w:t xml:space="preserve">2. </w:t>
      </w:r>
      <w:r w:rsidRPr="00DD065F">
        <w:rPr>
          <w:rFonts w:cs="Times New Roman"/>
          <w:noProof/>
          <w:szCs w:val="24"/>
        </w:rPr>
        <w:tab/>
        <w:t xml:space="preserve">Friston KJ, Trujillo-Barreto N, Daunizeau J. DEM: A variational treatment of dynamic systems. Neuroimage. 2008;41(3):849–85. </w:t>
      </w:r>
    </w:p>
    <w:p w14:paraId="679CB67D" w14:textId="0D7A6EF4" w:rsidR="00150064" w:rsidRDefault="005B01E5" w:rsidP="00C863B2">
      <w:pPr>
        <w:spacing w:line="360" w:lineRule="auto"/>
        <w:jc w:val="both"/>
      </w:pPr>
      <w:r w:rsidRPr="00DD065F">
        <w:fldChar w:fldCharType="end"/>
      </w:r>
    </w:p>
    <w:sectPr w:rsidR="00150064" w:rsidSect="00FB7BB8">
      <w:pgSz w:w="11907" w:h="16840" w:code="9"/>
      <w:pgMar w:top="238" w:right="1134" w:bottom="851" w:left="1304" w:header="340" w:footer="567" w:gutter="0"/>
      <w:cols w:space="397" w:equalWidth="0">
        <w:col w:w="9780" w:space="720"/>
      </w:cols>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Cond">
    <w:altName w:val="Cambri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1MzAwNTEzMLI0tDBW0lEKTi0uzszPAykwNKgFAAD5yqctAAAA"/>
  </w:docVars>
  <w:rsids>
    <w:rsidRoot w:val="00FB7BB8"/>
    <w:rsid w:val="00041281"/>
    <w:rsid w:val="0013147E"/>
    <w:rsid w:val="0014377B"/>
    <w:rsid w:val="001453E0"/>
    <w:rsid w:val="00150064"/>
    <w:rsid w:val="001A0042"/>
    <w:rsid w:val="00291D03"/>
    <w:rsid w:val="002B45C1"/>
    <w:rsid w:val="00404B3D"/>
    <w:rsid w:val="00470B9D"/>
    <w:rsid w:val="004E5B64"/>
    <w:rsid w:val="00524498"/>
    <w:rsid w:val="00532253"/>
    <w:rsid w:val="005B01E5"/>
    <w:rsid w:val="005D52EB"/>
    <w:rsid w:val="00641DC4"/>
    <w:rsid w:val="007307E1"/>
    <w:rsid w:val="00751188"/>
    <w:rsid w:val="00776216"/>
    <w:rsid w:val="007900EB"/>
    <w:rsid w:val="008174F3"/>
    <w:rsid w:val="0084443C"/>
    <w:rsid w:val="00947B93"/>
    <w:rsid w:val="0097346D"/>
    <w:rsid w:val="00A44E7C"/>
    <w:rsid w:val="00AA09A4"/>
    <w:rsid w:val="00B009F4"/>
    <w:rsid w:val="00B85CBA"/>
    <w:rsid w:val="00B917EC"/>
    <w:rsid w:val="00C644A8"/>
    <w:rsid w:val="00C64CA5"/>
    <w:rsid w:val="00C863B2"/>
    <w:rsid w:val="00CA7D07"/>
    <w:rsid w:val="00D66AC2"/>
    <w:rsid w:val="00DD065F"/>
    <w:rsid w:val="00DF2F2D"/>
    <w:rsid w:val="00E16A83"/>
    <w:rsid w:val="00E80478"/>
    <w:rsid w:val="00F06487"/>
    <w:rsid w:val="00FA0522"/>
    <w:rsid w:val="00FB7BB8"/>
    <w:rsid w:val="00FC2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17E7"/>
  <w15:chartTrackingRefBased/>
  <w15:docId w15:val="{D1FEED47-D4D0-4052-BA6D-36C8FFDE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BB8"/>
    <w:pPr>
      <w:spacing w:after="0" w:line="240" w:lineRule="auto"/>
    </w:pPr>
    <w:rPr>
      <w:rFonts w:ascii="Palatino-Roman" w:eastAsia="Times New Roman" w:hAnsi="Palatino-Roman" w:cs="Arial"/>
      <w:color w:val="333333"/>
      <w:sz w:val="20"/>
      <w:szCs w:val="20"/>
      <w:shd w:val="clear" w:color="auto" w:fill="FFFFFF"/>
      <w:lang w:eastAsia="en-GB"/>
    </w:rPr>
  </w:style>
  <w:style w:type="paragraph" w:styleId="Heading1">
    <w:name w:val="heading 1"/>
    <w:basedOn w:val="Normal"/>
    <w:next w:val="Normal"/>
    <w:link w:val="Heading1Char"/>
    <w:qFormat/>
    <w:rsid w:val="00FB7BB8"/>
    <w:pPr>
      <w:outlineLvl w:val="0"/>
    </w:pPr>
    <w:rPr>
      <w:rFonts w:ascii="MyriadPro-Cond" w:hAnsi="MyriadPro-Con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BB8"/>
    <w:rPr>
      <w:rFonts w:ascii="MyriadPro-Cond" w:eastAsia="Times New Roman" w:hAnsi="MyriadPro-Cond" w:cs="Arial"/>
      <w:color w:val="333333"/>
      <w:sz w:val="36"/>
      <w:szCs w:val="36"/>
      <w:lang w:eastAsia="en-GB"/>
    </w:rPr>
  </w:style>
  <w:style w:type="character" w:styleId="CommentReference">
    <w:name w:val="annotation reference"/>
    <w:basedOn w:val="DefaultParagraphFont"/>
    <w:uiPriority w:val="99"/>
    <w:semiHidden/>
    <w:unhideWhenUsed/>
    <w:rsid w:val="0097346D"/>
    <w:rPr>
      <w:sz w:val="16"/>
      <w:szCs w:val="16"/>
    </w:rPr>
  </w:style>
  <w:style w:type="paragraph" w:styleId="CommentText">
    <w:name w:val="annotation text"/>
    <w:basedOn w:val="Normal"/>
    <w:link w:val="CommentTextChar"/>
    <w:uiPriority w:val="99"/>
    <w:semiHidden/>
    <w:unhideWhenUsed/>
    <w:rsid w:val="0097346D"/>
  </w:style>
  <w:style w:type="character" w:customStyle="1" w:styleId="CommentTextChar">
    <w:name w:val="Comment Text Char"/>
    <w:basedOn w:val="DefaultParagraphFont"/>
    <w:link w:val="CommentText"/>
    <w:uiPriority w:val="99"/>
    <w:semiHidden/>
    <w:rsid w:val="0097346D"/>
    <w:rPr>
      <w:rFonts w:ascii="Palatino-Roman" w:eastAsia="Times New Roman" w:hAnsi="Palatino-Roman" w:cs="Arial"/>
      <w:color w:val="333333"/>
      <w:sz w:val="20"/>
      <w:szCs w:val="20"/>
      <w:lang w:eastAsia="en-GB"/>
    </w:rPr>
  </w:style>
  <w:style w:type="paragraph" w:styleId="CommentSubject">
    <w:name w:val="annotation subject"/>
    <w:basedOn w:val="CommentText"/>
    <w:next w:val="CommentText"/>
    <w:link w:val="CommentSubjectChar"/>
    <w:uiPriority w:val="99"/>
    <w:semiHidden/>
    <w:unhideWhenUsed/>
    <w:rsid w:val="0097346D"/>
    <w:rPr>
      <w:b/>
      <w:bCs/>
    </w:rPr>
  </w:style>
  <w:style w:type="character" w:customStyle="1" w:styleId="CommentSubjectChar">
    <w:name w:val="Comment Subject Char"/>
    <w:basedOn w:val="CommentTextChar"/>
    <w:link w:val="CommentSubject"/>
    <w:uiPriority w:val="99"/>
    <w:semiHidden/>
    <w:rsid w:val="0097346D"/>
    <w:rPr>
      <w:rFonts w:ascii="Palatino-Roman" w:eastAsia="Times New Roman" w:hAnsi="Palatino-Roman" w:cs="Arial"/>
      <w:b/>
      <w:bCs/>
      <w:color w:val="333333"/>
      <w:sz w:val="20"/>
      <w:szCs w:val="20"/>
      <w:lang w:eastAsia="en-GB"/>
    </w:rPr>
  </w:style>
  <w:style w:type="paragraph" w:styleId="BalloonText">
    <w:name w:val="Balloon Text"/>
    <w:basedOn w:val="Normal"/>
    <w:link w:val="BalloonTextChar"/>
    <w:uiPriority w:val="99"/>
    <w:semiHidden/>
    <w:unhideWhenUsed/>
    <w:rsid w:val="00973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46D"/>
    <w:rPr>
      <w:rFonts w:ascii="Segoe UI" w:eastAsia="Times New Roman" w:hAnsi="Segoe UI" w:cs="Segoe UI"/>
      <w:color w:val="333333"/>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DA999-2C8F-46E6-80E9-E137C843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Amirhossein Jafarian</dc:creator>
  <cp:keywords/>
  <dc:description/>
  <cp:lastModifiedBy>Amir</cp:lastModifiedBy>
  <cp:revision>2</cp:revision>
  <dcterms:created xsi:type="dcterms:W3CDTF">2019-09-10T09:22:00Z</dcterms:created>
  <dcterms:modified xsi:type="dcterms:W3CDTF">2019-09-10T09:22:00Z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a1769892-3823-3977-941b-9d54d13fa202</vt:lpwstr>
  </property>
  <property fmtid="{D5CDD505-2E9C-101B-9397-08002B2CF9AE}" pid="24" name="Mendeley Citation Style_1">
    <vt:lpwstr>http://www.zotero.org/styles/vancouver</vt:lpwstr>
  </property>
</Properties>
</file>