
<file path=[Content_Types].xml><?xml version="1.0" encoding="utf-8"?>
<Types xmlns="http://schemas.openxmlformats.org/package/2006/content-types">
  <Default Extension="xml" ContentType="application/xml"/>
  <Default Extension="tif" ContentType="image/tiff"/>
  <Default Extension="png" ContentType="image/png"/>
  <Default Extension="rels" ContentType="application/vnd.openxmlformats-package.relationships+xml"/>
  <Default Extension="wmf" ContentType="image/x-w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482F57F" w14:textId="77777777" w:rsidR="00F8309D" w:rsidRDefault="00EB2AA9">
      <w:pPr>
        <w:pStyle w:val="Heading3"/>
        <w:spacing w:line="480" w:lineRule="auto"/>
        <w:rPr>
          <w:rFonts w:ascii="Times New Roman" w:eastAsia="Times New Roman" w:hAnsi="Times New Roman" w:cs="Times New Roman"/>
        </w:rPr>
      </w:pPr>
      <w:bookmarkStart w:id="0" w:name="_Toc413226643"/>
      <w:r>
        <w:rPr>
          <w:rFonts w:ascii="Times New Roman" w:eastAsia="Times New Roman" w:hAnsi="Times New Roman" w:cs="Times New Roman"/>
        </w:rPr>
        <w:t>Supplementary Methods and Results</w:t>
      </w:r>
    </w:p>
    <w:p w14:paraId="1F10D99D" w14:textId="77777777" w:rsidR="00F8309D" w:rsidRDefault="00EB2AA9">
      <w:pPr>
        <w:pStyle w:val="Heading4"/>
        <w:spacing w:line="480" w:lineRule="auto"/>
      </w:pPr>
      <w:r>
        <w:rPr>
          <w:rFonts w:ascii="Times New Roman" w:eastAsia="Times New Roman" w:hAnsi="Times New Roman" w:cs="Times New Roman"/>
        </w:rPr>
        <w:t>Simulated Trees for Figure 1</w:t>
      </w:r>
    </w:p>
    <w:p w14:paraId="647912A8" w14:textId="77777777" w:rsidR="00F8309D" w:rsidRDefault="00EB2AA9">
      <w:pPr>
        <w:pStyle w:val="Heading4"/>
        <w:spacing w:line="480" w:lineRule="auto"/>
        <w:rPr>
          <w:rFonts w:ascii="Times New Roman" w:eastAsia="Times New Roman" w:hAnsi="Times New Roman" w:cs="Times New Roman"/>
          <w:b w:val="0"/>
        </w:rPr>
      </w:pPr>
      <w:r>
        <w:rPr>
          <w:rFonts w:ascii="Times New Roman" w:eastAsia="Times New Roman" w:hAnsi="Times New Roman" w:cs="Times New Roman"/>
          <w:b w:val="0"/>
        </w:rPr>
        <w:t xml:space="preserve">For comparison with the observed </w:t>
      </w:r>
      <w:r>
        <w:rPr>
          <w:rFonts w:ascii="Times New Roman" w:eastAsia="Times New Roman" w:hAnsi="Times New Roman" w:cs="Times New Roman"/>
          <w:b w:val="0"/>
          <w:i/>
        </w:rPr>
        <w:t>ED</w:t>
      </w:r>
      <w:r>
        <w:rPr>
          <w:rFonts w:ascii="Times New Roman" w:eastAsia="Times New Roman" w:hAnsi="Times New Roman" w:cs="Times New Roman"/>
          <w:b w:val="0"/>
          <w:i/>
          <w:vertAlign w:val="subscript"/>
        </w:rPr>
        <w:t>t1</w:t>
      </w:r>
      <w:r>
        <w:rPr>
          <w:rFonts w:ascii="Times New Roman" w:eastAsia="Times New Roman" w:hAnsi="Times New Roman" w:cs="Times New Roman"/>
          <w:b w:val="0"/>
          <w:i/>
        </w:rPr>
        <w:t>~ED</w:t>
      </w:r>
      <w:r>
        <w:rPr>
          <w:rFonts w:ascii="Times New Roman" w:eastAsia="Times New Roman" w:hAnsi="Times New Roman" w:cs="Times New Roman"/>
          <w:b w:val="0"/>
          <w:i/>
          <w:vertAlign w:val="subscript"/>
        </w:rPr>
        <w:t>t0</w:t>
      </w:r>
      <w:r>
        <w:rPr>
          <w:rFonts w:ascii="Times New Roman" w:eastAsia="Times New Roman" w:hAnsi="Times New Roman" w:cs="Times New Roman"/>
          <w:b w:val="0"/>
        </w:rPr>
        <w:t xml:space="preserve"> relationship, simulated trees were generated representing various scenarios of evolutionary distinctness biased evolution. Simulated tree-growth models and scenarios were based on methods of [3]. Four scenarios were simulated:</w:t>
      </w:r>
    </w:p>
    <w:p w14:paraId="13CDA0D5" w14:textId="77777777" w:rsidR="00F8309D" w:rsidRDefault="00EB2AA9">
      <w:pPr>
        <w:pStyle w:val="Heading4"/>
        <w:numPr>
          <w:ilvl w:val="0"/>
          <w:numId w:val="1"/>
        </w:numPr>
        <w:spacing w:line="480" w:lineRule="auto"/>
        <w:rPr>
          <w:rFonts w:ascii="Times New Roman" w:eastAsia="Times New Roman" w:hAnsi="Times New Roman" w:cs="Times New Roman"/>
          <w:b w:val="0"/>
        </w:rPr>
      </w:pPr>
      <w:r>
        <w:rPr>
          <w:rFonts w:ascii="Times New Roman" w:eastAsia="Times New Roman" w:hAnsi="Times New Roman" w:cs="Times New Roman"/>
          <w:b w:val="0"/>
          <w:i/>
        </w:rPr>
        <w:t>Null</w:t>
      </w:r>
      <w:r>
        <w:rPr>
          <w:rFonts w:ascii="Times New Roman" w:eastAsia="Times New Roman" w:hAnsi="Times New Roman" w:cs="Times New Roman"/>
          <w:b w:val="0"/>
        </w:rPr>
        <w:t>: Evolutionary Distinctness has no impact on birth and death rates.</w:t>
      </w:r>
    </w:p>
    <w:p w14:paraId="529FD123" w14:textId="77777777" w:rsidR="00F8309D" w:rsidRDefault="00EB2AA9">
      <w:pPr>
        <w:pStyle w:val="Heading4"/>
        <w:numPr>
          <w:ilvl w:val="0"/>
          <w:numId w:val="1"/>
        </w:numPr>
        <w:spacing w:line="480" w:lineRule="auto"/>
        <w:rPr>
          <w:rFonts w:ascii="Times New Roman" w:eastAsia="Times New Roman" w:hAnsi="Times New Roman" w:cs="Times New Roman"/>
          <w:b w:val="0"/>
        </w:rPr>
      </w:pPr>
      <w:r>
        <w:rPr>
          <w:rFonts w:ascii="Times New Roman" w:eastAsia="Times New Roman" w:hAnsi="Times New Roman" w:cs="Times New Roman"/>
          <w:b w:val="0"/>
          <w:i/>
        </w:rPr>
        <w:t xml:space="preserve">Panchronic </w:t>
      </w:r>
      <w:r>
        <w:rPr>
          <w:rFonts w:ascii="Times New Roman" w:eastAsia="Times New Roman" w:hAnsi="Times New Roman" w:cs="Times New Roman"/>
          <w:b w:val="0"/>
        </w:rPr>
        <w:t>(Pan.): Evolutionary distinct tips have lower rates of speciation and extinction.</w:t>
      </w:r>
    </w:p>
    <w:p w14:paraId="582709AC" w14:textId="77777777" w:rsidR="00F8309D" w:rsidRDefault="00EB2AA9">
      <w:pPr>
        <w:pStyle w:val="Heading4"/>
        <w:numPr>
          <w:ilvl w:val="0"/>
          <w:numId w:val="1"/>
        </w:numPr>
        <w:spacing w:line="480" w:lineRule="auto"/>
        <w:rPr>
          <w:rFonts w:ascii="Times New Roman" w:eastAsia="Times New Roman" w:hAnsi="Times New Roman" w:cs="Times New Roman"/>
          <w:b w:val="0"/>
        </w:rPr>
      </w:pPr>
      <w:r>
        <w:rPr>
          <w:rFonts w:ascii="Times New Roman" w:eastAsia="Times New Roman" w:hAnsi="Times New Roman" w:cs="Times New Roman"/>
          <w:b w:val="0"/>
          <w:i/>
        </w:rPr>
        <w:t>Evolutionary Relict</w:t>
      </w:r>
      <w:r>
        <w:rPr>
          <w:rFonts w:ascii="Times New Roman" w:eastAsia="Times New Roman" w:hAnsi="Times New Roman" w:cs="Times New Roman"/>
          <w:b w:val="0"/>
        </w:rPr>
        <w:t xml:space="preserve"> (Rel.): Evolutionary distinct tips have higher rates of extinction and lower rates of speciation.</w:t>
      </w:r>
    </w:p>
    <w:p w14:paraId="6CAB0324" w14:textId="77777777" w:rsidR="00F8309D" w:rsidRDefault="00EB2AA9">
      <w:pPr>
        <w:pStyle w:val="Heading4"/>
        <w:numPr>
          <w:ilvl w:val="0"/>
          <w:numId w:val="1"/>
        </w:numPr>
        <w:spacing w:line="480" w:lineRule="auto"/>
        <w:rPr>
          <w:rFonts w:ascii="Times New Roman" w:eastAsia="Times New Roman" w:hAnsi="Times New Roman" w:cs="Times New Roman"/>
          <w:b w:val="0"/>
        </w:rPr>
      </w:pPr>
      <w:r>
        <w:rPr>
          <w:rFonts w:ascii="Times New Roman" w:eastAsia="Times New Roman" w:hAnsi="Times New Roman" w:cs="Times New Roman"/>
          <w:b w:val="0"/>
          <w:i/>
        </w:rPr>
        <w:t>Phylogenetic Fuse</w:t>
      </w:r>
      <w:r>
        <w:rPr>
          <w:rFonts w:ascii="Times New Roman" w:eastAsia="Times New Roman" w:hAnsi="Times New Roman" w:cs="Times New Roman"/>
          <w:b w:val="0"/>
        </w:rPr>
        <w:t xml:space="preserve"> (P.F.): Evolutionary distinct tips have higher rates of speciation and lower rates of extinction.</w:t>
      </w:r>
    </w:p>
    <w:p w14:paraId="77A47F59" w14:textId="1800AF5D" w:rsidR="00F8309D" w:rsidRDefault="00EB2AA9">
      <w:pPr>
        <w:pStyle w:val="Heading4"/>
        <w:spacing w:line="480" w:lineRule="auto"/>
        <w:rPr>
          <w:rFonts w:ascii="Times New Roman" w:eastAsia="Times New Roman" w:hAnsi="Times New Roman" w:cs="Times New Roman"/>
          <w:b w:val="0"/>
        </w:rPr>
      </w:pPr>
      <w:r>
        <w:rPr>
          <w:rFonts w:ascii="Times New Roman" w:eastAsia="Times New Roman" w:hAnsi="Times New Roman" w:cs="Times New Roman"/>
          <w:b w:val="0"/>
        </w:rPr>
        <w:lastRenderedPageBreak/>
        <w:t xml:space="preserve">For each scenario 100 trees were simulated containing both extinct and extant tips. A random tree of 10 tips was used as a seed from which to simulate. Initially, the birth-death rate was 3-1 but after a burn-in period of 10 iterations the birth rate was reduced to 1. </w:t>
      </w:r>
      <w:r w:rsidR="000E112A">
        <w:rPr>
          <w:rFonts w:ascii="Times New Roman" w:eastAsia="Times New Roman" w:hAnsi="Times New Roman" w:cs="Times New Roman"/>
          <w:b w:val="0"/>
        </w:rPr>
        <w:t>Speciation and extinction probabilities were determined directly from the ED values of the species in a tree for each iteration.</w:t>
      </w:r>
      <w:r>
        <w:rPr>
          <w:rFonts w:ascii="Times New Roman" w:eastAsia="Times New Roman" w:hAnsi="Times New Roman" w:cs="Times New Roman"/>
          <w:b w:val="0"/>
        </w:rPr>
        <w:t xml:space="preserve"> </w:t>
      </w:r>
      <w:r w:rsidRPr="00EB2AA9">
        <w:rPr>
          <w:rFonts w:ascii="Times New Roman" w:eastAsia="Times New Roman" w:hAnsi="Times New Roman" w:cs="Times New Roman"/>
          <w:b w:val="0"/>
        </w:rPr>
        <w:t>For example, in a tree of four species each with ED values of 1, 1, 1 and 2 then the latter species, under a panchronic scenario where high ED leads to lower speciation and extinction, will have probabilities of sp</w:t>
      </w:r>
      <w:r>
        <w:rPr>
          <w:rFonts w:ascii="Times New Roman" w:eastAsia="Times New Roman" w:hAnsi="Times New Roman" w:cs="Times New Roman"/>
          <w:b w:val="0"/>
        </w:rPr>
        <w:t xml:space="preserve">eciating and going extinct as </w:t>
      </w:r>
      <w:r w:rsidRPr="00EB2AA9">
        <w:rPr>
          <w:rFonts w:ascii="Times New Roman" w:eastAsia="Times New Roman" w:hAnsi="Times New Roman" w:cs="Times New Roman"/>
          <w:b w:val="0"/>
        </w:rPr>
        <w:t>its relative ED value</w:t>
      </w:r>
      <w:r>
        <w:rPr>
          <w:rFonts w:ascii="Times New Roman" w:eastAsia="Times New Roman" w:hAnsi="Times New Roman" w:cs="Times New Roman"/>
          <w:b w:val="0"/>
        </w:rPr>
        <w:t xml:space="preserve">: </w:t>
      </w:r>
      <m:oMath>
        <m:f>
          <m:fPr>
            <m:ctrlPr>
              <w:rPr>
                <w:rFonts w:ascii="Cambria Math" w:eastAsia="Times New Roman" w:hAnsi="Cambria Math" w:cs="Times New Roman"/>
                <w:b w:val="0"/>
                <w:i/>
              </w:rPr>
            </m:ctrlPr>
          </m:fPr>
          <m:num>
            <m:r>
              <w:rPr>
                <w:rFonts w:ascii="Cambria Math" w:eastAsia="Times New Roman" w:hAnsi="Cambria Math" w:cs="Times New Roman"/>
              </w:rPr>
              <m:t>2</m:t>
            </m:r>
          </m:num>
          <m:den>
            <m:r>
              <w:rPr>
                <w:rFonts w:ascii="Cambria Math" w:eastAsia="Times New Roman" w:hAnsi="Cambria Math" w:cs="Times New Roman"/>
              </w:rPr>
              <m:t>5</m:t>
            </m:r>
          </m:den>
        </m:f>
      </m:oMath>
      <w:r>
        <w:rPr>
          <w:rFonts w:ascii="Times New Roman" w:eastAsia="Times New Roman" w:hAnsi="Times New Roman" w:cs="Times New Roman"/>
          <w:b w:val="0"/>
        </w:rPr>
        <w:t xml:space="preserve"> or 0.4</w:t>
      </w:r>
      <w:r w:rsidRPr="00EB2AA9">
        <w:rPr>
          <w:rFonts w:ascii="Times New Roman" w:eastAsia="Times New Roman" w:hAnsi="Times New Roman" w:cs="Times New Roman"/>
          <w:b w:val="0"/>
        </w:rPr>
        <w:t>. Under an evolutionary relict scenario the same species would have the same probability of speciation but a higher</w:t>
      </w:r>
      <w:r>
        <w:rPr>
          <w:rFonts w:ascii="Times New Roman" w:eastAsia="Times New Roman" w:hAnsi="Times New Roman" w:cs="Times New Roman"/>
          <w:b w:val="0"/>
        </w:rPr>
        <w:t xml:space="preserve"> probability of extinction, </w:t>
      </w:r>
      <w:r w:rsidRPr="00EB2AA9">
        <w:rPr>
          <w:rFonts w:ascii="Times New Roman" w:eastAsia="Times New Roman" w:hAnsi="Times New Roman" w:cs="Times New Roman"/>
          <w:b w:val="0"/>
        </w:rPr>
        <w:t>its inverse relative ED</w:t>
      </w:r>
      <w:r>
        <w:rPr>
          <w:rFonts w:ascii="Times New Roman" w:eastAsia="Times New Roman" w:hAnsi="Times New Roman" w:cs="Times New Roman"/>
          <w:b w:val="0"/>
        </w:rPr>
        <w:t xml:space="preserve">: </w:t>
      </w:r>
      <m:oMath>
        <m:r>
          <w:rPr>
            <w:rFonts w:ascii="Cambria Math" w:eastAsia="Times New Roman" w:hAnsi="Cambria Math" w:cs="Times New Roman"/>
          </w:rPr>
          <m:t xml:space="preserve">1- </m:t>
        </m:r>
        <m:f>
          <m:fPr>
            <m:ctrlPr>
              <w:rPr>
                <w:rFonts w:ascii="Cambria Math" w:eastAsia="Times New Roman" w:hAnsi="Cambria Math" w:cs="Times New Roman"/>
                <w:b w:val="0"/>
                <w:i/>
              </w:rPr>
            </m:ctrlPr>
          </m:fPr>
          <m:num>
            <m:r>
              <w:rPr>
                <w:rFonts w:ascii="Cambria Math" w:eastAsia="Times New Roman" w:hAnsi="Cambria Math" w:cs="Times New Roman"/>
              </w:rPr>
              <m:t>2</m:t>
            </m:r>
          </m:num>
          <m:den>
            <m:r>
              <w:rPr>
                <w:rFonts w:ascii="Cambria Math" w:eastAsia="Times New Roman" w:hAnsi="Cambria Math" w:cs="Times New Roman"/>
              </w:rPr>
              <m:t>5</m:t>
            </m:r>
          </m:den>
        </m:f>
      </m:oMath>
      <w:r>
        <w:rPr>
          <w:rFonts w:ascii="Times New Roman" w:eastAsia="Times New Roman" w:hAnsi="Times New Roman" w:cs="Times New Roman"/>
          <w:b w:val="0"/>
        </w:rPr>
        <w:t xml:space="preserve"> or 0.6</w:t>
      </w:r>
      <w:r w:rsidRPr="00EB2AA9">
        <w:rPr>
          <w:rFonts w:ascii="Times New Roman" w:eastAsia="Times New Roman" w:hAnsi="Times New Roman" w:cs="Times New Roman"/>
          <w:b w:val="0"/>
        </w:rPr>
        <w:t>.</w:t>
      </w:r>
      <w:r w:rsidR="000E112A">
        <w:rPr>
          <w:rFonts w:ascii="Times New Roman" w:eastAsia="Times New Roman" w:hAnsi="Times New Roman" w:cs="Times New Roman"/>
          <w:b w:val="0"/>
        </w:rPr>
        <w:t xml:space="preserve"> </w:t>
      </w:r>
      <w:r>
        <w:rPr>
          <w:rFonts w:ascii="Times New Roman" w:eastAsia="Times New Roman" w:hAnsi="Times New Roman" w:cs="Times New Roman"/>
          <w:b w:val="0"/>
        </w:rPr>
        <w:t xml:space="preserve">Trees were then simulated until </w:t>
      </w:r>
      <w:r w:rsidR="00804B13">
        <w:rPr>
          <w:rFonts w:ascii="Times New Roman" w:eastAsia="Times New Roman" w:hAnsi="Times New Roman" w:cs="Times New Roman"/>
          <w:b w:val="0"/>
        </w:rPr>
        <w:t xml:space="preserve">a total </w:t>
      </w:r>
      <w:r>
        <w:rPr>
          <w:rFonts w:ascii="Times New Roman" w:eastAsia="Times New Roman" w:hAnsi="Times New Roman" w:cs="Times New Roman"/>
          <w:b w:val="0"/>
        </w:rPr>
        <w:t>1000 tips</w:t>
      </w:r>
      <w:r w:rsidR="00804B13">
        <w:rPr>
          <w:rFonts w:ascii="Times New Roman" w:eastAsia="Times New Roman" w:hAnsi="Times New Roman" w:cs="Times New Roman"/>
          <w:b w:val="0"/>
        </w:rPr>
        <w:t xml:space="preserve"> (both representing </w:t>
      </w:r>
      <w:r w:rsidR="00804B13">
        <w:rPr>
          <w:rFonts w:ascii="Times New Roman" w:eastAsia="Times New Roman" w:hAnsi="Times New Roman" w:cs="Times New Roman"/>
          <w:b w:val="0"/>
        </w:rPr>
        <w:t>extinct and extant</w:t>
      </w:r>
      <w:r w:rsidR="00804B13">
        <w:rPr>
          <w:rFonts w:ascii="Times New Roman" w:eastAsia="Times New Roman" w:hAnsi="Times New Roman" w:cs="Times New Roman"/>
          <w:b w:val="0"/>
        </w:rPr>
        <w:t>)</w:t>
      </w:r>
      <w:r>
        <w:rPr>
          <w:rFonts w:ascii="Times New Roman" w:eastAsia="Times New Roman" w:hAnsi="Times New Roman" w:cs="Times New Roman"/>
          <w:b w:val="0"/>
        </w:rPr>
        <w:t xml:space="preserve"> were represented in the tree. Simulations were restarted for tree where all tips went extinct before 1000 tips had been reached. Each simulated tree was then sliced into 10 equally spaced time units representing the complete root-to-tip distance. To avoid any influence of the simulation seed tree and burn-in period the first 5 time units were excluded from subsequent analysis. Using the same methods as described in the main methods, log(ED</w:t>
      </w:r>
      <w:r>
        <w:rPr>
          <w:rFonts w:ascii="Times New Roman" w:eastAsia="Times New Roman" w:hAnsi="Times New Roman" w:cs="Times New Roman"/>
          <w:b w:val="0"/>
          <w:vertAlign w:val="subscript"/>
        </w:rPr>
        <w:t>t1</w:t>
      </w:r>
      <w:r>
        <w:rPr>
          <w:rFonts w:ascii="Times New Roman" w:eastAsia="Times New Roman" w:hAnsi="Times New Roman" w:cs="Times New Roman"/>
          <w:b w:val="0"/>
        </w:rPr>
        <w:t>) and log(ED</w:t>
      </w:r>
      <w:r>
        <w:rPr>
          <w:rFonts w:ascii="Times New Roman" w:eastAsia="Times New Roman" w:hAnsi="Times New Roman" w:cs="Times New Roman"/>
          <w:b w:val="0"/>
          <w:vertAlign w:val="subscript"/>
        </w:rPr>
        <w:t>t0</w:t>
      </w:r>
      <w:r>
        <w:rPr>
          <w:rFonts w:ascii="Times New Roman" w:eastAsia="Times New Roman" w:hAnsi="Times New Roman" w:cs="Times New Roman"/>
          <w:b w:val="0"/>
        </w:rPr>
        <w:t>) for all simulated clades were calculated from these time slices (figure S9).</w:t>
      </w:r>
    </w:p>
    <w:p w14:paraId="7CB68286" w14:textId="77777777" w:rsidR="00F8309D" w:rsidRDefault="00EB2AA9">
      <w:pPr>
        <w:pStyle w:val="Heading4"/>
        <w:spacing w:line="480" w:lineRule="auto"/>
        <w:rPr>
          <w:rFonts w:ascii="Times New Roman" w:eastAsia="Times New Roman" w:hAnsi="Times New Roman" w:cs="Times New Roman"/>
          <w:b w:val="0"/>
        </w:rPr>
      </w:pPr>
      <w:r>
        <w:rPr>
          <w:rFonts w:ascii="Times New Roman" w:eastAsia="Times New Roman" w:hAnsi="Times New Roman" w:cs="Times New Roman"/>
          <w:b w:val="0"/>
        </w:rPr>
        <w:t>The branch lengths of all the trees were rescaled by changing the age of the simulated trees from 1 to 164 to produce values equivalent the mammalian tree of life. Linear models were then estimated from these datasets for each scenario using R’s “lm” function. A process similar to that described in the main methods was then used to identify linear polynomial models that best described the log(ED</w:t>
      </w:r>
      <w:r>
        <w:rPr>
          <w:rFonts w:ascii="Times New Roman" w:eastAsia="Times New Roman" w:hAnsi="Times New Roman" w:cs="Times New Roman"/>
          <w:b w:val="0"/>
          <w:vertAlign w:val="subscript"/>
        </w:rPr>
        <w:t>t1</w:t>
      </w:r>
      <w:r>
        <w:rPr>
          <w:rFonts w:ascii="Times New Roman" w:eastAsia="Times New Roman" w:hAnsi="Times New Roman" w:cs="Times New Roman"/>
          <w:b w:val="0"/>
        </w:rPr>
        <w:t>) ~ log(ED</w:t>
      </w:r>
      <w:r>
        <w:rPr>
          <w:rFonts w:ascii="Times New Roman" w:eastAsia="Times New Roman" w:hAnsi="Times New Roman" w:cs="Times New Roman"/>
          <w:b w:val="0"/>
          <w:vertAlign w:val="subscript"/>
        </w:rPr>
        <w:t>t0</w:t>
      </w:r>
      <w:r>
        <w:rPr>
          <w:rFonts w:ascii="Times New Roman" w:eastAsia="Times New Roman" w:hAnsi="Times New Roman" w:cs="Times New Roman"/>
          <w:b w:val="0"/>
        </w:rPr>
        <w:t xml:space="preserve">) relationship of each scenario. </w:t>
      </w:r>
    </w:p>
    <w:p w14:paraId="00BA3F00" w14:textId="77777777" w:rsidR="00F8309D" w:rsidRDefault="00EB2AA9">
      <w:pPr>
        <w:pStyle w:val="Heading4"/>
        <w:spacing w:line="480" w:lineRule="auto"/>
        <w:rPr>
          <w:rFonts w:ascii="Times New Roman" w:eastAsia="Times New Roman" w:hAnsi="Times New Roman" w:cs="Times New Roman"/>
          <w:b w:val="0"/>
        </w:rPr>
      </w:pPr>
      <w:r>
        <w:rPr>
          <w:rFonts w:ascii="Times New Roman" w:eastAsia="Times New Roman" w:hAnsi="Times New Roman" w:cs="Times New Roman"/>
          <w:b w:val="0"/>
        </w:rPr>
        <w:t>All of the scripts for the analysis described in this section are available at the main author’s GitHub repository (</w:t>
      </w:r>
      <w:hyperlink r:id="rId6">
        <w:r>
          <w:rPr>
            <w:rStyle w:val="InternetLink"/>
            <w:rFonts w:ascii="Times New Roman" w:eastAsia="Times New Roman" w:hAnsi="Times New Roman" w:cs="Times New Roman"/>
            <w:b w:val="0"/>
          </w:rPr>
          <w:t>https://github.com/DomBennett/Project-karenina</w:t>
        </w:r>
      </w:hyperlink>
      <w:r>
        <w:rPr>
          <w:rFonts w:ascii="Times New Roman" w:eastAsia="Times New Roman" w:hAnsi="Times New Roman" w:cs="Times New Roman"/>
          <w:b w:val="0"/>
        </w:rPr>
        <w:t>) under the folder “additional_analysis”.</w:t>
      </w:r>
    </w:p>
    <w:p w14:paraId="361A07C0" w14:textId="77777777" w:rsidR="004E58F0" w:rsidRDefault="004E58F0">
      <w:pPr>
        <w:pStyle w:val="Heading4"/>
        <w:spacing w:line="480" w:lineRule="auto"/>
      </w:pPr>
    </w:p>
    <w:p w14:paraId="040FA145" w14:textId="77777777" w:rsidR="00F8309D" w:rsidRDefault="00EB2AA9">
      <w:pPr>
        <w:pStyle w:val="Heading4"/>
        <w:spacing w:line="480" w:lineRule="auto"/>
      </w:pPr>
      <w:r>
        <w:rPr>
          <w:rFonts w:ascii="Times New Roman" w:eastAsia="Times New Roman" w:hAnsi="Times New Roman" w:cs="Times New Roman"/>
        </w:rPr>
        <w:lastRenderedPageBreak/>
        <w:t>Mixed-Effects Models</w:t>
      </w:r>
    </w:p>
    <w:p w14:paraId="66AA855E" w14:textId="2EFC8804" w:rsidR="00F8309D" w:rsidRDefault="00EB2AA9">
      <w:pPr>
        <w:pStyle w:val="LO-normal"/>
        <w:spacing w:line="480" w:lineRule="auto"/>
      </w:pPr>
      <w:r>
        <w:rPr>
          <w:rFonts w:ascii="Times New Roman" w:eastAsia="Times New Roman" w:hAnsi="Times New Roman" w:cs="Times New Roman"/>
        </w:rPr>
        <w:t>Linear mixed-effects models (LMEMs) [36, 37] are an extension of generalised linear models and were originally developed to model relationships in experimental situations where important factors that influence the response variable are outside of the experimenter’s control. In LMEM terminology the variables outside of control are referred to as “random-effects” whereas the variables to be modelled are termed “fixed-effects”. In our case, the response variable is ED</w:t>
      </w:r>
      <w:r>
        <w:rPr>
          <w:rFonts w:ascii="Times New Roman" w:eastAsia="Times New Roman" w:hAnsi="Times New Roman" w:cs="Times New Roman"/>
          <w:vertAlign w:val="subscript"/>
        </w:rPr>
        <w:t>t1</w:t>
      </w:r>
      <w:r>
        <w:rPr>
          <w:rFonts w:ascii="Times New Roman" w:eastAsia="Times New Roman" w:hAnsi="Times New Roman" w:cs="Times New Roman"/>
        </w:rPr>
        <w:t xml:space="preserve"> and the main factor outside of control is </w:t>
      </w:r>
      <w:r>
        <w:rPr>
          <w:rFonts w:ascii="Times New Roman" w:eastAsia="Times New Roman" w:hAnsi="Times New Roman" w:cs="Times New Roman"/>
          <w:i/>
          <w:iCs/>
        </w:rPr>
        <w:t>epoch</w:t>
      </w:r>
      <w:r>
        <w:rPr>
          <w:rFonts w:ascii="Times New Roman" w:eastAsia="Times New Roman" w:hAnsi="Times New Roman" w:cs="Times New Roman"/>
        </w:rPr>
        <w:t>. The epoch transitions are outside of our control, as they do not represent the same length of time-step, they have different number of taxa and have different tree ages</w:t>
      </w:r>
      <w:r w:rsidR="00804B13">
        <w:rPr>
          <w:rFonts w:ascii="Times New Roman" w:eastAsia="Times New Roman" w:hAnsi="Times New Roman" w:cs="Times New Roman"/>
        </w:rPr>
        <w:t xml:space="preserve"> (i.e. the age of the Mammalian tree in the Jurassic was younger than it is today)</w:t>
      </w:r>
      <w:r>
        <w:rPr>
          <w:rFonts w:ascii="Times New Roman" w:eastAsia="Times New Roman" w:hAnsi="Times New Roman" w:cs="Times New Roman"/>
        </w:rPr>
        <w:t>. By specifying epoch in a model, we are able to model future ED as a function of past ED (</w:t>
      </w:r>
      <w:r>
        <w:rPr>
          <w:rFonts w:ascii="Times New Roman" w:eastAsia="Times New Roman" w:hAnsi="Times New Roman" w:cs="Times New Roman"/>
          <w:i/>
          <w:iCs/>
        </w:rPr>
        <w:t>ED</w:t>
      </w:r>
      <w:r>
        <w:rPr>
          <w:rFonts w:ascii="Times New Roman" w:eastAsia="Times New Roman" w:hAnsi="Times New Roman" w:cs="Times New Roman"/>
          <w:i/>
          <w:iCs/>
          <w:vertAlign w:val="subscript"/>
        </w:rPr>
        <w:t>t1</w:t>
      </w:r>
      <w:r>
        <w:rPr>
          <w:rFonts w:ascii="Times New Roman" w:eastAsia="Times New Roman" w:hAnsi="Times New Roman" w:cs="Times New Roman"/>
          <w:i/>
          <w:iCs/>
        </w:rPr>
        <w:t>~ED</w:t>
      </w:r>
      <w:r>
        <w:rPr>
          <w:rFonts w:ascii="Times New Roman" w:eastAsia="Times New Roman" w:hAnsi="Times New Roman" w:cs="Times New Roman"/>
          <w:i/>
          <w:iCs/>
          <w:vertAlign w:val="subscript"/>
        </w:rPr>
        <w:t>t0</w:t>
      </w:r>
      <w:r>
        <w:rPr>
          <w:rFonts w:ascii="Times New Roman" w:eastAsia="Times New Roman" w:hAnsi="Times New Roman" w:cs="Times New Roman"/>
        </w:rPr>
        <w:t xml:space="preserve">) while estimating the intercepts and slopes separately for each epoch. Functionally, this is equivalent to modelling each epoch separately but with the added benefits that the overall relationship between past and future ED can be estimated; issues of multiple significance tests are avoided; more than just epoch can be considered as a random-effect; and the influence of the random-effects can be better controlled. On this latter point, the LMEM approach allows us to control whether or how we estimate the intercepts and slopes of the random effects. For example, in our schematic, the model formula </w:t>
      </w:r>
      <w:r>
        <w:rPr>
          <w:rFonts w:ascii="Times New Roman" w:eastAsia="Times New Roman" w:hAnsi="Times New Roman" w:cs="Times New Roman"/>
          <w:i/>
          <w:iCs/>
        </w:rPr>
        <w:t>ED</w:t>
      </w:r>
      <w:r>
        <w:rPr>
          <w:rFonts w:ascii="Times New Roman" w:eastAsia="Times New Roman" w:hAnsi="Times New Roman" w:cs="Times New Roman"/>
          <w:i/>
          <w:vertAlign w:val="subscript"/>
        </w:rPr>
        <w:t>t1</w:t>
      </w:r>
      <w:r>
        <w:rPr>
          <w:rFonts w:ascii="Times New Roman" w:eastAsia="Times New Roman" w:hAnsi="Times New Roman" w:cs="Times New Roman"/>
          <w:i/>
        </w:rPr>
        <w:t>~ED</w:t>
      </w:r>
      <w:r>
        <w:rPr>
          <w:rFonts w:ascii="Times New Roman" w:eastAsia="Times New Roman" w:hAnsi="Times New Roman" w:cs="Times New Roman"/>
          <w:i/>
          <w:vertAlign w:val="subscript"/>
        </w:rPr>
        <w:t>t0</w:t>
      </w:r>
      <w:r>
        <w:rPr>
          <w:rFonts w:ascii="Times New Roman" w:eastAsia="Times New Roman" w:hAnsi="Times New Roman" w:cs="Times New Roman"/>
          <w:i/>
        </w:rPr>
        <w:t>+(1|epoch)</w:t>
      </w:r>
      <w:r>
        <w:rPr>
          <w:rFonts w:ascii="Times New Roman" w:eastAsia="Times New Roman" w:hAnsi="Times New Roman" w:cs="Times New Roman"/>
        </w:rPr>
        <w:t xml:space="preserve"> indicates modelling ED</w:t>
      </w:r>
      <w:r>
        <w:rPr>
          <w:rFonts w:ascii="Times New Roman" w:eastAsia="Times New Roman" w:hAnsi="Times New Roman" w:cs="Times New Roman"/>
          <w:vertAlign w:val="subscript"/>
        </w:rPr>
        <w:t>t1</w:t>
      </w:r>
      <w:r>
        <w:rPr>
          <w:rFonts w:ascii="Times New Roman" w:eastAsia="Times New Roman" w:hAnsi="Times New Roman" w:cs="Times New Roman"/>
        </w:rPr>
        <w:t xml:space="preserve"> as a function of ED</w:t>
      </w:r>
      <w:r>
        <w:rPr>
          <w:rFonts w:ascii="Times New Roman" w:eastAsia="Times New Roman" w:hAnsi="Times New Roman" w:cs="Times New Roman"/>
          <w:vertAlign w:val="subscript"/>
        </w:rPr>
        <w:t>t0</w:t>
      </w:r>
      <w:r>
        <w:rPr>
          <w:rFonts w:ascii="Times New Roman" w:eastAsia="Times New Roman" w:hAnsi="Times New Roman" w:cs="Times New Roman"/>
        </w:rPr>
        <w:t xml:space="preserve"> while considering epochs separately, in which case an independent intercept will be estimated for each epoch. Overall, however, the slope of the model will be estimated across all epochs. To also </w:t>
      </w:r>
      <w:r w:rsidR="00804B13">
        <w:rPr>
          <w:rFonts w:ascii="Times New Roman" w:eastAsia="Times New Roman" w:hAnsi="Times New Roman" w:cs="Times New Roman"/>
        </w:rPr>
        <w:t>control for the</w:t>
      </w:r>
      <w:r>
        <w:rPr>
          <w:rFonts w:ascii="Times New Roman" w:eastAsia="Times New Roman" w:hAnsi="Times New Roman" w:cs="Times New Roman"/>
        </w:rPr>
        <w:t xml:space="preserve"> influence of the random-effect in trend, not just scale, we can estimate random slopes for each epoch </w:t>
      </w:r>
      <w:r w:rsidR="00804B13">
        <w:rPr>
          <w:rFonts w:ascii="Times New Roman" w:eastAsia="Times New Roman" w:hAnsi="Times New Roman" w:cs="Times New Roman"/>
        </w:rPr>
        <w:t>by changing</w:t>
      </w:r>
      <w:r>
        <w:rPr>
          <w:rFonts w:ascii="Times New Roman" w:eastAsia="Times New Roman" w:hAnsi="Times New Roman" w:cs="Times New Roman"/>
        </w:rPr>
        <w:t xml:space="preserve"> the previous formula’s random-effects structure to </w:t>
      </w:r>
      <w:r>
        <w:rPr>
          <w:rFonts w:ascii="Times New Roman" w:eastAsia="Times New Roman" w:hAnsi="Times New Roman" w:cs="Times New Roman"/>
          <w:i/>
          <w:iCs/>
        </w:rPr>
        <w:t>ED</w:t>
      </w:r>
      <w:r>
        <w:rPr>
          <w:rFonts w:ascii="Times New Roman" w:eastAsia="Times New Roman" w:hAnsi="Times New Roman" w:cs="Times New Roman"/>
          <w:i/>
          <w:vertAlign w:val="subscript"/>
        </w:rPr>
        <w:t>t1</w:t>
      </w:r>
      <w:r>
        <w:rPr>
          <w:rFonts w:ascii="Times New Roman" w:eastAsia="Times New Roman" w:hAnsi="Times New Roman" w:cs="Times New Roman"/>
          <w:i/>
        </w:rPr>
        <w:t>~ED</w:t>
      </w:r>
      <w:r>
        <w:rPr>
          <w:rFonts w:ascii="Times New Roman" w:eastAsia="Times New Roman" w:hAnsi="Times New Roman" w:cs="Times New Roman"/>
          <w:i/>
          <w:vertAlign w:val="subscript"/>
        </w:rPr>
        <w:t>t0</w:t>
      </w:r>
      <w:r>
        <w:rPr>
          <w:rFonts w:ascii="Times New Roman" w:eastAsia="Times New Roman" w:hAnsi="Times New Roman" w:cs="Times New Roman"/>
          <w:i/>
        </w:rPr>
        <w:t>+(ED</w:t>
      </w:r>
      <w:r>
        <w:rPr>
          <w:rFonts w:ascii="Times New Roman" w:eastAsia="Times New Roman" w:hAnsi="Times New Roman" w:cs="Times New Roman"/>
          <w:i/>
          <w:vertAlign w:val="subscript"/>
        </w:rPr>
        <w:t>t0</w:t>
      </w:r>
      <w:r>
        <w:rPr>
          <w:rFonts w:ascii="Times New Roman" w:eastAsia="Times New Roman" w:hAnsi="Times New Roman" w:cs="Times New Roman"/>
          <w:i/>
        </w:rPr>
        <w:t>|epoch)</w:t>
      </w:r>
      <w:r>
        <w:rPr>
          <w:rFonts w:ascii="Times New Roman" w:eastAsia="Times New Roman" w:hAnsi="Times New Roman" w:cs="Times New Roman"/>
        </w:rPr>
        <w:t>.</w:t>
      </w:r>
    </w:p>
    <w:p w14:paraId="36CB606B" w14:textId="1E92D004" w:rsidR="00F8309D" w:rsidRDefault="00EB2AA9">
      <w:pPr>
        <w:pStyle w:val="LO-normal"/>
        <w:spacing w:line="480" w:lineRule="auto"/>
        <w:rPr>
          <w:rFonts w:ascii="Times New Roman" w:eastAsia="Times New Roman" w:hAnsi="Times New Roman" w:cs="Times New Roman"/>
        </w:rPr>
      </w:pPr>
      <w:r>
        <w:rPr>
          <w:rFonts w:ascii="Times New Roman" w:eastAsia="Times New Roman" w:hAnsi="Times New Roman" w:cs="Times New Roman"/>
        </w:rPr>
        <w:tab/>
        <w:t xml:space="preserve">The random effects formula structure can be used to add additional random effects. In addition to controlling for epoch transitions, we used LMEMs to also control for non-independence of taxonomic groups as we expect closely related </w:t>
      </w:r>
      <w:r w:rsidR="00804B13">
        <w:rPr>
          <w:rFonts w:ascii="Times New Roman" w:eastAsia="Times New Roman" w:hAnsi="Times New Roman" w:cs="Times New Roman"/>
        </w:rPr>
        <w:t>clades to have similar EDs, e.g. multiple genera of R</w:t>
      </w:r>
      <w:r>
        <w:rPr>
          <w:rFonts w:ascii="Times New Roman" w:eastAsia="Times New Roman" w:hAnsi="Times New Roman" w:cs="Times New Roman"/>
        </w:rPr>
        <w:t xml:space="preserve">odents </w:t>
      </w:r>
      <w:r w:rsidR="00804B13">
        <w:rPr>
          <w:rFonts w:ascii="Times New Roman" w:eastAsia="Times New Roman" w:hAnsi="Times New Roman" w:cs="Times New Roman"/>
        </w:rPr>
        <w:t xml:space="preserve">may </w:t>
      </w:r>
      <w:r>
        <w:rPr>
          <w:rFonts w:ascii="Times New Roman" w:eastAsia="Times New Roman" w:hAnsi="Times New Roman" w:cs="Times New Roman"/>
        </w:rPr>
        <w:t xml:space="preserve">have low </w:t>
      </w:r>
      <w:r w:rsidR="00804B13">
        <w:rPr>
          <w:rFonts w:ascii="Times New Roman" w:eastAsia="Times New Roman" w:hAnsi="Times New Roman" w:cs="Times New Roman"/>
        </w:rPr>
        <w:t xml:space="preserve">average ED </w:t>
      </w:r>
      <w:r>
        <w:rPr>
          <w:rFonts w:ascii="Times New Roman" w:eastAsia="Times New Roman" w:hAnsi="Times New Roman" w:cs="Times New Roman"/>
        </w:rPr>
        <w:t>values while</w:t>
      </w:r>
      <w:r w:rsidR="00804B13">
        <w:rPr>
          <w:rFonts w:ascii="Times New Roman" w:eastAsia="Times New Roman" w:hAnsi="Times New Roman" w:cs="Times New Roman"/>
        </w:rPr>
        <w:t xml:space="preserve"> multiple genera of</w:t>
      </w:r>
      <w:r>
        <w:rPr>
          <w:rFonts w:ascii="Times New Roman" w:eastAsia="Times New Roman" w:hAnsi="Times New Roman" w:cs="Times New Roman"/>
        </w:rPr>
        <w:t xml:space="preserve"> </w:t>
      </w:r>
      <w:r w:rsidR="00804B13">
        <w:rPr>
          <w:rFonts w:ascii="Times New Roman" w:eastAsia="Times New Roman" w:hAnsi="Times New Roman" w:cs="Times New Roman"/>
        </w:rPr>
        <w:t xml:space="preserve">Afrotheria may </w:t>
      </w:r>
      <w:bookmarkStart w:id="1" w:name="_GoBack"/>
      <w:bookmarkEnd w:id="1"/>
      <w:r>
        <w:rPr>
          <w:rFonts w:ascii="Times New Roman" w:eastAsia="Times New Roman" w:hAnsi="Times New Roman" w:cs="Times New Roman"/>
        </w:rPr>
        <w:t>have high</w:t>
      </w:r>
      <w:r w:rsidR="00804B13">
        <w:rPr>
          <w:rFonts w:ascii="Times New Roman" w:eastAsia="Times New Roman" w:hAnsi="Times New Roman" w:cs="Times New Roman"/>
        </w:rPr>
        <w:t xml:space="preserve"> average </w:t>
      </w:r>
      <w:r w:rsidR="00804B13">
        <w:rPr>
          <w:rFonts w:ascii="Times New Roman" w:eastAsia="Times New Roman" w:hAnsi="Times New Roman" w:cs="Times New Roman"/>
        </w:rPr>
        <w:lastRenderedPageBreak/>
        <w:t>ED</w:t>
      </w:r>
      <w:r>
        <w:rPr>
          <w:rFonts w:ascii="Times New Roman" w:eastAsia="Times New Roman" w:hAnsi="Times New Roman" w:cs="Times New Roman"/>
        </w:rPr>
        <w:t xml:space="preserve"> values. The additional taxonomic information can be specified in the random effects structure by sub-setting by orders, e.g. </w:t>
      </w:r>
      <w:r>
        <w:rPr>
          <w:rFonts w:ascii="Times New Roman" w:eastAsia="Times New Roman" w:hAnsi="Times New Roman" w:cs="Times New Roman"/>
          <w:i/>
          <w:iCs/>
        </w:rPr>
        <w:t>ED</w:t>
      </w:r>
      <w:r>
        <w:rPr>
          <w:rFonts w:ascii="Times New Roman" w:eastAsia="Times New Roman" w:hAnsi="Times New Roman" w:cs="Times New Roman"/>
          <w:i/>
          <w:vertAlign w:val="subscript"/>
        </w:rPr>
        <w:t>t1</w:t>
      </w:r>
      <w:r>
        <w:rPr>
          <w:rFonts w:ascii="Times New Roman" w:eastAsia="Times New Roman" w:hAnsi="Times New Roman" w:cs="Times New Roman"/>
          <w:i/>
        </w:rPr>
        <w:t>~ED</w:t>
      </w:r>
      <w:r>
        <w:rPr>
          <w:rFonts w:ascii="Times New Roman" w:eastAsia="Times New Roman" w:hAnsi="Times New Roman" w:cs="Times New Roman"/>
          <w:i/>
          <w:vertAlign w:val="subscript"/>
        </w:rPr>
        <w:t>t0</w:t>
      </w:r>
      <w:r>
        <w:rPr>
          <w:rFonts w:ascii="Times New Roman" w:eastAsia="Times New Roman" w:hAnsi="Times New Roman" w:cs="Times New Roman"/>
          <w:i/>
        </w:rPr>
        <w:t>+(1|epoch)+(1|order)</w:t>
      </w:r>
      <w:r>
        <w:rPr>
          <w:rFonts w:ascii="Times New Roman" w:eastAsia="Times New Roman" w:hAnsi="Times New Roman" w:cs="Times New Roman"/>
        </w:rPr>
        <w:t xml:space="preserve">, or species/clade IDs, e.g. </w:t>
      </w:r>
      <w:r>
        <w:rPr>
          <w:rFonts w:ascii="Times New Roman" w:eastAsia="Times New Roman" w:hAnsi="Times New Roman" w:cs="Times New Roman"/>
          <w:i/>
          <w:iCs/>
        </w:rPr>
        <w:t>ED</w:t>
      </w:r>
      <w:r>
        <w:rPr>
          <w:rFonts w:ascii="Times New Roman" w:eastAsia="Times New Roman" w:hAnsi="Times New Roman" w:cs="Times New Roman"/>
          <w:i/>
          <w:vertAlign w:val="subscript"/>
        </w:rPr>
        <w:t>t1</w:t>
      </w:r>
      <w:r>
        <w:rPr>
          <w:rFonts w:ascii="Times New Roman" w:eastAsia="Times New Roman" w:hAnsi="Times New Roman" w:cs="Times New Roman"/>
          <w:i/>
        </w:rPr>
        <w:t>~ED</w:t>
      </w:r>
      <w:r>
        <w:rPr>
          <w:rFonts w:ascii="Times New Roman" w:eastAsia="Times New Roman" w:hAnsi="Times New Roman" w:cs="Times New Roman"/>
          <w:i/>
          <w:vertAlign w:val="subscript"/>
        </w:rPr>
        <w:t>t0</w:t>
      </w:r>
      <w:r>
        <w:rPr>
          <w:rFonts w:ascii="Times New Roman" w:eastAsia="Times New Roman" w:hAnsi="Times New Roman" w:cs="Times New Roman"/>
          <w:i/>
        </w:rPr>
        <w:t>+(1|epoch)+(1|id)</w:t>
      </w:r>
      <w:r>
        <w:rPr>
          <w:rFonts w:ascii="Times New Roman" w:eastAsia="Times New Roman" w:hAnsi="Times New Roman" w:cs="Times New Roman"/>
        </w:rPr>
        <w:t xml:space="preserve">. The random effects structure can also allow hierarchical categories with which taxonomic ranks can be specified, e.g. </w:t>
      </w:r>
      <w:r>
        <w:rPr>
          <w:rFonts w:ascii="Times New Roman" w:eastAsia="Times New Roman" w:hAnsi="Times New Roman" w:cs="Times New Roman"/>
          <w:i/>
          <w:iCs/>
        </w:rPr>
        <w:t>ED</w:t>
      </w:r>
      <w:r>
        <w:rPr>
          <w:rFonts w:ascii="Times New Roman" w:eastAsia="Times New Roman" w:hAnsi="Times New Roman" w:cs="Times New Roman"/>
          <w:i/>
          <w:vertAlign w:val="subscript"/>
        </w:rPr>
        <w:t>t1</w:t>
      </w:r>
      <w:r>
        <w:rPr>
          <w:rFonts w:ascii="Times New Roman" w:eastAsia="Times New Roman" w:hAnsi="Times New Roman" w:cs="Times New Roman"/>
          <w:i/>
        </w:rPr>
        <w:t>~</w:t>
      </w:r>
      <w:r>
        <w:rPr>
          <w:rFonts w:ascii="Times New Roman" w:eastAsia="Times New Roman" w:hAnsi="Times New Roman" w:cs="Times New Roman"/>
          <w:i/>
          <w:iCs/>
        </w:rPr>
        <w:t xml:space="preserve"> ED</w:t>
      </w:r>
      <w:r>
        <w:rPr>
          <w:rFonts w:ascii="Times New Roman" w:eastAsia="Times New Roman" w:hAnsi="Times New Roman" w:cs="Times New Roman"/>
          <w:i/>
          <w:vertAlign w:val="subscript"/>
        </w:rPr>
        <w:t>t0</w:t>
      </w:r>
      <w:r>
        <w:rPr>
          <w:rFonts w:ascii="Times New Roman" w:eastAsia="Times New Roman" w:hAnsi="Times New Roman" w:cs="Times New Roman"/>
          <w:i/>
        </w:rPr>
        <w:t>+(1|epoch)+(1|order/genus/id)</w:t>
      </w:r>
      <w:r>
        <w:rPr>
          <w:rFonts w:ascii="Times New Roman" w:eastAsia="Times New Roman" w:hAnsi="Times New Roman" w:cs="Times New Roman"/>
        </w:rPr>
        <w:t>. For each extra level in the hierarchy, however, there is a non-linear gain in computation time, limiting the maximum number of levels that can be run.</w:t>
      </w:r>
    </w:p>
    <w:p w14:paraId="333EA75D" w14:textId="77777777" w:rsidR="00F8309D" w:rsidRDefault="00EB2AA9">
      <w:pPr>
        <w:pStyle w:val="LO-normal"/>
        <w:spacing w:line="480" w:lineRule="auto"/>
        <w:ind w:firstLine="720"/>
        <w:rPr>
          <w:rFonts w:ascii="Times New Roman" w:eastAsia="Times New Roman" w:hAnsi="Times New Roman" w:cs="Times New Roman"/>
        </w:rPr>
      </w:pPr>
      <w:r>
        <w:rPr>
          <w:rFonts w:ascii="Times New Roman" w:eastAsia="Times New Roman" w:hAnsi="Times New Roman" w:cs="Times New Roman"/>
        </w:rPr>
        <w:t>Our modelling approach was not to include all these terms into a single model from the start. Instead we began with the most basic model that consisted of only the response variable and the explanatory variable and then added these extra terms and random-effects structures to create increasingly complex models in order identify the simplest model that can explain the most observed variance. In tables 1 to 3 in the main text, each successive row shows a more complex model. We tested for significant differences in explained variance between these models using ANOVA and the Akaike Information Criterion (AIC) [38]. AIC is a measure of a model’s likelihood weighted by the number of estimated parameters, the lower its value the better the model fit.</w:t>
      </w:r>
    </w:p>
    <w:p w14:paraId="05A760FF" w14:textId="77777777" w:rsidR="00F8309D" w:rsidRDefault="00EB2AA9">
      <w:pPr>
        <w:pStyle w:val="LO-normal"/>
        <w:spacing w:line="480" w:lineRule="auto"/>
        <w:rPr>
          <w:rFonts w:ascii="Times New Roman" w:eastAsia="Times New Roman" w:hAnsi="Times New Roman" w:cs="Times New Roman"/>
        </w:rPr>
      </w:pPr>
      <w:r>
        <w:rPr>
          <w:rFonts w:ascii="Times New Roman" w:eastAsia="Times New Roman" w:hAnsi="Times New Roman" w:cs="Times New Roman"/>
        </w:rPr>
        <w:br/>
      </w:r>
      <w:r>
        <w:rPr>
          <w:rFonts w:ascii="Times New Roman" w:eastAsia="Times New Roman" w:hAnsi="Times New Roman" w:cs="Times New Roman"/>
          <w:b/>
        </w:rPr>
        <w:t xml:space="preserve">Comparing the </w:t>
      </w:r>
      <w:r>
        <w:rPr>
          <w:rFonts w:ascii="Times New Roman" w:eastAsia="Times New Roman" w:hAnsi="Times New Roman" w:cs="Times New Roman"/>
          <w:b/>
          <w:i/>
        </w:rPr>
        <w:t>Real</w:t>
      </w:r>
      <w:r>
        <w:rPr>
          <w:rFonts w:ascii="Times New Roman" w:eastAsia="Times New Roman" w:hAnsi="Times New Roman" w:cs="Times New Roman"/>
          <w:b/>
        </w:rPr>
        <w:t xml:space="preserve"> and the </w:t>
      </w:r>
      <w:r>
        <w:rPr>
          <w:rFonts w:ascii="Times New Roman" w:eastAsia="Times New Roman" w:hAnsi="Times New Roman" w:cs="Times New Roman"/>
          <w:b/>
          <w:i/>
        </w:rPr>
        <w:t>Random</w:t>
      </w:r>
      <w:bookmarkEnd w:id="0"/>
    </w:p>
    <w:p w14:paraId="0140D1AF" w14:textId="77777777" w:rsidR="00F8309D" w:rsidRDefault="00EB2AA9">
      <w:pPr>
        <w:pStyle w:val="LO-normal1"/>
        <w:spacing w:line="480" w:lineRule="auto"/>
      </w:pPr>
      <w:r>
        <w:rPr>
          <w:rFonts w:ascii="Times New Roman" w:eastAsia="Times New Roman" w:hAnsi="Times New Roman" w:cs="Times New Roman"/>
        </w:rPr>
        <w:t>Before modelling the relationship of ED</w:t>
      </w:r>
      <w:r>
        <w:rPr>
          <w:rFonts w:ascii="Times New Roman" w:eastAsia="Times New Roman" w:hAnsi="Times New Roman" w:cs="Times New Roman"/>
          <w:vertAlign w:val="subscript"/>
        </w:rPr>
        <w:t>t0</w:t>
      </w:r>
      <w:r>
        <w:rPr>
          <w:rFonts w:ascii="Times New Roman" w:eastAsia="Times New Roman" w:hAnsi="Times New Roman" w:cs="Times New Roman"/>
        </w:rPr>
        <w:t xml:space="preserve"> and ED</w:t>
      </w:r>
      <w:r>
        <w:rPr>
          <w:rFonts w:ascii="Times New Roman" w:eastAsia="Times New Roman" w:hAnsi="Times New Roman" w:cs="Times New Roman"/>
          <w:vertAlign w:val="subscript"/>
        </w:rPr>
        <w:t>t1</w:t>
      </w:r>
      <w:r>
        <w:rPr>
          <w:rFonts w:ascii="Times New Roman" w:eastAsia="Times New Roman" w:hAnsi="Times New Roman" w:cs="Times New Roman"/>
        </w:rPr>
        <w:t xml:space="preserve">, we first tested whether the </w:t>
      </w:r>
      <w:r>
        <w:rPr>
          <w:rFonts w:ascii="Times New Roman" w:eastAsia="Times New Roman" w:hAnsi="Times New Roman" w:cs="Times New Roman"/>
          <w:i/>
        </w:rPr>
        <w:t>real</w:t>
      </w:r>
      <w:r>
        <w:rPr>
          <w:rFonts w:ascii="Times New Roman" w:eastAsia="Times New Roman" w:hAnsi="Times New Roman" w:cs="Times New Roman"/>
        </w:rPr>
        <w:t xml:space="preserve"> distribution of trees (where fossils are added to trees based on fossil age and taxonomy) and their ED values differed significantly from the </w:t>
      </w:r>
      <w:r>
        <w:rPr>
          <w:rFonts w:ascii="Times New Roman" w:eastAsia="Times New Roman" w:hAnsi="Times New Roman" w:cs="Times New Roman"/>
          <w:i/>
        </w:rPr>
        <w:t>random</w:t>
      </w:r>
      <w:r>
        <w:rPr>
          <w:rFonts w:ascii="Times New Roman" w:eastAsia="Times New Roman" w:hAnsi="Times New Roman" w:cs="Times New Roman"/>
        </w:rPr>
        <w:t xml:space="preserve"> distribution (where fossils are added randomly). For the random placement, a mean 19,027 ± 1 fossil tips were added to the original 4,510 tipped mammalian supertree for each iteration. Initially, we determined whether the estimates of ED of the </w:t>
      </w:r>
      <w:r>
        <w:rPr>
          <w:rFonts w:ascii="Times New Roman" w:eastAsia="Times New Roman" w:hAnsi="Times New Roman" w:cs="Times New Roman"/>
          <w:i/>
        </w:rPr>
        <w:t>real</w:t>
      </w:r>
      <w:r>
        <w:rPr>
          <w:rFonts w:ascii="Times New Roman" w:eastAsia="Times New Roman" w:hAnsi="Times New Roman" w:cs="Times New Roman"/>
        </w:rPr>
        <w:t xml:space="preserve"> and </w:t>
      </w:r>
      <w:r>
        <w:rPr>
          <w:rFonts w:ascii="Times New Roman" w:eastAsia="Times New Roman" w:hAnsi="Times New Roman" w:cs="Times New Roman"/>
          <w:i/>
        </w:rPr>
        <w:t>random</w:t>
      </w:r>
      <w:r>
        <w:rPr>
          <w:rFonts w:ascii="Times New Roman" w:eastAsia="Times New Roman" w:hAnsi="Times New Roman" w:cs="Times New Roman"/>
        </w:rPr>
        <w:t xml:space="preserve"> had different distributions by comparing the mean and variance of the estimated values using the t-test and F-test, respectively. Secondly, we tested whether ED estimates of shared nodes was greater or smaller for the </w:t>
      </w:r>
      <w:r>
        <w:rPr>
          <w:rFonts w:ascii="Times New Roman" w:eastAsia="Times New Roman" w:hAnsi="Times New Roman" w:cs="Times New Roman"/>
          <w:i/>
        </w:rPr>
        <w:t>real</w:t>
      </w:r>
      <w:r>
        <w:rPr>
          <w:rFonts w:ascii="Times New Roman" w:eastAsia="Times New Roman" w:hAnsi="Times New Roman" w:cs="Times New Roman"/>
        </w:rPr>
        <w:t xml:space="preserve"> and </w:t>
      </w:r>
      <w:r>
        <w:rPr>
          <w:rFonts w:ascii="Times New Roman" w:eastAsia="Times New Roman" w:hAnsi="Times New Roman" w:cs="Times New Roman"/>
          <w:i/>
        </w:rPr>
        <w:t>random</w:t>
      </w:r>
      <w:r>
        <w:rPr>
          <w:rFonts w:ascii="Times New Roman" w:eastAsia="Times New Roman" w:hAnsi="Times New Roman" w:cs="Times New Roman"/>
        </w:rPr>
        <w:t xml:space="preserve"> distributions. </w:t>
      </w:r>
      <w:r>
        <w:rPr>
          <w:rFonts w:ascii="Times New Roman" w:eastAsia="Times New Roman" w:hAnsi="Times New Roman" w:cs="Times New Roman"/>
          <w:i/>
        </w:rPr>
        <w:t xml:space="preserve">Shared nodes </w:t>
      </w:r>
      <w:r>
        <w:rPr>
          <w:rFonts w:ascii="Times New Roman" w:eastAsia="Times New Roman" w:hAnsi="Times New Roman" w:cs="Times New Roman"/>
        </w:rPr>
        <w:t xml:space="preserve">are the nodes, which appear multiple times across the iterations. Because fossil placement in the </w:t>
      </w:r>
      <w:r>
        <w:rPr>
          <w:rFonts w:ascii="Times New Roman" w:eastAsia="Times New Roman" w:hAnsi="Times New Roman" w:cs="Times New Roman"/>
          <w:i/>
        </w:rPr>
        <w:t>random</w:t>
      </w:r>
      <w:r>
        <w:rPr>
          <w:rFonts w:ascii="Times New Roman" w:eastAsia="Times New Roman" w:hAnsi="Times New Roman" w:cs="Times New Roman"/>
        </w:rPr>
        <w:t xml:space="preserve"> is not informed by taxonomy, shared nodes in </w:t>
      </w:r>
      <w:r>
        <w:rPr>
          <w:rFonts w:ascii="Times New Roman" w:eastAsia="Times New Roman" w:hAnsi="Times New Roman" w:cs="Times New Roman"/>
        </w:rPr>
        <w:lastRenderedPageBreak/>
        <w:t xml:space="preserve">the </w:t>
      </w:r>
      <w:r>
        <w:rPr>
          <w:rFonts w:ascii="Times New Roman" w:eastAsia="Times New Roman" w:hAnsi="Times New Roman" w:cs="Times New Roman"/>
          <w:i/>
        </w:rPr>
        <w:t>random</w:t>
      </w:r>
      <w:r>
        <w:rPr>
          <w:rFonts w:ascii="Times New Roman" w:eastAsia="Times New Roman" w:hAnsi="Times New Roman" w:cs="Times New Roman"/>
        </w:rPr>
        <w:t xml:space="preserve"> are either due to their existing already within the tree or chance. If taxonomic information informs the stochastic adding process, we should expect ED estimates of shared nodes across the iterations of the </w:t>
      </w:r>
      <w:r>
        <w:rPr>
          <w:rFonts w:ascii="Times New Roman" w:eastAsia="Times New Roman" w:hAnsi="Times New Roman" w:cs="Times New Roman"/>
          <w:i/>
        </w:rPr>
        <w:t>real</w:t>
      </w:r>
      <w:r>
        <w:rPr>
          <w:rFonts w:ascii="Times New Roman" w:eastAsia="Times New Roman" w:hAnsi="Times New Roman" w:cs="Times New Roman"/>
        </w:rPr>
        <w:t xml:space="preserve"> to vary less than those in the </w:t>
      </w:r>
      <w:r>
        <w:rPr>
          <w:rFonts w:ascii="Times New Roman" w:eastAsia="Times New Roman" w:hAnsi="Times New Roman" w:cs="Times New Roman"/>
          <w:i/>
        </w:rPr>
        <w:t>random</w:t>
      </w:r>
      <w:r>
        <w:rPr>
          <w:rFonts w:ascii="Times New Roman" w:eastAsia="Times New Roman" w:hAnsi="Times New Roman" w:cs="Times New Roman"/>
        </w:rPr>
        <w:t xml:space="preserve">. To test this, we calculated the standard deviation of ED values estimated for shared nodes across the iterations, and tested whether the </w:t>
      </w:r>
      <w:r>
        <w:rPr>
          <w:rFonts w:ascii="Times New Roman" w:eastAsia="Times New Roman" w:hAnsi="Times New Roman" w:cs="Times New Roman"/>
          <w:i/>
        </w:rPr>
        <w:t>real</w:t>
      </w:r>
      <w:r>
        <w:rPr>
          <w:rFonts w:ascii="Times New Roman" w:eastAsia="Times New Roman" w:hAnsi="Times New Roman" w:cs="Times New Roman"/>
        </w:rPr>
        <w:t xml:space="preserve"> had a lower variance using a t-test.</w:t>
      </w:r>
    </w:p>
    <w:p w14:paraId="2EB8DF25" w14:textId="77777777" w:rsidR="00F8309D" w:rsidRDefault="00EB2AA9">
      <w:pPr>
        <w:pStyle w:val="LO-normal1"/>
        <w:spacing w:line="480" w:lineRule="auto"/>
        <w:ind w:firstLine="720"/>
      </w:pPr>
      <w:r>
        <w:rPr>
          <w:rFonts w:ascii="Times New Roman" w:eastAsia="Times New Roman" w:hAnsi="Times New Roman" w:cs="Times New Roman"/>
        </w:rPr>
        <w:t xml:space="preserve">The </w:t>
      </w:r>
      <w:r>
        <w:rPr>
          <w:rFonts w:ascii="Times New Roman" w:eastAsia="Times New Roman" w:hAnsi="Times New Roman" w:cs="Times New Roman"/>
          <w:i/>
        </w:rPr>
        <w:t>random</w:t>
      </w:r>
      <w:r>
        <w:rPr>
          <w:rFonts w:ascii="Times New Roman" w:eastAsia="Times New Roman" w:hAnsi="Times New Roman" w:cs="Times New Roman"/>
        </w:rPr>
        <w:t xml:space="preserve"> dataset was much bigger (213,427) than the </w:t>
      </w:r>
      <w:r>
        <w:rPr>
          <w:rFonts w:ascii="Times New Roman" w:eastAsia="Times New Roman" w:hAnsi="Times New Roman" w:cs="Times New Roman"/>
          <w:i/>
        </w:rPr>
        <w:t>real</w:t>
      </w:r>
      <w:r>
        <w:rPr>
          <w:rFonts w:ascii="Times New Roman" w:eastAsia="Times New Roman" w:hAnsi="Times New Roman" w:cs="Times New Roman"/>
        </w:rPr>
        <w:t xml:space="preserve"> (115,810) and the distribution of shared nodes was more even (1 - 0%, 5 - 25%, 23 - 50%, 49 - 75%, 100 - 100%). Like the </w:t>
      </w:r>
      <w:r>
        <w:rPr>
          <w:rFonts w:ascii="Times New Roman" w:eastAsia="Times New Roman" w:hAnsi="Times New Roman" w:cs="Times New Roman"/>
          <w:i/>
        </w:rPr>
        <w:t>real</w:t>
      </w:r>
      <w:r>
        <w:rPr>
          <w:rFonts w:ascii="Times New Roman" w:eastAsia="Times New Roman" w:hAnsi="Times New Roman" w:cs="Times New Roman"/>
        </w:rPr>
        <w:t xml:space="preserve">, the </w:t>
      </w:r>
      <w:r>
        <w:rPr>
          <w:rFonts w:ascii="Times New Roman" w:eastAsia="Times New Roman" w:hAnsi="Times New Roman" w:cs="Times New Roman"/>
          <w:i/>
        </w:rPr>
        <w:t>random</w:t>
      </w:r>
      <w:r>
        <w:rPr>
          <w:rFonts w:ascii="Times New Roman" w:eastAsia="Times New Roman" w:hAnsi="Times New Roman" w:cs="Times New Roman"/>
        </w:rPr>
        <w:t xml:space="preserve"> distribution also showed a positive non-linear relationship between ED</w:t>
      </w:r>
      <w:r>
        <w:rPr>
          <w:rFonts w:ascii="Times New Roman" w:eastAsia="Times New Roman" w:hAnsi="Times New Roman" w:cs="Times New Roman"/>
          <w:vertAlign w:val="subscript"/>
        </w:rPr>
        <w:t>t0</w:t>
      </w:r>
      <w:r>
        <w:rPr>
          <w:rFonts w:ascii="Times New Roman" w:eastAsia="Times New Roman" w:hAnsi="Times New Roman" w:cs="Times New Roman"/>
        </w:rPr>
        <w:t xml:space="preserve"> and ED</w:t>
      </w:r>
      <w:r>
        <w:rPr>
          <w:rFonts w:ascii="Times New Roman" w:eastAsia="Times New Roman" w:hAnsi="Times New Roman" w:cs="Times New Roman"/>
          <w:vertAlign w:val="subscript"/>
        </w:rPr>
        <w:t>t1</w:t>
      </w:r>
      <w:r>
        <w:rPr>
          <w:rFonts w:ascii="Times New Roman" w:eastAsia="Times New Roman" w:hAnsi="Times New Roman" w:cs="Times New Roman"/>
        </w:rPr>
        <w:t xml:space="preserve"> and differences between the epoch-to-epoch transitions were great, particularly at low ED values (figure S4). As for the </w:t>
      </w:r>
      <w:r>
        <w:rPr>
          <w:rFonts w:ascii="Times New Roman" w:eastAsia="Times New Roman" w:hAnsi="Times New Roman" w:cs="Times New Roman"/>
          <w:i/>
        </w:rPr>
        <w:t>real</w:t>
      </w:r>
      <w:r>
        <w:rPr>
          <w:rFonts w:ascii="Times New Roman" w:eastAsia="Times New Roman" w:hAnsi="Times New Roman" w:cs="Times New Roman"/>
        </w:rPr>
        <w:t>, we removed JU-CL and CL-CU transitions from all subsequent analysis.</w:t>
      </w:r>
    </w:p>
    <w:p w14:paraId="05556D9B" w14:textId="77777777" w:rsidR="00F8309D" w:rsidRDefault="00EB2AA9">
      <w:pPr>
        <w:pStyle w:val="LO-normal1"/>
        <w:spacing w:line="480" w:lineRule="auto"/>
        <w:rPr>
          <w:rFonts w:ascii="Times New Roman" w:eastAsia="Times New Roman" w:hAnsi="Times New Roman" w:cs="Times New Roman"/>
        </w:rPr>
      </w:pPr>
      <w:r>
        <w:rPr>
          <w:rFonts w:ascii="Times New Roman" w:eastAsia="Times New Roman" w:hAnsi="Times New Roman" w:cs="Times New Roman"/>
        </w:rPr>
        <w:tab/>
        <w:t>The estimated ED values of t1 and t0 (</w:t>
      </w:r>
      <w:r>
        <w:rPr>
          <w:rFonts w:eastAsia="Times New Roman"/>
        </w:rPr>
        <w:t>ΔED</w:t>
      </w:r>
      <w:r>
        <w:rPr>
          <w:rFonts w:ascii="Times New Roman" w:eastAsia="Times New Roman" w:hAnsi="Times New Roman" w:cs="Times New Roman"/>
        </w:rPr>
        <w:t>, calculated as ED</w:t>
      </w:r>
      <w:r>
        <w:rPr>
          <w:rFonts w:ascii="Times New Roman" w:eastAsia="Times New Roman" w:hAnsi="Times New Roman" w:cs="Times New Roman"/>
          <w:vertAlign w:val="subscript"/>
        </w:rPr>
        <w:t>t0</w:t>
      </w:r>
      <w:r>
        <w:rPr>
          <w:rFonts w:ascii="Times New Roman" w:eastAsia="Times New Roman" w:hAnsi="Times New Roman" w:cs="Times New Roman"/>
        </w:rPr>
        <w:t>-ED</w:t>
      </w:r>
      <w:r>
        <w:rPr>
          <w:rFonts w:ascii="Times New Roman" w:eastAsia="Times New Roman" w:hAnsi="Times New Roman" w:cs="Times New Roman"/>
          <w:vertAlign w:val="subscript"/>
        </w:rPr>
        <w:t>t1</w:t>
      </w:r>
      <w:r>
        <w:rPr>
          <w:rFonts w:ascii="Times New Roman" w:eastAsia="Times New Roman" w:hAnsi="Times New Roman" w:cs="Times New Roman"/>
        </w:rPr>
        <w:t xml:space="preserve">) for all nodes across all iterations differed significantly between the </w:t>
      </w:r>
      <w:r>
        <w:rPr>
          <w:rFonts w:ascii="Times New Roman" w:eastAsia="Times New Roman" w:hAnsi="Times New Roman" w:cs="Times New Roman"/>
          <w:i/>
        </w:rPr>
        <w:t>real</w:t>
      </w:r>
      <w:r>
        <w:rPr>
          <w:rFonts w:ascii="Times New Roman" w:eastAsia="Times New Roman" w:hAnsi="Times New Roman" w:cs="Times New Roman"/>
        </w:rPr>
        <w:t xml:space="preserve"> and </w:t>
      </w:r>
      <w:r>
        <w:rPr>
          <w:rFonts w:ascii="Times New Roman" w:eastAsia="Times New Roman" w:hAnsi="Times New Roman" w:cs="Times New Roman"/>
          <w:i/>
        </w:rPr>
        <w:t>random</w:t>
      </w:r>
      <w:r>
        <w:rPr>
          <w:rFonts w:ascii="Times New Roman" w:eastAsia="Times New Roman" w:hAnsi="Times New Roman" w:cs="Times New Roman"/>
        </w:rPr>
        <w:t xml:space="preserve">. The mean </w:t>
      </w:r>
      <w:r>
        <w:rPr>
          <w:rFonts w:eastAsia="Times New Roman"/>
        </w:rPr>
        <w:t>ΔED</w:t>
      </w:r>
      <w:r>
        <w:rPr>
          <w:rFonts w:ascii="Times New Roman" w:eastAsia="Times New Roman" w:hAnsi="Times New Roman" w:cs="Times New Roman"/>
        </w:rPr>
        <w:t xml:space="preserve"> for the </w:t>
      </w:r>
      <w:r>
        <w:rPr>
          <w:rFonts w:ascii="Times New Roman" w:eastAsia="Times New Roman" w:hAnsi="Times New Roman" w:cs="Times New Roman"/>
          <w:i/>
        </w:rPr>
        <w:t>real</w:t>
      </w:r>
      <w:r>
        <w:rPr>
          <w:rFonts w:ascii="Times New Roman" w:eastAsia="Times New Roman" w:hAnsi="Times New Roman" w:cs="Times New Roman"/>
        </w:rPr>
        <w:t xml:space="preserve"> was lower (-0.47) than that of the </w:t>
      </w:r>
      <w:r>
        <w:rPr>
          <w:rFonts w:ascii="Times New Roman" w:eastAsia="Times New Roman" w:hAnsi="Times New Roman" w:cs="Times New Roman"/>
          <w:i/>
        </w:rPr>
        <w:t>random</w:t>
      </w:r>
      <w:r>
        <w:rPr>
          <w:rFonts w:ascii="Times New Roman" w:eastAsia="Times New Roman" w:hAnsi="Times New Roman" w:cs="Times New Roman"/>
        </w:rPr>
        <w:t xml:space="preserve"> (-0.41) (t-test, t = -58.268, p &lt; 0.001). The spread also differed significantly. The variance of the </w:t>
      </w:r>
      <w:r>
        <w:rPr>
          <w:rFonts w:ascii="Times New Roman" w:eastAsia="Times New Roman" w:hAnsi="Times New Roman" w:cs="Times New Roman"/>
          <w:i/>
        </w:rPr>
        <w:t>real</w:t>
      </w:r>
      <w:r>
        <w:rPr>
          <w:rFonts w:ascii="Times New Roman" w:eastAsia="Times New Roman" w:hAnsi="Times New Roman" w:cs="Times New Roman"/>
        </w:rPr>
        <w:t xml:space="preserve"> </w:t>
      </w:r>
      <w:r>
        <w:rPr>
          <w:rFonts w:eastAsia="Times New Roman"/>
        </w:rPr>
        <w:t>ΔED</w:t>
      </w:r>
      <w:r>
        <w:rPr>
          <w:rFonts w:ascii="Times New Roman" w:eastAsia="Times New Roman" w:hAnsi="Times New Roman" w:cs="Times New Roman"/>
        </w:rPr>
        <w:t xml:space="preserve"> distribution (0.125) was significantly greater than the </w:t>
      </w:r>
      <w:r>
        <w:rPr>
          <w:rFonts w:ascii="Times New Roman" w:eastAsia="Times New Roman" w:hAnsi="Times New Roman" w:cs="Times New Roman"/>
          <w:i/>
        </w:rPr>
        <w:t>random</w:t>
      </w:r>
      <w:r>
        <w:rPr>
          <w:rFonts w:ascii="Times New Roman" w:eastAsia="Times New Roman" w:hAnsi="Times New Roman" w:cs="Times New Roman"/>
        </w:rPr>
        <w:t xml:space="preserve"> (0.042) (F-test, F= 0.3385, variance ratio = 0.340, p &lt; 0.001). Additionally, the standard deviation of the mean </w:t>
      </w:r>
      <w:r>
        <w:rPr>
          <w:rFonts w:eastAsia="Times New Roman"/>
        </w:rPr>
        <w:t>ΔED</w:t>
      </w:r>
      <w:r>
        <w:rPr>
          <w:rFonts w:ascii="Times New Roman" w:eastAsia="Times New Roman" w:hAnsi="Times New Roman" w:cs="Times New Roman"/>
        </w:rPr>
        <w:t xml:space="preserve"> for shared nodes across the iterations was much greater for the </w:t>
      </w:r>
      <w:r>
        <w:rPr>
          <w:rFonts w:ascii="Times New Roman" w:eastAsia="Times New Roman" w:hAnsi="Times New Roman" w:cs="Times New Roman"/>
          <w:i/>
        </w:rPr>
        <w:t>random</w:t>
      </w:r>
      <w:r>
        <w:rPr>
          <w:rFonts w:ascii="Times New Roman" w:eastAsia="Times New Roman" w:hAnsi="Times New Roman" w:cs="Times New Roman"/>
        </w:rPr>
        <w:t xml:space="preserve"> (0.401) than the </w:t>
      </w:r>
      <w:r>
        <w:rPr>
          <w:rFonts w:ascii="Times New Roman" w:eastAsia="Times New Roman" w:hAnsi="Times New Roman" w:cs="Times New Roman"/>
          <w:i/>
        </w:rPr>
        <w:t>real</w:t>
      </w:r>
      <w:r>
        <w:rPr>
          <w:rFonts w:ascii="Times New Roman" w:eastAsia="Times New Roman" w:hAnsi="Times New Roman" w:cs="Times New Roman"/>
        </w:rPr>
        <w:t xml:space="preserve"> (0.327) (t-test, t=100.11, p &lt; 0.001). (See figure S5.)</w:t>
      </w:r>
    </w:p>
    <w:p w14:paraId="395A8626" w14:textId="77777777" w:rsidR="00F8309D" w:rsidRDefault="00F8309D">
      <w:pPr>
        <w:pStyle w:val="LO-normal1"/>
        <w:spacing w:line="480" w:lineRule="auto"/>
        <w:rPr>
          <w:rFonts w:ascii="Times New Roman" w:eastAsia="Times New Roman" w:hAnsi="Times New Roman" w:cs="Times New Roman"/>
        </w:rPr>
      </w:pPr>
    </w:p>
    <w:p w14:paraId="60D92FCA" w14:textId="77777777" w:rsidR="00F8309D" w:rsidRDefault="00EB2AA9">
      <w:pPr>
        <w:pStyle w:val="Heading4"/>
        <w:spacing w:line="480" w:lineRule="auto"/>
        <w:rPr>
          <w:rFonts w:ascii="Times New Roman" w:eastAsia="Times New Roman" w:hAnsi="Times New Roman" w:cs="Times New Roman"/>
        </w:rPr>
      </w:pPr>
      <w:r>
        <w:rPr>
          <w:rFonts w:ascii="Times New Roman" w:eastAsia="Times New Roman" w:hAnsi="Times New Roman" w:cs="Times New Roman"/>
        </w:rPr>
        <w:t xml:space="preserve">Comparing Model Outcomes between the </w:t>
      </w:r>
      <w:r>
        <w:rPr>
          <w:rFonts w:ascii="Times New Roman" w:eastAsia="Times New Roman" w:hAnsi="Times New Roman" w:cs="Times New Roman"/>
          <w:i/>
        </w:rPr>
        <w:t xml:space="preserve">Real </w:t>
      </w:r>
      <w:r>
        <w:rPr>
          <w:rFonts w:ascii="Times New Roman" w:eastAsia="Times New Roman" w:hAnsi="Times New Roman" w:cs="Times New Roman"/>
        </w:rPr>
        <w:t xml:space="preserve">and </w:t>
      </w:r>
      <w:r>
        <w:rPr>
          <w:rFonts w:ascii="Times New Roman" w:eastAsia="Times New Roman" w:hAnsi="Times New Roman" w:cs="Times New Roman"/>
          <w:i/>
        </w:rPr>
        <w:t>Random</w:t>
      </w:r>
    </w:p>
    <w:p w14:paraId="070B4196" w14:textId="77777777" w:rsidR="00F8309D" w:rsidRDefault="00EB2AA9">
      <w:pPr>
        <w:pStyle w:val="LO-normal1"/>
        <w:spacing w:line="480" w:lineRule="auto"/>
        <w:rPr>
          <w:rFonts w:ascii="Times New Roman" w:eastAsia="Times New Roman" w:hAnsi="Times New Roman" w:cs="Times New Roman"/>
        </w:rPr>
      </w:pPr>
      <w:r>
        <w:rPr>
          <w:rFonts w:ascii="Times New Roman" w:eastAsia="Times New Roman" w:hAnsi="Times New Roman" w:cs="Times New Roman"/>
        </w:rPr>
        <w:t xml:space="preserve">Due to the possibility that the non-linear observed relationship, as described in the main text, is a consequence of the random placement of fossils in the iterated trees, we modelled the same relationship as for the </w:t>
      </w:r>
      <w:r>
        <w:rPr>
          <w:rFonts w:ascii="Times New Roman" w:eastAsia="Times New Roman" w:hAnsi="Times New Roman" w:cs="Times New Roman"/>
          <w:i/>
        </w:rPr>
        <w:t xml:space="preserve">real </w:t>
      </w:r>
      <w:r>
        <w:rPr>
          <w:rFonts w:ascii="Times New Roman" w:eastAsia="Times New Roman" w:hAnsi="Times New Roman" w:cs="Times New Roman"/>
        </w:rPr>
        <w:t xml:space="preserve">with the </w:t>
      </w:r>
      <w:r>
        <w:rPr>
          <w:rFonts w:ascii="Times New Roman" w:eastAsia="Times New Roman" w:hAnsi="Times New Roman" w:cs="Times New Roman"/>
          <w:i/>
        </w:rPr>
        <w:t>random</w:t>
      </w:r>
      <w:r>
        <w:rPr>
          <w:rFonts w:ascii="Times New Roman" w:eastAsia="Times New Roman" w:hAnsi="Times New Roman" w:cs="Times New Roman"/>
        </w:rPr>
        <w:t xml:space="preserve">. Although we found a similar relationship for the </w:t>
      </w:r>
      <w:r>
        <w:rPr>
          <w:rFonts w:ascii="Times New Roman" w:eastAsia="Times New Roman" w:hAnsi="Times New Roman" w:cs="Times New Roman"/>
          <w:i/>
        </w:rPr>
        <w:t>random</w:t>
      </w:r>
      <w:r>
        <w:rPr>
          <w:rFonts w:ascii="Times New Roman" w:eastAsia="Times New Roman" w:hAnsi="Times New Roman" w:cs="Times New Roman"/>
        </w:rPr>
        <w:t xml:space="preserve"> iterated tree distribution using an equivalent model to </w:t>
      </w:r>
      <w:r>
        <w:rPr>
          <w:rFonts w:ascii="Times New Roman" w:eastAsia="Times New Roman" w:hAnsi="Times New Roman" w:cs="Times New Roman"/>
          <w:i/>
        </w:rPr>
        <w:t>obs2</w:t>
      </w:r>
      <w:r>
        <w:rPr>
          <w:rFonts w:ascii="Times New Roman" w:eastAsia="Times New Roman" w:hAnsi="Times New Roman" w:cs="Times New Roman"/>
        </w:rPr>
        <w:t>, we found the predicted values for ED</w:t>
      </w:r>
      <w:r>
        <w:rPr>
          <w:rFonts w:ascii="Times New Roman" w:eastAsia="Times New Roman" w:hAnsi="Times New Roman" w:cs="Times New Roman"/>
          <w:vertAlign w:val="subscript"/>
        </w:rPr>
        <w:t>t1</w:t>
      </w:r>
      <w:r>
        <w:rPr>
          <w:rFonts w:ascii="Times New Roman" w:eastAsia="Times New Roman" w:hAnsi="Times New Roman" w:cs="Times New Roman"/>
        </w:rPr>
        <w:t xml:space="preserve"> at high ED</w:t>
      </w:r>
      <w:r>
        <w:rPr>
          <w:rFonts w:ascii="Times New Roman" w:eastAsia="Times New Roman" w:hAnsi="Times New Roman" w:cs="Times New Roman"/>
          <w:vertAlign w:val="subscript"/>
        </w:rPr>
        <w:t>t0</w:t>
      </w:r>
      <w:r>
        <w:rPr>
          <w:rFonts w:ascii="Times New Roman" w:eastAsia="Times New Roman" w:hAnsi="Times New Roman" w:cs="Times New Roman"/>
        </w:rPr>
        <w:t xml:space="preserve"> were not as extreme (figure S7). Additionally, we compared the trend between ED</w:t>
      </w:r>
      <w:r>
        <w:rPr>
          <w:rFonts w:ascii="Times New Roman" w:eastAsia="Times New Roman" w:hAnsi="Times New Roman" w:cs="Times New Roman"/>
          <w:vertAlign w:val="subscript"/>
        </w:rPr>
        <w:t>t0</w:t>
      </w:r>
      <w:r>
        <w:rPr>
          <w:rFonts w:ascii="Times New Roman" w:eastAsia="Times New Roman" w:hAnsi="Times New Roman" w:cs="Times New Roman"/>
        </w:rPr>
        <w:t xml:space="preserve"> and ED</w:t>
      </w:r>
      <w:r>
        <w:rPr>
          <w:rFonts w:ascii="Times New Roman" w:eastAsia="Times New Roman" w:hAnsi="Times New Roman" w:cs="Times New Roman"/>
          <w:vertAlign w:val="subscript"/>
        </w:rPr>
        <w:t>t1</w:t>
      </w:r>
      <w:r>
        <w:rPr>
          <w:rFonts w:ascii="Times New Roman" w:eastAsia="Times New Roman" w:hAnsi="Times New Roman" w:cs="Times New Roman"/>
        </w:rPr>
        <w:t xml:space="preserve"> using a </w:t>
      </w:r>
      <w:r>
        <w:rPr>
          <w:rFonts w:ascii="Times New Roman" w:eastAsia="Times New Roman" w:hAnsi="Times New Roman" w:cs="Times New Roman"/>
        </w:rPr>
        <w:lastRenderedPageBreak/>
        <w:t xml:space="preserve">General Additive Model for species/clades that were shared 50 or fewer times across the </w:t>
      </w:r>
      <w:r>
        <w:rPr>
          <w:rFonts w:ascii="Times New Roman" w:eastAsia="Times New Roman" w:hAnsi="Times New Roman" w:cs="Times New Roman"/>
          <w:i/>
        </w:rPr>
        <w:t>real</w:t>
      </w:r>
      <w:r>
        <w:rPr>
          <w:rFonts w:ascii="Times New Roman" w:eastAsia="Times New Roman" w:hAnsi="Times New Roman" w:cs="Times New Roman"/>
        </w:rPr>
        <w:t xml:space="preserve"> iterations to those shared more than 50 times. The species/clades shared more than 50 times showed a stronger nonlinear relationship (figure S8). Therefore the points of which we can be more confident indicate a stronger nonlinear relationship indicating that any error in the stochastic fossil-adding process is likely to have </w:t>
      </w:r>
      <w:r>
        <w:rPr>
          <w:rFonts w:ascii="Times New Roman" w:eastAsia="Times New Roman" w:hAnsi="Times New Roman" w:cs="Times New Roman"/>
          <w:i/>
        </w:rPr>
        <w:t>underestimated</w:t>
      </w:r>
      <w:r>
        <w:rPr>
          <w:rFonts w:ascii="Times New Roman" w:eastAsia="Times New Roman" w:hAnsi="Times New Roman" w:cs="Times New Roman"/>
        </w:rPr>
        <w:t xml:space="preserve"> the nonlinear nature of the relationship rather than caused it.</w:t>
      </w:r>
    </w:p>
    <w:p w14:paraId="55DFCBDE" w14:textId="77777777" w:rsidR="00F8309D" w:rsidRDefault="00EB2AA9">
      <w:pPr>
        <w:pStyle w:val="LO-normal1"/>
        <w:spacing w:line="480" w:lineRule="auto"/>
        <w:ind w:firstLine="720"/>
        <w:rPr>
          <w:rFonts w:ascii="Times New Roman" w:eastAsia="Times New Roman" w:hAnsi="Times New Roman" w:cs="Times New Roman"/>
        </w:rPr>
      </w:pPr>
      <w:r>
        <w:rPr>
          <w:rFonts w:ascii="Times New Roman" w:eastAsia="Times New Roman" w:hAnsi="Times New Roman" w:cs="Times New Roman"/>
        </w:rPr>
        <w:t xml:space="preserve">The similarity of results between the </w:t>
      </w:r>
      <w:r>
        <w:rPr>
          <w:rFonts w:ascii="Times New Roman" w:eastAsia="Times New Roman" w:hAnsi="Times New Roman" w:cs="Times New Roman"/>
          <w:i/>
        </w:rPr>
        <w:t xml:space="preserve">real </w:t>
      </w:r>
      <w:r>
        <w:rPr>
          <w:rFonts w:ascii="Times New Roman" w:eastAsia="Times New Roman" w:hAnsi="Times New Roman" w:cs="Times New Roman"/>
        </w:rPr>
        <w:t xml:space="preserve">and </w:t>
      </w:r>
      <w:r>
        <w:rPr>
          <w:rFonts w:ascii="Times New Roman" w:eastAsia="Times New Roman" w:hAnsi="Times New Roman" w:cs="Times New Roman"/>
          <w:i/>
        </w:rPr>
        <w:t>random</w:t>
      </w:r>
      <w:r>
        <w:rPr>
          <w:rFonts w:ascii="Times New Roman" w:eastAsia="Times New Roman" w:hAnsi="Times New Roman" w:cs="Times New Roman"/>
        </w:rPr>
        <w:t xml:space="preserve"> datasets may be attributable to their both sharing the same base tree and the same ranges of fossil taxonomies and age ranges. This latter reason may have constrained the </w:t>
      </w:r>
      <w:r>
        <w:rPr>
          <w:rFonts w:ascii="Times New Roman" w:eastAsia="Times New Roman" w:hAnsi="Times New Roman" w:cs="Times New Roman"/>
          <w:i/>
        </w:rPr>
        <w:t>random</w:t>
      </w:r>
      <w:r>
        <w:rPr>
          <w:rFonts w:ascii="Times New Roman" w:eastAsia="Times New Roman" w:hAnsi="Times New Roman" w:cs="Times New Roman"/>
        </w:rPr>
        <w:t xml:space="preserve"> process to placing tips in similar positions to the </w:t>
      </w:r>
      <w:r>
        <w:rPr>
          <w:rFonts w:ascii="Times New Roman" w:eastAsia="Times New Roman" w:hAnsi="Times New Roman" w:cs="Times New Roman"/>
          <w:i/>
        </w:rPr>
        <w:t>real</w:t>
      </w:r>
      <w:r>
        <w:rPr>
          <w:rFonts w:ascii="Times New Roman" w:eastAsia="Times New Roman" w:hAnsi="Times New Roman" w:cs="Times New Roman"/>
        </w:rPr>
        <w:t xml:space="preserve">. Furthermore, despite the taxonomic constraint there were large numbers of species/clades that were effectively placed in the </w:t>
      </w:r>
      <w:r>
        <w:rPr>
          <w:rFonts w:ascii="Times New Roman" w:eastAsia="Times New Roman" w:hAnsi="Times New Roman" w:cs="Times New Roman"/>
          <w:i/>
        </w:rPr>
        <w:t>real</w:t>
      </w:r>
      <w:r>
        <w:rPr>
          <w:rFonts w:ascii="Times New Roman" w:eastAsia="Times New Roman" w:hAnsi="Times New Roman" w:cs="Times New Roman"/>
        </w:rPr>
        <w:t xml:space="preserve"> distribution randomly, as their positions were unique (i.e. not repeated in any other iteration). This finding applies particularly to early fossils, which had few branches on which to be added, due to the paucity of closely related species in the Recent. Where there are few branches and many fossil records, new tree sections, unique to each iteration, are generated as fossil records combine in novel ways. This difference in the spread of shared nodes may be due to the taxonomic constraint causing the consistent placement of uncertain nodes in unique points while also mapping certain nodes to the same locations. Additionally, the finding that so large a proportion of the </w:t>
      </w:r>
      <w:r>
        <w:rPr>
          <w:rFonts w:ascii="Times New Roman" w:eastAsia="Times New Roman" w:hAnsi="Times New Roman" w:cs="Times New Roman"/>
          <w:i/>
        </w:rPr>
        <w:t>real</w:t>
      </w:r>
      <w:r>
        <w:rPr>
          <w:rFonts w:ascii="Times New Roman" w:eastAsia="Times New Roman" w:hAnsi="Times New Roman" w:cs="Times New Roman"/>
        </w:rPr>
        <w:t xml:space="preserve"> dataset was essentially added randomly indicates that increasing the number of iterations beyond one hundred is unlikely to have changed these results.</w:t>
      </w:r>
    </w:p>
    <w:p w14:paraId="059CDC38" w14:textId="77777777" w:rsidR="00F8309D" w:rsidRDefault="00EB2AA9">
      <w:pPr>
        <w:rPr>
          <w:rFonts w:ascii="Times New Roman" w:eastAsia="Times New Roman" w:hAnsi="Times New Roman" w:cs="Times New Roman"/>
        </w:rPr>
      </w:pPr>
      <w:r>
        <w:br w:type="page"/>
      </w:r>
    </w:p>
    <w:p w14:paraId="6DB8F847" w14:textId="77777777" w:rsidR="00F8309D" w:rsidRDefault="00EB2AA9">
      <w:pPr>
        <w:pStyle w:val="Heading3"/>
        <w:spacing w:line="480" w:lineRule="auto"/>
        <w:rPr>
          <w:rFonts w:ascii="Times New Roman" w:eastAsia="Times New Roman" w:hAnsi="Times New Roman" w:cs="Times New Roman"/>
        </w:rPr>
      </w:pPr>
      <w:r>
        <w:rPr>
          <w:rFonts w:ascii="Times New Roman" w:eastAsia="Times New Roman" w:hAnsi="Times New Roman" w:cs="Times New Roman"/>
        </w:rPr>
        <w:lastRenderedPageBreak/>
        <w:t>Supplementary Figures</w:t>
      </w:r>
    </w:p>
    <w:p w14:paraId="6C19B4E0" w14:textId="77777777" w:rsidR="00F8309D" w:rsidRDefault="00EB2AA9">
      <w:pPr>
        <w:pStyle w:val="LO-normal1"/>
      </w:pPr>
      <w:r>
        <w:rPr>
          <w:noProof/>
          <w:lang w:val="en-US"/>
        </w:rPr>
        <w:drawing>
          <wp:inline distT="0" distB="0" distL="0" distR="0" wp14:anchorId="5EC40E28" wp14:editId="22600813">
            <wp:extent cx="6332220" cy="4434840"/>
            <wp:effectExtent l="0" t="0" r="0" b="0"/>
            <wp:docPr id="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5"/>
                    <pic:cNvPicPr>
                      <a:picLocks noChangeAspect="1" noChangeArrowheads="1"/>
                    </pic:cNvPicPr>
                  </pic:nvPicPr>
                  <pic:blipFill>
                    <a:blip r:embed="rId7"/>
                    <a:stretch>
                      <a:fillRect/>
                    </a:stretch>
                  </pic:blipFill>
                  <pic:spPr bwMode="auto">
                    <a:xfrm>
                      <a:off x="0" y="0"/>
                      <a:ext cx="6332220" cy="4434840"/>
                    </a:xfrm>
                    <a:prstGeom prst="rect">
                      <a:avLst/>
                    </a:prstGeom>
                  </pic:spPr>
                </pic:pic>
              </a:graphicData>
            </a:graphic>
          </wp:inline>
        </w:drawing>
      </w:r>
    </w:p>
    <w:p w14:paraId="313CE399" w14:textId="77777777" w:rsidR="00F8309D" w:rsidRDefault="00EB2AA9">
      <w:pPr>
        <w:pStyle w:val="LO-normal1"/>
        <w:spacing w:line="480" w:lineRule="auto"/>
        <w:jc w:val="center"/>
      </w:pPr>
      <w:r>
        <w:rPr>
          <w:rFonts w:ascii="Times New Roman" w:eastAsia="Times New Roman" w:hAnsi="Times New Roman" w:cs="Times New Roman"/>
          <w:color w:val="000000"/>
          <w:sz w:val="18"/>
          <w:szCs w:val="18"/>
        </w:rPr>
        <w:t xml:space="preserve">FIGURE S1. Fossil placement using treeman’s pinTips(). This example uses a phylogenetic tree of extant apes, and two fossil ape species. Comparing the taxonomy of the tree and the fossil records we can identify branches the fossils could potentially branch from; these windows of placement are then limited by the expected occurrence of the fossil. In the case of </w:t>
      </w:r>
      <w:r>
        <w:rPr>
          <w:rFonts w:ascii="Times New Roman" w:eastAsia="Times New Roman" w:hAnsi="Times New Roman" w:cs="Times New Roman"/>
          <w:i/>
          <w:color w:val="000000"/>
          <w:sz w:val="18"/>
          <w:szCs w:val="18"/>
        </w:rPr>
        <w:t>Homo erectus</w:t>
      </w:r>
      <w:r>
        <w:rPr>
          <w:rFonts w:ascii="Times New Roman" w:eastAsia="Times New Roman" w:hAnsi="Times New Roman" w:cs="Times New Roman"/>
          <w:color w:val="000000"/>
          <w:sz w:val="18"/>
          <w:szCs w:val="18"/>
        </w:rPr>
        <w:t xml:space="preserve">, its genus is </w:t>
      </w:r>
      <w:r>
        <w:rPr>
          <w:rFonts w:ascii="Times New Roman" w:eastAsia="Times New Roman" w:hAnsi="Times New Roman" w:cs="Times New Roman"/>
          <w:i/>
          <w:color w:val="000000"/>
          <w:sz w:val="18"/>
          <w:szCs w:val="18"/>
        </w:rPr>
        <w:t>Homo</w:t>
      </w:r>
      <w:r>
        <w:rPr>
          <w:rFonts w:ascii="Times New Roman" w:eastAsia="Times New Roman" w:hAnsi="Times New Roman" w:cs="Times New Roman"/>
          <w:color w:val="000000"/>
          <w:sz w:val="18"/>
          <w:szCs w:val="18"/>
        </w:rPr>
        <w:t xml:space="preserve"> and there is only one extant member of the </w:t>
      </w:r>
      <w:r>
        <w:rPr>
          <w:rFonts w:ascii="Times New Roman" w:eastAsia="Times New Roman" w:hAnsi="Times New Roman" w:cs="Times New Roman"/>
          <w:i/>
          <w:color w:val="000000"/>
          <w:sz w:val="18"/>
          <w:szCs w:val="18"/>
        </w:rPr>
        <w:t>Homo</w:t>
      </w:r>
      <w:r>
        <w:rPr>
          <w:rFonts w:ascii="Times New Roman" w:eastAsia="Times New Roman" w:hAnsi="Times New Roman" w:cs="Times New Roman"/>
          <w:color w:val="000000"/>
          <w:sz w:val="18"/>
          <w:szCs w:val="18"/>
        </w:rPr>
        <w:t xml:space="preserve"> genus in the tree. As such, a </w:t>
      </w:r>
      <w:r>
        <w:rPr>
          <w:rFonts w:ascii="Times New Roman" w:eastAsia="Times New Roman" w:hAnsi="Times New Roman" w:cs="Times New Roman"/>
          <w:i/>
          <w:color w:val="000000"/>
          <w:sz w:val="18"/>
          <w:szCs w:val="18"/>
        </w:rPr>
        <w:t>H. erectus</w:t>
      </w:r>
      <w:r>
        <w:rPr>
          <w:rFonts w:ascii="Times New Roman" w:eastAsia="Times New Roman" w:hAnsi="Times New Roman" w:cs="Times New Roman"/>
          <w:color w:val="000000"/>
          <w:sz w:val="18"/>
          <w:szCs w:val="18"/>
        </w:rPr>
        <w:t xml:space="preserve"> branch can begin, within the HE hatched box, anywhere along the pending edge of </w:t>
      </w:r>
      <w:r>
        <w:rPr>
          <w:rFonts w:ascii="Times New Roman" w:eastAsia="Times New Roman" w:hAnsi="Times New Roman" w:cs="Times New Roman"/>
          <w:i/>
          <w:color w:val="000000"/>
          <w:sz w:val="18"/>
          <w:szCs w:val="18"/>
        </w:rPr>
        <w:t>H. sapiens</w:t>
      </w:r>
      <w:r>
        <w:rPr>
          <w:rFonts w:ascii="Times New Roman" w:eastAsia="Times New Roman" w:hAnsi="Times New Roman" w:cs="Times New Roman"/>
          <w:color w:val="000000"/>
          <w:sz w:val="18"/>
          <w:szCs w:val="18"/>
        </w:rPr>
        <w:t xml:space="preserve"> and end at any point within the HE hatched box. In the case of </w:t>
      </w:r>
      <w:r>
        <w:rPr>
          <w:rFonts w:ascii="Times New Roman" w:eastAsia="Times New Roman" w:hAnsi="Times New Roman" w:cs="Times New Roman"/>
          <w:i/>
          <w:color w:val="000000"/>
          <w:sz w:val="18"/>
          <w:szCs w:val="18"/>
        </w:rPr>
        <w:t>Pongo hooijieri</w:t>
      </w:r>
      <w:r>
        <w:rPr>
          <w:rFonts w:ascii="Times New Roman" w:eastAsia="Times New Roman" w:hAnsi="Times New Roman" w:cs="Times New Roman"/>
          <w:color w:val="000000"/>
          <w:sz w:val="18"/>
          <w:szCs w:val="18"/>
        </w:rPr>
        <w:t xml:space="preserve">, the branch can begin, within the PH hatched box, anywhere along the parent branch of </w:t>
      </w:r>
      <w:r>
        <w:rPr>
          <w:rFonts w:ascii="Times New Roman" w:eastAsia="Times New Roman" w:hAnsi="Times New Roman" w:cs="Times New Roman"/>
          <w:i/>
          <w:color w:val="000000"/>
          <w:sz w:val="18"/>
          <w:szCs w:val="18"/>
        </w:rPr>
        <w:t>P. pygmaeus</w:t>
      </w:r>
      <w:r>
        <w:rPr>
          <w:rFonts w:ascii="Times New Roman" w:eastAsia="Times New Roman" w:hAnsi="Times New Roman" w:cs="Times New Roman"/>
          <w:color w:val="000000"/>
          <w:sz w:val="18"/>
          <w:szCs w:val="18"/>
        </w:rPr>
        <w:t xml:space="preserve"> and </w:t>
      </w:r>
      <w:r>
        <w:rPr>
          <w:rFonts w:ascii="Times New Roman" w:eastAsia="Times New Roman" w:hAnsi="Times New Roman" w:cs="Times New Roman"/>
          <w:i/>
          <w:color w:val="000000"/>
          <w:sz w:val="18"/>
          <w:szCs w:val="18"/>
        </w:rPr>
        <w:t xml:space="preserve">P. abelii </w:t>
      </w:r>
      <w:r>
        <w:rPr>
          <w:rFonts w:ascii="Times New Roman" w:eastAsia="Times New Roman" w:hAnsi="Times New Roman" w:cs="Times New Roman"/>
          <w:color w:val="000000"/>
          <w:sz w:val="18"/>
          <w:szCs w:val="18"/>
        </w:rPr>
        <w:t xml:space="preserve">or either of the pendant edges of </w:t>
      </w:r>
      <w:r>
        <w:rPr>
          <w:rFonts w:ascii="Times New Roman" w:eastAsia="Times New Roman" w:hAnsi="Times New Roman" w:cs="Times New Roman"/>
          <w:i/>
          <w:color w:val="000000"/>
          <w:sz w:val="18"/>
          <w:szCs w:val="18"/>
        </w:rPr>
        <w:t xml:space="preserve">P. pygmaeus </w:t>
      </w:r>
      <w:r>
        <w:rPr>
          <w:rFonts w:ascii="Times New Roman" w:eastAsia="Times New Roman" w:hAnsi="Times New Roman" w:cs="Times New Roman"/>
          <w:color w:val="000000"/>
          <w:sz w:val="18"/>
          <w:szCs w:val="18"/>
        </w:rPr>
        <w:t xml:space="preserve">and </w:t>
      </w:r>
      <w:r>
        <w:rPr>
          <w:rFonts w:ascii="Times New Roman" w:eastAsia="Times New Roman" w:hAnsi="Times New Roman" w:cs="Times New Roman"/>
          <w:i/>
          <w:color w:val="000000"/>
          <w:sz w:val="18"/>
          <w:szCs w:val="18"/>
        </w:rPr>
        <w:t>P. abelii</w:t>
      </w:r>
      <w:r>
        <w:rPr>
          <w:rFonts w:ascii="Times New Roman" w:eastAsia="Times New Roman" w:hAnsi="Times New Roman" w:cs="Times New Roman"/>
          <w:color w:val="000000"/>
          <w:sz w:val="18"/>
          <w:szCs w:val="18"/>
        </w:rPr>
        <w:t>.</w:t>
      </w:r>
    </w:p>
    <w:p w14:paraId="07F41F8E" w14:textId="77777777" w:rsidR="00F8309D" w:rsidRDefault="00F8309D">
      <w:pPr>
        <w:pStyle w:val="LO-normal1"/>
        <w:spacing w:line="480" w:lineRule="auto"/>
        <w:jc w:val="center"/>
        <w:rPr>
          <w:rFonts w:ascii="Times New Roman" w:eastAsia="Times New Roman" w:hAnsi="Times New Roman" w:cs="Times New Roman"/>
          <w:color w:val="000000"/>
          <w:sz w:val="18"/>
          <w:szCs w:val="18"/>
          <w:highlight w:val="yellow"/>
        </w:rPr>
      </w:pPr>
    </w:p>
    <w:p w14:paraId="3B6B3C30" w14:textId="77777777" w:rsidR="00F8309D" w:rsidRDefault="00EB2AA9">
      <w:pPr>
        <w:pStyle w:val="LO-normal1"/>
        <w:spacing w:line="480" w:lineRule="auto"/>
        <w:jc w:val="center"/>
        <w:rPr>
          <w:rFonts w:ascii="Times New Roman" w:eastAsia="Times New Roman" w:hAnsi="Times New Roman" w:cs="Times New Roman"/>
          <w:color w:val="000000"/>
          <w:sz w:val="18"/>
          <w:szCs w:val="18"/>
        </w:rPr>
      </w:pPr>
      <w:r>
        <w:rPr>
          <w:noProof/>
          <w:lang w:val="en-US"/>
        </w:rPr>
        <w:lastRenderedPageBreak/>
        <w:drawing>
          <wp:inline distT="0" distB="0" distL="0" distR="0" wp14:anchorId="592277D3" wp14:editId="1A5BB8F7">
            <wp:extent cx="5164455" cy="4173855"/>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noChangeArrowheads="1"/>
                    </pic:cNvPicPr>
                  </pic:nvPicPr>
                  <pic:blipFill>
                    <a:blip r:embed="rId8"/>
                    <a:stretch>
                      <a:fillRect/>
                    </a:stretch>
                  </pic:blipFill>
                  <pic:spPr bwMode="auto">
                    <a:xfrm>
                      <a:off x="0" y="0"/>
                      <a:ext cx="5164455" cy="4173855"/>
                    </a:xfrm>
                    <a:prstGeom prst="rect">
                      <a:avLst/>
                    </a:prstGeom>
                  </pic:spPr>
                </pic:pic>
              </a:graphicData>
            </a:graphic>
          </wp:inline>
        </w:drawing>
      </w:r>
      <w:r>
        <w:rPr>
          <w:rFonts w:ascii="Times New Roman" w:eastAsia="Times New Roman" w:hAnsi="Times New Roman" w:cs="Times New Roman"/>
          <w:color w:val="000000"/>
          <w:sz w:val="18"/>
          <w:szCs w:val="18"/>
        </w:rPr>
        <w:br/>
        <w:t>FIGURE S2.1 Example output of taxonomically constrained stochastic fossil placement: extinct and extant apes (Hominoidea) from the Eocene to the present.</w:t>
      </w:r>
      <w:r>
        <w:rPr>
          <w:rFonts w:ascii="Times New Roman" w:eastAsia="Times New Roman" w:hAnsi="Times New Roman" w:cs="Times New Roman"/>
          <w:color w:val="000000"/>
          <w:sz w:val="18"/>
          <w:szCs w:val="18"/>
        </w:rPr>
        <w:br/>
      </w:r>
      <w:r>
        <w:rPr>
          <w:noProof/>
          <w:lang w:val="en-US"/>
        </w:rPr>
        <w:lastRenderedPageBreak/>
        <w:drawing>
          <wp:inline distT="0" distB="0" distL="0" distR="8255" wp14:anchorId="4BD39101" wp14:editId="0E6EB2D3">
            <wp:extent cx="4893945" cy="4182745"/>
            <wp:effectExtent l="0" t="0" r="0"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noChangeArrowheads="1"/>
                    </pic:cNvPicPr>
                  </pic:nvPicPr>
                  <pic:blipFill>
                    <a:blip r:embed="rId9"/>
                    <a:stretch>
                      <a:fillRect/>
                    </a:stretch>
                  </pic:blipFill>
                  <pic:spPr bwMode="auto">
                    <a:xfrm>
                      <a:off x="0" y="0"/>
                      <a:ext cx="4893945" cy="4182745"/>
                    </a:xfrm>
                    <a:prstGeom prst="rect">
                      <a:avLst/>
                    </a:prstGeom>
                  </pic:spPr>
                </pic:pic>
              </a:graphicData>
            </a:graphic>
          </wp:inline>
        </w:drawing>
      </w:r>
      <w:r>
        <w:rPr>
          <w:rFonts w:ascii="Times New Roman" w:eastAsia="Times New Roman" w:hAnsi="Times New Roman" w:cs="Times New Roman"/>
          <w:color w:val="000000"/>
          <w:sz w:val="18"/>
          <w:szCs w:val="18"/>
        </w:rPr>
        <w:br/>
        <w:t>FIGURE S2.2 Example output of taxonomically constrained stochastic fossil placement: a reconstructed tree of extant apes during the Miocene. The tree appears ultrametric as it is a time slice taken from the tree in figure S.1.</w:t>
      </w:r>
    </w:p>
    <w:p w14:paraId="1BF0E0B8" w14:textId="77777777" w:rsidR="00F8309D" w:rsidRDefault="00EB2AA9">
      <w:pPr>
        <w:pStyle w:val="LO-normal1"/>
        <w:spacing w:line="480" w:lineRule="auto"/>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lastRenderedPageBreak/>
        <w:br/>
      </w:r>
      <w:r>
        <w:rPr>
          <w:noProof/>
          <w:lang w:val="en-US"/>
        </w:rPr>
        <w:drawing>
          <wp:inline distT="0" distB="0" distL="0" distR="0" wp14:anchorId="47CF0BDD" wp14:editId="6D06F480">
            <wp:extent cx="4910455" cy="4258945"/>
            <wp:effectExtent l="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noChangeArrowheads="1"/>
                    </pic:cNvPicPr>
                  </pic:nvPicPr>
                  <pic:blipFill>
                    <a:blip r:embed="rId10"/>
                    <a:stretch>
                      <a:fillRect/>
                    </a:stretch>
                  </pic:blipFill>
                  <pic:spPr bwMode="auto">
                    <a:xfrm>
                      <a:off x="0" y="0"/>
                      <a:ext cx="4910455" cy="4258945"/>
                    </a:xfrm>
                    <a:prstGeom prst="rect">
                      <a:avLst/>
                    </a:prstGeom>
                  </pic:spPr>
                </pic:pic>
              </a:graphicData>
            </a:graphic>
          </wp:inline>
        </w:drawing>
      </w:r>
      <w:r>
        <w:rPr>
          <w:rFonts w:ascii="Times New Roman" w:eastAsia="Times New Roman" w:hAnsi="Times New Roman" w:cs="Times New Roman"/>
          <w:color w:val="000000"/>
          <w:sz w:val="18"/>
          <w:szCs w:val="18"/>
        </w:rPr>
        <w:br/>
        <w:t>FIGURE S2.3 Example output of taxonomically constrained stochastic fossil placement: reconstructed tree of extant apes during the Pleistocene. The tree appears ultrametric as it is a time slice taken from the tree in figure S.1.</w:t>
      </w:r>
    </w:p>
    <w:p w14:paraId="02E9C02C" w14:textId="77777777" w:rsidR="00F8309D" w:rsidRDefault="00F8309D">
      <w:pPr>
        <w:pStyle w:val="LO-normal1"/>
        <w:spacing w:line="480" w:lineRule="auto"/>
        <w:jc w:val="center"/>
        <w:rPr>
          <w:rFonts w:ascii="Times New Roman" w:eastAsia="Times New Roman" w:hAnsi="Times New Roman" w:cs="Times New Roman"/>
          <w:color w:val="000000"/>
          <w:sz w:val="18"/>
          <w:szCs w:val="18"/>
        </w:rPr>
      </w:pPr>
    </w:p>
    <w:p w14:paraId="5C7E1CD8" w14:textId="77777777" w:rsidR="00F8309D" w:rsidRDefault="00F8309D">
      <w:pPr>
        <w:pStyle w:val="LO-normal1"/>
        <w:spacing w:line="480" w:lineRule="auto"/>
        <w:jc w:val="center"/>
        <w:rPr>
          <w:rFonts w:ascii="Times New Roman" w:eastAsia="Times New Roman" w:hAnsi="Times New Roman" w:cs="Times New Roman"/>
          <w:color w:val="000000"/>
          <w:sz w:val="18"/>
          <w:szCs w:val="18"/>
        </w:rPr>
      </w:pPr>
    </w:p>
    <w:p w14:paraId="6D256189" w14:textId="77777777" w:rsidR="00F8309D" w:rsidRDefault="00F8309D">
      <w:pPr>
        <w:pStyle w:val="LO-normal1"/>
        <w:spacing w:line="480" w:lineRule="auto"/>
        <w:jc w:val="center"/>
        <w:rPr>
          <w:rFonts w:ascii="Times New Roman" w:eastAsia="Times New Roman" w:hAnsi="Times New Roman" w:cs="Times New Roman"/>
          <w:color w:val="000000"/>
          <w:sz w:val="18"/>
          <w:szCs w:val="18"/>
        </w:rPr>
      </w:pPr>
    </w:p>
    <w:p w14:paraId="4E1BB829" w14:textId="77777777" w:rsidR="00F8309D" w:rsidRDefault="00EB2AA9">
      <w:pPr>
        <w:pStyle w:val="LO-normal1"/>
        <w:spacing w:line="480" w:lineRule="auto"/>
        <w:jc w:val="center"/>
        <w:rPr>
          <w:rFonts w:ascii="Times New Roman" w:eastAsia="Times New Roman" w:hAnsi="Times New Roman" w:cs="Times New Roman"/>
          <w:color w:val="000000"/>
          <w:sz w:val="18"/>
          <w:szCs w:val="18"/>
        </w:rPr>
      </w:pPr>
      <w:r>
        <w:rPr>
          <w:noProof/>
          <w:lang w:val="en-US"/>
        </w:rPr>
        <w:lastRenderedPageBreak/>
        <w:drawing>
          <wp:inline distT="0" distB="0" distL="0" distR="0" wp14:anchorId="3EDEBCD3" wp14:editId="01FEBAE8">
            <wp:extent cx="5039995" cy="3239135"/>
            <wp:effectExtent l="0" t="0" r="0" b="0"/>
            <wp:docPr id="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3"/>
                    <pic:cNvPicPr>
                      <a:picLocks noChangeAspect="1" noChangeArrowheads="1"/>
                    </pic:cNvPicPr>
                  </pic:nvPicPr>
                  <pic:blipFill>
                    <a:blip r:embed="rId11"/>
                    <a:stretch>
                      <a:fillRect/>
                    </a:stretch>
                  </pic:blipFill>
                  <pic:spPr bwMode="auto">
                    <a:xfrm>
                      <a:off x="0" y="0"/>
                      <a:ext cx="5039995" cy="3239135"/>
                    </a:xfrm>
                    <a:prstGeom prst="rect">
                      <a:avLst/>
                    </a:prstGeom>
                  </pic:spPr>
                </pic:pic>
              </a:graphicData>
            </a:graphic>
          </wp:inline>
        </w:drawing>
      </w:r>
    </w:p>
    <w:p w14:paraId="1874CC3F" w14:textId="77777777" w:rsidR="00F8309D" w:rsidRDefault="00EB2AA9">
      <w:pPr>
        <w:pStyle w:val="Subtitle"/>
        <w:spacing w:line="48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FIGURE S3. ED values of clades in an epoch (ED</w:t>
      </w:r>
      <w:r>
        <w:rPr>
          <w:rFonts w:ascii="Times New Roman" w:eastAsia="Times New Roman" w:hAnsi="Times New Roman" w:cs="Times New Roman"/>
          <w:color w:val="000000"/>
          <w:vertAlign w:val="subscript"/>
        </w:rPr>
        <w:t>t0</w:t>
      </w:r>
      <w:r>
        <w:rPr>
          <w:rFonts w:ascii="Times New Roman" w:eastAsia="Times New Roman" w:hAnsi="Times New Roman" w:cs="Times New Roman"/>
          <w:color w:val="000000"/>
        </w:rPr>
        <w:t>) against the following epoch (ED</w:t>
      </w:r>
      <w:r>
        <w:rPr>
          <w:rFonts w:ascii="Times New Roman" w:eastAsia="Times New Roman" w:hAnsi="Times New Roman" w:cs="Times New Roman"/>
          <w:color w:val="000000"/>
          <w:vertAlign w:val="subscript"/>
        </w:rPr>
        <w:t>t1</w:t>
      </w:r>
      <w:r>
        <w:rPr>
          <w:rFonts w:ascii="Times New Roman" w:eastAsia="Times New Roman" w:hAnsi="Times New Roman" w:cs="Times New Roman"/>
          <w:color w:val="000000"/>
        </w:rPr>
        <w:t xml:space="preserve">) for estimates generated from the </w:t>
      </w:r>
      <w:r>
        <w:rPr>
          <w:rFonts w:ascii="Times New Roman" w:eastAsia="Times New Roman" w:hAnsi="Times New Roman" w:cs="Times New Roman"/>
          <w:i/>
          <w:color w:val="000000"/>
        </w:rPr>
        <w:t>real</w:t>
      </w:r>
      <w:r>
        <w:rPr>
          <w:rFonts w:ascii="Times New Roman" w:eastAsia="Times New Roman" w:hAnsi="Times New Roman" w:cs="Times New Roman"/>
          <w:color w:val="000000"/>
        </w:rPr>
        <w:t xml:space="preserve"> distribution of molecular-fossil trees. Left, points of all clade/species coloured by specific epoch-epoch transition. Right, for visual purposes, estimated General Additive Models by epoch. Colours indicate: Pleistocene to Recent (Pe-Re), Pliocene to Pleistocene (Pi-Pe), Miocene to Pliocene (Mi-Pi), Oligocene to Miocene (Oi-Mi), Eocene to Oligocene (Eo-Oi), Paleocene to Eocene (Pa-Eo), Cretaceous Upper to Paleocene (CU-Pa), Cretaceous Lower to Cretaceous Upper (CL-CU) and Jurassic Upper to Cretaceous Lower (JU-CL).</w:t>
      </w:r>
    </w:p>
    <w:p w14:paraId="53CC4E13" w14:textId="77777777" w:rsidR="00F8309D" w:rsidRDefault="00F8309D">
      <w:pPr>
        <w:pStyle w:val="Subtitle"/>
        <w:spacing w:line="480" w:lineRule="auto"/>
        <w:jc w:val="center"/>
        <w:rPr>
          <w:rFonts w:ascii="Times New Roman" w:eastAsia="Times New Roman" w:hAnsi="Times New Roman" w:cs="Times New Roman"/>
          <w:color w:val="000000"/>
        </w:rPr>
      </w:pPr>
    </w:p>
    <w:p w14:paraId="5FDC09CA" w14:textId="77777777" w:rsidR="00F8309D" w:rsidRDefault="00F8309D">
      <w:pPr>
        <w:pStyle w:val="Subtitle"/>
        <w:spacing w:line="480" w:lineRule="auto"/>
        <w:jc w:val="center"/>
      </w:pPr>
    </w:p>
    <w:p w14:paraId="177070E3" w14:textId="77777777" w:rsidR="00F8309D" w:rsidRDefault="00F8309D">
      <w:pPr>
        <w:pStyle w:val="LO-normal1"/>
        <w:spacing w:line="480" w:lineRule="auto"/>
        <w:jc w:val="center"/>
        <w:rPr>
          <w:rFonts w:ascii="Times New Roman" w:eastAsia="Times New Roman" w:hAnsi="Times New Roman" w:cs="Times New Roman"/>
          <w:color w:val="000000"/>
          <w:sz w:val="18"/>
          <w:szCs w:val="18"/>
        </w:rPr>
      </w:pPr>
    </w:p>
    <w:p w14:paraId="4FA77A86" w14:textId="77777777" w:rsidR="00F8309D" w:rsidRDefault="00EB2AA9">
      <w:pPr>
        <w:pStyle w:val="LO-normal1"/>
        <w:spacing w:line="480" w:lineRule="auto"/>
        <w:jc w:val="center"/>
      </w:pPr>
      <w:r>
        <w:rPr>
          <w:noProof/>
          <w:lang w:val="en-US"/>
        </w:rPr>
        <w:lastRenderedPageBreak/>
        <w:drawing>
          <wp:inline distT="0" distB="0" distL="0" distR="0" wp14:anchorId="2454F800" wp14:editId="6ABAE7CC">
            <wp:extent cx="5039995" cy="3239135"/>
            <wp:effectExtent l="0" t="0" r="0" b="0"/>
            <wp:docPr id="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4"/>
                    <pic:cNvPicPr>
                      <a:picLocks noChangeAspect="1" noChangeArrowheads="1"/>
                    </pic:cNvPicPr>
                  </pic:nvPicPr>
                  <pic:blipFill>
                    <a:blip r:embed="rId12"/>
                    <a:stretch>
                      <a:fillRect/>
                    </a:stretch>
                  </pic:blipFill>
                  <pic:spPr bwMode="auto">
                    <a:xfrm>
                      <a:off x="0" y="0"/>
                      <a:ext cx="5039995" cy="3239135"/>
                    </a:xfrm>
                    <a:prstGeom prst="rect">
                      <a:avLst/>
                    </a:prstGeom>
                  </pic:spPr>
                </pic:pic>
              </a:graphicData>
            </a:graphic>
          </wp:inline>
        </w:drawing>
      </w:r>
    </w:p>
    <w:p w14:paraId="67143A26" w14:textId="77777777" w:rsidR="00F8309D" w:rsidRDefault="00EB2AA9">
      <w:pPr>
        <w:pStyle w:val="LO-normal1"/>
        <w:spacing w:line="480" w:lineRule="auto"/>
        <w:jc w:val="center"/>
      </w:pPr>
      <w:r>
        <w:rPr>
          <w:rFonts w:ascii="Times New Roman" w:eastAsia="Times New Roman" w:hAnsi="Times New Roman" w:cs="Times New Roman"/>
          <w:color w:val="000000"/>
          <w:sz w:val="18"/>
          <w:szCs w:val="18"/>
        </w:rPr>
        <w:t>FIGURE S4. ED values of clades in an epoch (ED</w:t>
      </w:r>
      <w:r>
        <w:rPr>
          <w:rFonts w:ascii="Times New Roman" w:eastAsia="Times New Roman" w:hAnsi="Times New Roman" w:cs="Times New Roman"/>
          <w:color w:val="000000"/>
          <w:sz w:val="18"/>
          <w:szCs w:val="18"/>
          <w:vertAlign w:val="subscript"/>
        </w:rPr>
        <w:t>t0</w:t>
      </w:r>
      <w:r>
        <w:rPr>
          <w:rFonts w:ascii="Times New Roman" w:eastAsia="Times New Roman" w:hAnsi="Times New Roman" w:cs="Times New Roman"/>
          <w:color w:val="000000"/>
          <w:sz w:val="18"/>
          <w:szCs w:val="18"/>
        </w:rPr>
        <w:t>) against the following epoch (ED</w:t>
      </w:r>
      <w:r>
        <w:rPr>
          <w:rFonts w:ascii="Times New Roman" w:eastAsia="Times New Roman" w:hAnsi="Times New Roman" w:cs="Times New Roman"/>
          <w:color w:val="000000"/>
          <w:sz w:val="18"/>
          <w:szCs w:val="18"/>
          <w:vertAlign w:val="subscript"/>
        </w:rPr>
        <w:t>t1</w:t>
      </w:r>
      <w:r>
        <w:rPr>
          <w:rFonts w:ascii="Times New Roman" w:eastAsia="Times New Roman" w:hAnsi="Times New Roman" w:cs="Times New Roman"/>
          <w:color w:val="000000"/>
          <w:sz w:val="18"/>
          <w:szCs w:val="18"/>
        </w:rPr>
        <w:t xml:space="preserve">) for estimates generated from the </w:t>
      </w:r>
      <w:r>
        <w:rPr>
          <w:rFonts w:ascii="Times New Roman" w:eastAsia="Times New Roman" w:hAnsi="Times New Roman" w:cs="Times New Roman"/>
          <w:i/>
          <w:color w:val="000000"/>
          <w:sz w:val="18"/>
          <w:szCs w:val="18"/>
        </w:rPr>
        <w:t>random</w:t>
      </w:r>
      <w:r>
        <w:rPr>
          <w:rFonts w:ascii="Times New Roman" w:eastAsia="Times New Roman" w:hAnsi="Times New Roman" w:cs="Times New Roman"/>
          <w:color w:val="000000"/>
          <w:sz w:val="18"/>
          <w:szCs w:val="18"/>
        </w:rPr>
        <w:t xml:space="preserve"> distribution of molecular-fossil trees. Left, points of all clade/species coloured by specific epoch-epoch transition. Right, for visual purposes, estimated General Additive Models by epoch. Colours indicate: Pleistocene to Recent (Pe-Re), Pliocene to Pleistocene (Pi-Pe), Miocene to Pliocene (Mi-Pi), Oligocene to Miocene (Oi-Mi), Eocene to Oligocene (Eo-Oi), Paleocene to Eocene (Pa-Eo), Cretaceous Upper to Paleocene (CU-Pa), Cretaceous Lower to Cretaceous Upper (CL-CU) and Jurassic Upper to Cretaceous Lower (JU-CL). </w:t>
      </w:r>
    </w:p>
    <w:p w14:paraId="0E07AAFC" w14:textId="77777777" w:rsidR="00F8309D" w:rsidRDefault="00F8309D">
      <w:pPr>
        <w:pStyle w:val="LO-normal1"/>
        <w:spacing w:line="480" w:lineRule="auto"/>
        <w:jc w:val="center"/>
        <w:rPr>
          <w:rFonts w:ascii="Times New Roman" w:eastAsia="Times New Roman" w:hAnsi="Times New Roman" w:cs="Times New Roman"/>
          <w:color w:val="000000"/>
          <w:sz w:val="18"/>
          <w:szCs w:val="18"/>
        </w:rPr>
      </w:pPr>
    </w:p>
    <w:p w14:paraId="57373D98" w14:textId="77777777" w:rsidR="00F8309D" w:rsidRDefault="00EB2AA9">
      <w:pPr>
        <w:pStyle w:val="LO-normal1"/>
        <w:spacing w:line="480" w:lineRule="auto"/>
        <w:jc w:val="center"/>
      </w:pPr>
      <w:r>
        <w:rPr>
          <w:noProof/>
          <w:lang w:val="en-US"/>
        </w:rPr>
        <w:lastRenderedPageBreak/>
        <w:drawing>
          <wp:inline distT="0" distB="0" distL="0" distR="0" wp14:anchorId="1F5B7F1D" wp14:editId="142834A2">
            <wp:extent cx="5039995" cy="5039995"/>
            <wp:effectExtent l="0" t="0" r="0" b="0"/>
            <wp:docPr id="7"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1"/>
                    <pic:cNvPicPr>
                      <a:picLocks noChangeAspect="1" noChangeArrowheads="1"/>
                    </pic:cNvPicPr>
                  </pic:nvPicPr>
                  <pic:blipFill>
                    <a:blip r:embed="rId13"/>
                    <a:stretch>
                      <a:fillRect/>
                    </a:stretch>
                  </pic:blipFill>
                  <pic:spPr bwMode="auto">
                    <a:xfrm>
                      <a:off x="0" y="0"/>
                      <a:ext cx="5039995" cy="5039995"/>
                    </a:xfrm>
                    <a:prstGeom prst="rect">
                      <a:avLst/>
                    </a:prstGeom>
                  </pic:spPr>
                </pic:pic>
              </a:graphicData>
            </a:graphic>
          </wp:inline>
        </w:drawing>
      </w:r>
    </w:p>
    <w:p w14:paraId="7D42C4F6" w14:textId="77777777" w:rsidR="00F8309D" w:rsidRDefault="00EB2AA9">
      <w:pPr>
        <w:pStyle w:val="LO-normal1"/>
        <w:spacing w:line="480" w:lineRule="auto"/>
        <w:jc w:val="center"/>
      </w:pPr>
      <w:r>
        <w:rPr>
          <w:rFonts w:ascii="Times New Roman" w:eastAsia="Times New Roman" w:hAnsi="Times New Roman" w:cs="Times New Roman"/>
          <w:color w:val="000000"/>
          <w:sz w:val="18"/>
          <w:szCs w:val="18"/>
        </w:rPr>
        <w:t xml:space="preserve">FIGURE S5. Comparing the </w:t>
      </w:r>
      <w:r>
        <w:rPr>
          <w:rFonts w:ascii="Times New Roman" w:eastAsia="Times New Roman" w:hAnsi="Times New Roman" w:cs="Times New Roman"/>
          <w:i/>
          <w:color w:val="000000"/>
          <w:sz w:val="18"/>
          <w:szCs w:val="18"/>
        </w:rPr>
        <w:t>real</w:t>
      </w:r>
      <w:r>
        <w:rPr>
          <w:rFonts w:ascii="Times New Roman" w:eastAsia="Times New Roman" w:hAnsi="Times New Roman" w:cs="Times New Roman"/>
          <w:color w:val="000000"/>
          <w:sz w:val="18"/>
          <w:szCs w:val="18"/>
        </w:rPr>
        <w:t xml:space="preserve"> and </w:t>
      </w:r>
      <w:r>
        <w:rPr>
          <w:rFonts w:ascii="Times New Roman" w:eastAsia="Times New Roman" w:hAnsi="Times New Roman" w:cs="Times New Roman"/>
          <w:i/>
          <w:color w:val="000000"/>
          <w:sz w:val="18"/>
          <w:szCs w:val="18"/>
        </w:rPr>
        <w:t>random</w:t>
      </w:r>
      <w:r>
        <w:rPr>
          <w:rFonts w:ascii="Times New Roman" w:eastAsia="Times New Roman" w:hAnsi="Times New Roman" w:cs="Times New Roman"/>
          <w:color w:val="000000"/>
          <w:sz w:val="18"/>
          <w:szCs w:val="18"/>
        </w:rPr>
        <w:t xml:space="preserve"> tree distributions; the real distribution has lower ED values and less variance. Top-left, the </w:t>
      </w:r>
      <w:r>
        <w:rPr>
          <w:rFonts w:ascii="Times New Roman" w:eastAsia="Times New Roman" w:hAnsi="Times New Roman" w:cs="Times New Roman"/>
          <w:i/>
          <w:color w:val="000000"/>
          <w:sz w:val="18"/>
          <w:szCs w:val="18"/>
        </w:rPr>
        <w:t>real</w:t>
      </w:r>
      <w:r>
        <w:rPr>
          <w:rFonts w:ascii="Times New Roman" w:eastAsia="Times New Roman" w:hAnsi="Times New Roman" w:cs="Times New Roman"/>
          <w:color w:val="000000"/>
          <w:sz w:val="18"/>
          <w:szCs w:val="18"/>
        </w:rPr>
        <w:t xml:space="preserve"> molecular-fossil tree distribution has a greater range of mean ΔED values calculated across iterations than the </w:t>
      </w:r>
      <w:r>
        <w:rPr>
          <w:rFonts w:ascii="Times New Roman" w:eastAsia="Times New Roman" w:hAnsi="Times New Roman" w:cs="Times New Roman"/>
          <w:i/>
          <w:color w:val="000000"/>
          <w:sz w:val="18"/>
          <w:szCs w:val="18"/>
        </w:rPr>
        <w:t>random</w:t>
      </w:r>
      <w:r>
        <w:rPr>
          <w:rFonts w:ascii="Times New Roman" w:eastAsia="Times New Roman" w:hAnsi="Times New Roman" w:cs="Times New Roman"/>
          <w:color w:val="000000"/>
          <w:sz w:val="18"/>
          <w:szCs w:val="18"/>
        </w:rPr>
        <w:t xml:space="preserve"> distribution. Top-right, proportion of times each node is shared across iterations for both </w:t>
      </w:r>
      <w:r>
        <w:rPr>
          <w:rFonts w:ascii="Times New Roman" w:eastAsia="Times New Roman" w:hAnsi="Times New Roman" w:cs="Times New Roman"/>
          <w:i/>
          <w:color w:val="000000"/>
          <w:sz w:val="18"/>
          <w:szCs w:val="18"/>
        </w:rPr>
        <w:t>real</w:t>
      </w:r>
      <w:r>
        <w:rPr>
          <w:rFonts w:ascii="Times New Roman" w:eastAsia="Times New Roman" w:hAnsi="Times New Roman" w:cs="Times New Roman"/>
          <w:color w:val="000000"/>
          <w:sz w:val="18"/>
          <w:szCs w:val="18"/>
        </w:rPr>
        <w:t xml:space="preserve"> and </w:t>
      </w:r>
      <w:r>
        <w:rPr>
          <w:rFonts w:ascii="Times New Roman" w:eastAsia="Times New Roman" w:hAnsi="Times New Roman" w:cs="Times New Roman"/>
          <w:i/>
          <w:color w:val="000000"/>
          <w:sz w:val="18"/>
          <w:szCs w:val="18"/>
        </w:rPr>
        <w:t>random</w:t>
      </w:r>
      <w:r>
        <w:rPr>
          <w:rFonts w:ascii="Times New Roman" w:eastAsia="Times New Roman" w:hAnsi="Times New Roman" w:cs="Times New Roman"/>
          <w:color w:val="000000"/>
          <w:sz w:val="18"/>
          <w:szCs w:val="18"/>
        </w:rPr>
        <w:t xml:space="preserve">. Bottom-left, the </w:t>
      </w:r>
      <w:r>
        <w:rPr>
          <w:rFonts w:ascii="Times New Roman" w:eastAsia="Times New Roman" w:hAnsi="Times New Roman" w:cs="Times New Roman"/>
          <w:i/>
          <w:color w:val="000000"/>
          <w:sz w:val="18"/>
          <w:szCs w:val="18"/>
        </w:rPr>
        <w:t xml:space="preserve">real </w:t>
      </w:r>
      <w:r>
        <w:rPr>
          <w:rFonts w:ascii="Times New Roman" w:eastAsia="Times New Roman" w:hAnsi="Times New Roman" w:cs="Times New Roman"/>
          <w:color w:val="000000"/>
          <w:sz w:val="18"/>
          <w:szCs w:val="18"/>
        </w:rPr>
        <w:t xml:space="preserve">distribution shows less variance of ΔED for identifiable clades (shared nodes) across the distribution than does the </w:t>
      </w:r>
      <w:r>
        <w:rPr>
          <w:rFonts w:ascii="Times New Roman" w:eastAsia="Times New Roman" w:hAnsi="Times New Roman" w:cs="Times New Roman"/>
          <w:i/>
          <w:color w:val="000000"/>
          <w:sz w:val="18"/>
          <w:szCs w:val="18"/>
        </w:rPr>
        <w:t>random</w:t>
      </w:r>
      <w:r>
        <w:rPr>
          <w:rFonts w:ascii="Times New Roman" w:eastAsia="Times New Roman" w:hAnsi="Times New Roman" w:cs="Times New Roman"/>
          <w:color w:val="000000"/>
          <w:sz w:val="18"/>
          <w:szCs w:val="18"/>
        </w:rPr>
        <w:t>.</w:t>
      </w:r>
    </w:p>
    <w:p w14:paraId="058AFBEB" w14:textId="77777777" w:rsidR="00F8309D" w:rsidRDefault="00F8309D">
      <w:pPr>
        <w:pStyle w:val="LO-normal1"/>
        <w:spacing w:line="480" w:lineRule="auto"/>
        <w:jc w:val="center"/>
      </w:pPr>
    </w:p>
    <w:p w14:paraId="3FEF253C" w14:textId="77777777" w:rsidR="00F8309D" w:rsidRDefault="00EB2AA9">
      <w:pPr>
        <w:pStyle w:val="LO-normal1"/>
        <w:spacing w:line="480" w:lineRule="auto"/>
        <w:jc w:val="center"/>
      </w:pPr>
      <w:r>
        <w:rPr>
          <w:noProof/>
          <w:lang w:val="en-US"/>
        </w:rPr>
        <w:lastRenderedPageBreak/>
        <w:drawing>
          <wp:inline distT="0" distB="12700" distL="0" distR="8890" wp14:anchorId="6577EE0F" wp14:editId="44F4B307">
            <wp:extent cx="4334510" cy="6744335"/>
            <wp:effectExtent l="0" t="0" r="0" b="0"/>
            <wp:docPr id="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6"/>
                    <pic:cNvPicPr>
                      <a:picLocks noChangeAspect="1" noChangeArrowheads="1"/>
                    </pic:cNvPicPr>
                  </pic:nvPicPr>
                  <pic:blipFill>
                    <a:blip r:embed="rId14"/>
                    <a:stretch>
                      <a:fillRect/>
                    </a:stretch>
                  </pic:blipFill>
                  <pic:spPr bwMode="auto">
                    <a:xfrm>
                      <a:off x="0" y="0"/>
                      <a:ext cx="4334510" cy="6744335"/>
                    </a:xfrm>
                    <a:prstGeom prst="rect">
                      <a:avLst/>
                    </a:prstGeom>
                  </pic:spPr>
                </pic:pic>
              </a:graphicData>
            </a:graphic>
          </wp:inline>
        </w:drawing>
      </w:r>
    </w:p>
    <w:p w14:paraId="547457D8" w14:textId="77777777" w:rsidR="00F8309D" w:rsidRDefault="00EB2AA9">
      <w:pPr>
        <w:pStyle w:val="LO-normal1"/>
        <w:spacing w:line="480" w:lineRule="auto"/>
      </w:pPr>
      <w:r>
        <w:rPr>
          <w:rFonts w:ascii="Times New Roman" w:eastAsia="Times New Roman" w:hAnsi="Times New Roman" w:cs="Times New Roman"/>
          <w:color w:val="000000"/>
          <w:sz w:val="18"/>
          <w:szCs w:val="18"/>
        </w:rPr>
        <w:t>FIGURE S6. Predicted log(ED</w:t>
      </w:r>
      <w:r>
        <w:rPr>
          <w:rFonts w:ascii="Times New Roman" w:eastAsia="Times New Roman" w:hAnsi="Times New Roman" w:cs="Times New Roman"/>
          <w:color w:val="000000"/>
          <w:sz w:val="18"/>
          <w:szCs w:val="18"/>
          <w:vertAlign w:val="subscript"/>
        </w:rPr>
        <w:t>t1</w:t>
      </w:r>
      <w:r>
        <w:rPr>
          <w:rFonts w:ascii="Times New Roman" w:eastAsia="Times New Roman" w:hAnsi="Times New Roman" w:cs="Times New Roman"/>
          <w:color w:val="000000"/>
          <w:sz w:val="18"/>
          <w:szCs w:val="18"/>
        </w:rPr>
        <w:t>) values generated from the observed non-linear model (</w:t>
      </w:r>
      <w:r>
        <w:rPr>
          <w:rFonts w:ascii="Times New Roman" w:eastAsia="Times New Roman" w:hAnsi="Times New Roman" w:cs="Times New Roman"/>
          <w:i/>
          <w:color w:val="000000"/>
          <w:sz w:val="18"/>
          <w:szCs w:val="18"/>
        </w:rPr>
        <w:t>m3b</w:t>
      </w:r>
      <w:r>
        <w:rPr>
          <w:rFonts w:ascii="Times New Roman" w:eastAsia="Times New Roman" w:hAnsi="Times New Roman" w:cs="Times New Roman"/>
          <w:color w:val="000000"/>
          <w:sz w:val="18"/>
          <w:szCs w:val="18"/>
        </w:rPr>
        <w:t>, solid red line) and the expected model (</w:t>
      </w:r>
      <w:r>
        <w:rPr>
          <w:rFonts w:ascii="Times New Roman" w:eastAsia="Times New Roman" w:hAnsi="Times New Roman" w:cs="Times New Roman"/>
          <w:i/>
          <w:color w:val="000000"/>
          <w:sz w:val="18"/>
          <w:szCs w:val="18"/>
        </w:rPr>
        <w:t>n1g</w:t>
      </w:r>
      <w:r>
        <w:rPr>
          <w:rFonts w:ascii="Times New Roman" w:eastAsia="Times New Roman" w:hAnsi="Times New Roman" w:cs="Times New Roman"/>
          <w:color w:val="000000"/>
          <w:sz w:val="18"/>
          <w:szCs w:val="18"/>
        </w:rPr>
        <w:t>, solid black line) for a representative dataset of a range of log(ED</w:t>
      </w:r>
      <w:r>
        <w:rPr>
          <w:rFonts w:ascii="Times New Roman" w:eastAsia="Times New Roman" w:hAnsi="Times New Roman" w:cs="Times New Roman"/>
          <w:color w:val="000000"/>
          <w:sz w:val="18"/>
          <w:szCs w:val="18"/>
          <w:vertAlign w:val="subscript"/>
        </w:rPr>
        <w:t>t0</w:t>
      </w:r>
      <w:r>
        <w:rPr>
          <w:rFonts w:ascii="Times New Roman" w:eastAsia="Times New Roman" w:hAnsi="Times New Roman" w:cs="Times New Roman"/>
          <w:color w:val="000000"/>
          <w:sz w:val="18"/>
          <w:szCs w:val="18"/>
        </w:rPr>
        <w:t>) values and a random subset of one hundred genera across the different epoch-to-epoch transitions. The dotted line indicates perfect linear relationship. For plotting, log(ED</w:t>
      </w:r>
      <w:r>
        <w:rPr>
          <w:rFonts w:ascii="Times New Roman" w:eastAsia="Times New Roman" w:hAnsi="Times New Roman" w:cs="Times New Roman"/>
          <w:color w:val="000000"/>
          <w:sz w:val="18"/>
          <w:szCs w:val="18"/>
          <w:vertAlign w:val="subscript"/>
        </w:rPr>
        <w:t>t1</w:t>
      </w:r>
      <w:r>
        <w:rPr>
          <w:rFonts w:ascii="Times New Roman" w:eastAsia="Times New Roman" w:hAnsi="Times New Roman" w:cs="Times New Roman"/>
          <w:color w:val="000000"/>
          <w:sz w:val="18"/>
          <w:szCs w:val="18"/>
        </w:rPr>
        <w:t>) estimates across the different genera were median averaged. Epochs: Pleistocene to Recent (Pe-Re), Pliocene to Pleistocene (Pi-Pe), Miocene to Pliocene (Mi-Pi), Oligocene to Miocene (Oi-Mi), Eocene to Oligocene (Eo-Oi), Paleocene to Eocene (Pa-Eo) and Cretaceous Upper to Paleocene (CU-Pa).</w:t>
      </w:r>
    </w:p>
    <w:p w14:paraId="0E5AECA3" w14:textId="77777777" w:rsidR="00F8309D" w:rsidRDefault="00EB2AA9">
      <w:pPr>
        <w:pStyle w:val="LO-normal1"/>
        <w:spacing w:line="480" w:lineRule="auto"/>
        <w:jc w:val="center"/>
        <w:rPr>
          <w:rFonts w:ascii="Times New Roman" w:eastAsia="Times New Roman" w:hAnsi="Times New Roman" w:cs="Times New Roman"/>
          <w:sz w:val="18"/>
          <w:szCs w:val="18"/>
        </w:rPr>
      </w:pPr>
      <w:r>
        <w:rPr>
          <w:noProof/>
          <w:lang w:val="en-US"/>
        </w:rPr>
        <w:lastRenderedPageBreak/>
        <w:drawing>
          <wp:inline distT="0" distB="3810" distL="0" distR="3810" wp14:anchorId="7A84FDDD" wp14:editId="5B0BFDD2">
            <wp:extent cx="5482590" cy="5482590"/>
            <wp:effectExtent l="0" t="0" r="0" b="0"/>
            <wp:docPr id="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8"/>
                    <pic:cNvPicPr>
                      <a:picLocks noChangeAspect="1" noChangeArrowheads="1"/>
                    </pic:cNvPicPr>
                  </pic:nvPicPr>
                  <pic:blipFill>
                    <a:blip r:embed="rId15"/>
                    <a:stretch>
                      <a:fillRect/>
                    </a:stretch>
                  </pic:blipFill>
                  <pic:spPr bwMode="auto">
                    <a:xfrm>
                      <a:off x="0" y="0"/>
                      <a:ext cx="5482590" cy="5482590"/>
                    </a:xfrm>
                    <a:prstGeom prst="rect">
                      <a:avLst/>
                    </a:prstGeom>
                  </pic:spPr>
                </pic:pic>
              </a:graphicData>
            </a:graphic>
          </wp:inline>
        </w:drawing>
      </w:r>
    </w:p>
    <w:p w14:paraId="5134E3A8" w14:textId="77777777" w:rsidR="00F8309D" w:rsidRDefault="00EB2AA9">
      <w:pPr>
        <w:pStyle w:val="LO-normal1"/>
        <w:spacing w:line="480" w:lineRule="auto"/>
        <w:jc w:val="center"/>
        <w:rPr>
          <w:rFonts w:ascii="Times New Roman" w:eastAsia="Times New Roman" w:hAnsi="Times New Roman" w:cs="Times New Roman"/>
          <w:color w:val="000000"/>
          <w:sz w:val="18"/>
          <w:szCs w:val="18"/>
        </w:rPr>
      </w:pPr>
      <w:r>
        <w:rPr>
          <w:rFonts w:ascii="Times New Roman" w:eastAsia="Times New Roman" w:hAnsi="Times New Roman" w:cs="Times New Roman"/>
          <w:sz w:val="18"/>
          <w:szCs w:val="18"/>
        </w:rPr>
        <w:t>FIGURE S7. Predicted ED</w:t>
      </w:r>
      <w:r>
        <w:rPr>
          <w:rFonts w:ascii="Times New Roman" w:eastAsia="Times New Roman" w:hAnsi="Times New Roman" w:cs="Times New Roman"/>
          <w:sz w:val="18"/>
          <w:szCs w:val="18"/>
          <w:vertAlign w:val="subscript"/>
        </w:rPr>
        <w:t>t1</w:t>
      </w:r>
      <w:r>
        <w:rPr>
          <w:rFonts w:ascii="Times New Roman" w:eastAsia="Times New Roman" w:hAnsi="Times New Roman" w:cs="Times New Roman"/>
          <w:sz w:val="18"/>
          <w:szCs w:val="18"/>
        </w:rPr>
        <w:t xml:space="preserve"> values generated from trinomial models with random effect structure of (1|genus), a comparable model to </w:t>
      </w:r>
      <w:r>
        <w:rPr>
          <w:rFonts w:ascii="Times New Roman" w:eastAsia="Times New Roman" w:hAnsi="Times New Roman" w:cs="Times New Roman"/>
          <w:i/>
          <w:sz w:val="18"/>
          <w:szCs w:val="18"/>
        </w:rPr>
        <w:t>m3b</w:t>
      </w:r>
      <w:r>
        <w:rPr>
          <w:rFonts w:ascii="Times New Roman" w:eastAsia="Times New Roman" w:hAnsi="Times New Roman" w:cs="Times New Roman"/>
          <w:sz w:val="18"/>
          <w:szCs w:val="18"/>
        </w:rPr>
        <w:t xml:space="preserve"> but which can be generated for both </w:t>
      </w:r>
      <w:r>
        <w:rPr>
          <w:rFonts w:ascii="Times New Roman" w:eastAsia="Times New Roman" w:hAnsi="Times New Roman" w:cs="Times New Roman"/>
          <w:i/>
          <w:sz w:val="18"/>
          <w:szCs w:val="18"/>
        </w:rPr>
        <w:t>real</w:t>
      </w:r>
      <w:r>
        <w:rPr>
          <w:rFonts w:ascii="Times New Roman" w:eastAsia="Times New Roman" w:hAnsi="Times New Roman" w:cs="Times New Roman"/>
          <w:sz w:val="18"/>
          <w:szCs w:val="18"/>
        </w:rPr>
        <w:t xml:space="preserve"> and </w:t>
      </w:r>
      <w:r>
        <w:rPr>
          <w:rFonts w:ascii="Times New Roman" w:eastAsia="Times New Roman" w:hAnsi="Times New Roman" w:cs="Times New Roman"/>
          <w:i/>
          <w:sz w:val="18"/>
          <w:szCs w:val="18"/>
        </w:rPr>
        <w:t xml:space="preserve">random </w:t>
      </w:r>
      <w:r>
        <w:rPr>
          <w:rFonts w:ascii="Times New Roman" w:eastAsia="Times New Roman" w:hAnsi="Times New Roman" w:cs="Times New Roman"/>
          <w:sz w:val="18"/>
          <w:szCs w:val="18"/>
        </w:rPr>
        <w:t xml:space="preserve">molecular-fossil distributions. Although both lines are similar, the </w:t>
      </w:r>
      <w:r>
        <w:rPr>
          <w:rFonts w:ascii="Times New Roman" w:eastAsia="Times New Roman" w:hAnsi="Times New Roman" w:cs="Times New Roman"/>
          <w:i/>
          <w:sz w:val="18"/>
          <w:szCs w:val="18"/>
        </w:rPr>
        <w:t>real</w:t>
      </w:r>
      <w:r>
        <w:rPr>
          <w:rFonts w:ascii="Times New Roman" w:eastAsia="Times New Roman" w:hAnsi="Times New Roman" w:cs="Times New Roman"/>
          <w:sz w:val="18"/>
          <w:szCs w:val="18"/>
        </w:rPr>
        <w:t xml:space="preserve"> line has higher ED</w:t>
      </w:r>
      <w:r>
        <w:rPr>
          <w:rFonts w:ascii="Times New Roman" w:eastAsia="Times New Roman" w:hAnsi="Times New Roman" w:cs="Times New Roman"/>
          <w:sz w:val="18"/>
          <w:szCs w:val="18"/>
          <w:vertAlign w:val="subscript"/>
        </w:rPr>
        <w:t xml:space="preserve">t1 </w:t>
      </w:r>
      <w:r>
        <w:rPr>
          <w:rFonts w:ascii="Times New Roman" w:eastAsia="Times New Roman" w:hAnsi="Times New Roman" w:cs="Times New Roman"/>
          <w:sz w:val="18"/>
          <w:szCs w:val="18"/>
        </w:rPr>
        <w:t>estimates for high ED</w:t>
      </w:r>
      <w:r>
        <w:rPr>
          <w:rFonts w:ascii="Times New Roman" w:eastAsia="Times New Roman" w:hAnsi="Times New Roman" w:cs="Times New Roman"/>
          <w:sz w:val="18"/>
          <w:szCs w:val="18"/>
          <w:vertAlign w:val="subscript"/>
        </w:rPr>
        <w:t>t0</w:t>
      </w:r>
      <w:r>
        <w:rPr>
          <w:rFonts w:ascii="Times New Roman" w:eastAsia="Times New Roman" w:hAnsi="Times New Roman" w:cs="Times New Roman"/>
          <w:sz w:val="18"/>
          <w:szCs w:val="18"/>
        </w:rPr>
        <w:t xml:space="preserve"> and lower ED</w:t>
      </w:r>
      <w:r>
        <w:rPr>
          <w:rFonts w:ascii="Times New Roman" w:eastAsia="Times New Roman" w:hAnsi="Times New Roman" w:cs="Times New Roman"/>
          <w:sz w:val="18"/>
          <w:szCs w:val="18"/>
          <w:vertAlign w:val="subscript"/>
        </w:rPr>
        <w:t xml:space="preserve">t1 </w:t>
      </w:r>
      <w:r>
        <w:rPr>
          <w:rFonts w:ascii="Times New Roman" w:eastAsia="Times New Roman" w:hAnsi="Times New Roman" w:cs="Times New Roman"/>
          <w:sz w:val="18"/>
          <w:szCs w:val="18"/>
        </w:rPr>
        <w:t>estimates for low ED</w:t>
      </w:r>
      <w:r>
        <w:rPr>
          <w:rFonts w:ascii="Times New Roman" w:eastAsia="Times New Roman" w:hAnsi="Times New Roman" w:cs="Times New Roman"/>
          <w:sz w:val="18"/>
          <w:szCs w:val="18"/>
          <w:vertAlign w:val="subscript"/>
        </w:rPr>
        <w:t>t0</w:t>
      </w:r>
      <w:r>
        <w:rPr>
          <w:rFonts w:ascii="Times New Roman" w:eastAsia="Times New Roman" w:hAnsi="Times New Roman" w:cs="Times New Roman"/>
          <w:sz w:val="18"/>
          <w:szCs w:val="18"/>
        </w:rPr>
        <w:t>, indicating that the observed ED</w:t>
      </w:r>
      <w:r>
        <w:rPr>
          <w:rFonts w:ascii="Times New Roman" w:eastAsia="Times New Roman" w:hAnsi="Times New Roman" w:cs="Times New Roman"/>
          <w:sz w:val="18"/>
          <w:szCs w:val="18"/>
          <w:vertAlign w:val="subscript"/>
        </w:rPr>
        <w:t>t1</w:t>
      </w:r>
      <w:r>
        <w:rPr>
          <w:rFonts w:ascii="Times New Roman" w:eastAsia="Times New Roman" w:hAnsi="Times New Roman" w:cs="Times New Roman"/>
          <w:sz w:val="18"/>
          <w:szCs w:val="18"/>
        </w:rPr>
        <w:t>~ED</w:t>
      </w:r>
      <w:r>
        <w:rPr>
          <w:rFonts w:ascii="Times New Roman" w:eastAsia="Times New Roman" w:hAnsi="Times New Roman" w:cs="Times New Roman"/>
          <w:sz w:val="18"/>
          <w:szCs w:val="18"/>
          <w:vertAlign w:val="subscript"/>
        </w:rPr>
        <w:t>t0</w:t>
      </w:r>
      <w:r>
        <w:rPr>
          <w:rFonts w:ascii="Times New Roman" w:eastAsia="Times New Roman" w:hAnsi="Times New Roman" w:cs="Times New Roman"/>
          <w:sz w:val="18"/>
          <w:szCs w:val="18"/>
        </w:rPr>
        <w:t xml:space="preserve"> relationship may be more conservative than reality due to errors in the stochastic fossil-adding process. Values are generated for a representative dataset of a range of ED</w:t>
      </w:r>
      <w:r>
        <w:rPr>
          <w:rFonts w:ascii="Times New Roman" w:eastAsia="Times New Roman" w:hAnsi="Times New Roman" w:cs="Times New Roman"/>
          <w:sz w:val="18"/>
          <w:szCs w:val="18"/>
          <w:vertAlign w:val="subscript"/>
        </w:rPr>
        <w:t>t0</w:t>
      </w:r>
      <w:r>
        <w:rPr>
          <w:rFonts w:ascii="Times New Roman" w:eastAsia="Times New Roman" w:hAnsi="Times New Roman" w:cs="Times New Roman"/>
          <w:sz w:val="18"/>
          <w:szCs w:val="18"/>
        </w:rPr>
        <w:t xml:space="preserve"> values, a random subset of one hundred genera </w:t>
      </w:r>
      <w:r>
        <w:rPr>
          <w:rFonts w:ascii="Times New Roman" w:eastAsia="Times New Roman" w:hAnsi="Times New Roman" w:cs="Times New Roman"/>
          <w:color w:val="000000"/>
          <w:sz w:val="18"/>
          <w:szCs w:val="18"/>
        </w:rPr>
        <w:t>and all the epoch-to-epoch transitions. For plotting, ED</w:t>
      </w:r>
      <w:r>
        <w:rPr>
          <w:rFonts w:ascii="Times New Roman" w:eastAsia="Times New Roman" w:hAnsi="Times New Roman" w:cs="Times New Roman"/>
          <w:color w:val="000000"/>
          <w:sz w:val="18"/>
          <w:szCs w:val="18"/>
          <w:vertAlign w:val="subscript"/>
        </w:rPr>
        <w:t>t1</w:t>
      </w:r>
      <w:r>
        <w:rPr>
          <w:rFonts w:ascii="Times New Roman" w:eastAsia="Times New Roman" w:hAnsi="Times New Roman" w:cs="Times New Roman"/>
          <w:color w:val="000000"/>
          <w:sz w:val="18"/>
          <w:szCs w:val="18"/>
        </w:rPr>
        <w:t xml:space="preserve"> estimates across the different genera and epoch-to-epoch transitions were median averaged.</w:t>
      </w:r>
    </w:p>
    <w:p w14:paraId="750E97F1" w14:textId="77777777" w:rsidR="00F8309D" w:rsidRDefault="00F8309D">
      <w:pPr>
        <w:pStyle w:val="LO-normal1"/>
        <w:spacing w:line="480" w:lineRule="auto"/>
        <w:jc w:val="center"/>
        <w:rPr>
          <w:rFonts w:ascii="Times New Roman" w:eastAsia="Times New Roman" w:hAnsi="Times New Roman" w:cs="Times New Roman"/>
          <w:color w:val="000000"/>
          <w:sz w:val="18"/>
          <w:szCs w:val="18"/>
        </w:rPr>
      </w:pPr>
    </w:p>
    <w:p w14:paraId="4BE7F8AE" w14:textId="77777777" w:rsidR="00F8309D" w:rsidRDefault="00F8309D">
      <w:pPr>
        <w:pStyle w:val="LO-normal1"/>
        <w:spacing w:line="480" w:lineRule="auto"/>
        <w:jc w:val="center"/>
      </w:pPr>
    </w:p>
    <w:p w14:paraId="1D3BF611" w14:textId="77777777" w:rsidR="00F8309D" w:rsidRDefault="00EB2AA9">
      <w:pPr>
        <w:pStyle w:val="LO-normal1"/>
        <w:spacing w:line="480" w:lineRule="auto"/>
        <w:jc w:val="center"/>
      </w:pPr>
      <w:r>
        <w:rPr>
          <w:noProof/>
          <w:lang w:val="en-US"/>
        </w:rPr>
        <w:lastRenderedPageBreak/>
        <w:drawing>
          <wp:inline distT="0" distB="12700" distL="0" distR="12700" wp14:anchorId="761548E9" wp14:editId="299B1ADE">
            <wp:extent cx="5829935" cy="5829935"/>
            <wp:effectExtent l="0" t="0" r="0" b="0"/>
            <wp:docPr id="10" name="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
                    <pic:cNvPicPr>
                      <a:picLocks noChangeAspect="1" noChangeArrowheads="1"/>
                    </pic:cNvPicPr>
                  </pic:nvPicPr>
                  <pic:blipFill>
                    <a:blip r:embed="rId16"/>
                    <a:stretch>
                      <a:fillRect/>
                    </a:stretch>
                  </pic:blipFill>
                  <pic:spPr bwMode="auto">
                    <a:xfrm>
                      <a:off x="0" y="0"/>
                      <a:ext cx="5829935" cy="5829935"/>
                    </a:xfrm>
                    <a:prstGeom prst="rect">
                      <a:avLst/>
                    </a:prstGeom>
                  </pic:spPr>
                </pic:pic>
              </a:graphicData>
            </a:graphic>
          </wp:inline>
        </w:drawing>
      </w:r>
    </w:p>
    <w:p w14:paraId="205BAF43" w14:textId="77777777" w:rsidR="00F8309D" w:rsidRDefault="00EB2AA9">
      <w:pPr>
        <w:pStyle w:val="Subtitle"/>
        <w:spacing w:line="48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FIGURE S8. Generative Additive Models to explore the ED</w:t>
      </w:r>
      <w:r>
        <w:rPr>
          <w:rFonts w:ascii="Times New Roman" w:eastAsia="Times New Roman" w:hAnsi="Times New Roman" w:cs="Times New Roman"/>
          <w:color w:val="000000"/>
          <w:vertAlign w:val="subscript"/>
        </w:rPr>
        <w:t>t0</w:t>
      </w:r>
      <w:r>
        <w:rPr>
          <w:rFonts w:ascii="Times New Roman" w:eastAsia="Times New Roman" w:hAnsi="Times New Roman" w:cs="Times New Roman"/>
          <w:color w:val="000000"/>
        </w:rPr>
        <w:t xml:space="preserve"> and ED</w:t>
      </w:r>
      <w:r>
        <w:rPr>
          <w:rFonts w:ascii="Times New Roman" w:eastAsia="Times New Roman" w:hAnsi="Times New Roman" w:cs="Times New Roman"/>
          <w:color w:val="000000"/>
          <w:vertAlign w:val="subscript"/>
        </w:rPr>
        <w:t>t1</w:t>
      </w:r>
      <w:r>
        <w:rPr>
          <w:rFonts w:ascii="Times New Roman" w:eastAsia="Times New Roman" w:hAnsi="Times New Roman" w:cs="Times New Roman"/>
          <w:color w:val="000000"/>
        </w:rPr>
        <w:t xml:space="preserve"> relationship using subsets of the </w:t>
      </w:r>
      <w:r>
        <w:rPr>
          <w:rFonts w:ascii="Times New Roman" w:eastAsia="Times New Roman" w:hAnsi="Times New Roman" w:cs="Times New Roman"/>
          <w:i/>
          <w:color w:val="000000"/>
        </w:rPr>
        <w:t>real</w:t>
      </w:r>
      <w:r>
        <w:rPr>
          <w:rFonts w:ascii="Times New Roman" w:eastAsia="Times New Roman" w:hAnsi="Times New Roman" w:cs="Times New Roman"/>
          <w:color w:val="000000"/>
        </w:rPr>
        <w:t xml:space="preserve"> dataset. Blue/green line indicates clades/species points that were shared over 50 times across the iterations of the </w:t>
      </w:r>
      <w:r>
        <w:rPr>
          <w:rFonts w:ascii="Times New Roman" w:eastAsia="Times New Roman" w:hAnsi="Times New Roman" w:cs="Times New Roman"/>
          <w:i/>
          <w:color w:val="000000"/>
        </w:rPr>
        <w:t xml:space="preserve">real </w:t>
      </w:r>
      <w:r>
        <w:rPr>
          <w:rFonts w:ascii="Times New Roman" w:eastAsia="Times New Roman" w:hAnsi="Times New Roman" w:cs="Times New Roman"/>
          <w:color w:val="000000"/>
        </w:rPr>
        <w:t xml:space="preserve">(high confidence nodes). Red/orange line indicates clades/species points that were shared 50 or fewer times across the iterations of the </w:t>
      </w:r>
      <w:r>
        <w:rPr>
          <w:rFonts w:ascii="Times New Roman" w:eastAsia="Times New Roman" w:hAnsi="Times New Roman" w:cs="Times New Roman"/>
          <w:i/>
          <w:color w:val="000000"/>
        </w:rPr>
        <w:t xml:space="preserve">real </w:t>
      </w:r>
      <w:r>
        <w:rPr>
          <w:rFonts w:ascii="Times New Roman" w:eastAsia="Times New Roman" w:hAnsi="Times New Roman" w:cs="Times New Roman"/>
          <w:color w:val="000000"/>
        </w:rPr>
        <w:t>(low confidence nodes). Points in which we have higher confidence show a stronger nonlinear relationship, with higher estimates for ED</w:t>
      </w:r>
      <w:r>
        <w:rPr>
          <w:rFonts w:ascii="Times New Roman" w:eastAsia="Times New Roman" w:hAnsi="Times New Roman" w:cs="Times New Roman"/>
          <w:color w:val="000000"/>
          <w:vertAlign w:val="subscript"/>
        </w:rPr>
        <w:t>t1</w:t>
      </w:r>
      <w:r>
        <w:rPr>
          <w:rFonts w:ascii="Times New Roman" w:eastAsia="Times New Roman" w:hAnsi="Times New Roman" w:cs="Times New Roman"/>
          <w:color w:val="000000"/>
        </w:rPr>
        <w:t xml:space="preserve"> at high ED</w:t>
      </w:r>
      <w:r>
        <w:rPr>
          <w:rFonts w:ascii="Times New Roman" w:eastAsia="Times New Roman" w:hAnsi="Times New Roman" w:cs="Times New Roman"/>
          <w:color w:val="000000"/>
          <w:vertAlign w:val="subscript"/>
        </w:rPr>
        <w:t>t0</w:t>
      </w:r>
      <w:r>
        <w:rPr>
          <w:rFonts w:ascii="Times New Roman" w:eastAsia="Times New Roman" w:hAnsi="Times New Roman" w:cs="Times New Roman"/>
          <w:color w:val="000000"/>
        </w:rPr>
        <w:t>.</w:t>
      </w:r>
    </w:p>
    <w:p w14:paraId="785F62F2" w14:textId="77777777" w:rsidR="00F8309D" w:rsidRDefault="00F8309D">
      <w:pPr>
        <w:pStyle w:val="Subtitle"/>
        <w:spacing w:line="480" w:lineRule="auto"/>
        <w:jc w:val="center"/>
        <w:rPr>
          <w:rFonts w:ascii="Times New Roman" w:eastAsia="Times New Roman" w:hAnsi="Times New Roman" w:cs="Times New Roman"/>
          <w:color w:val="000000"/>
        </w:rPr>
      </w:pPr>
    </w:p>
    <w:p w14:paraId="7E63D44C" w14:textId="77777777" w:rsidR="00F8309D" w:rsidRDefault="00EB2AA9">
      <w:pPr>
        <w:rPr>
          <w:rFonts w:ascii="Times New Roman" w:eastAsia="Times New Roman" w:hAnsi="Times New Roman" w:cs="Times New Roman"/>
          <w:color w:val="000000"/>
          <w:sz w:val="18"/>
          <w:szCs w:val="18"/>
        </w:rPr>
      </w:pPr>
      <w:r>
        <w:br w:type="page"/>
      </w:r>
    </w:p>
    <w:p w14:paraId="56D46783" w14:textId="77777777" w:rsidR="00F8309D" w:rsidRDefault="00F8309D">
      <w:pPr>
        <w:pStyle w:val="Subtitle"/>
        <w:spacing w:line="480" w:lineRule="auto"/>
        <w:jc w:val="center"/>
        <w:rPr>
          <w:rFonts w:ascii="Times New Roman" w:eastAsia="Times New Roman" w:hAnsi="Times New Roman" w:cs="Times New Roman"/>
          <w:color w:val="000000"/>
        </w:rPr>
      </w:pPr>
    </w:p>
    <w:p w14:paraId="2D93E8D4" w14:textId="77777777" w:rsidR="00F8309D" w:rsidRDefault="00EB2AA9">
      <w:pPr>
        <w:pStyle w:val="LO-normal1"/>
        <w:spacing w:line="480" w:lineRule="auto"/>
        <w:jc w:val="center"/>
        <w:rPr>
          <w:rFonts w:ascii="Times New Roman" w:eastAsia="Times New Roman" w:hAnsi="Times New Roman" w:cs="Times New Roman"/>
          <w:color w:val="000000"/>
          <w:sz w:val="18"/>
          <w:szCs w:val="18"/>
        </w:rPr>
      </w:pPr>
      <w:r>
        <w:rPr>
          <w:noProof/>
          <w:lang w:val="en-US"/>
        </w:rPr>
        <w:drawing>
          <wp:inline distT="0" distB="0" distL="0" distR="0" wp14:anchorId="3E6272D1" wp14:editId="61DB904B">
            <wp:extent cx="6332220" cy="4144010"/>
            <wp:effectExtent l="0" t="0" r="0" b="0"/>
            <wp:docPr id="11" name="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3"/>
                    <pic:cNvPicPr>
                      <a:picLocks noChangeAspect="1" noChangeArrowheads="1"/>
                    </pic:cNvPicPr>
                  </pic:nvPicPr>
                  <pic:blipFill>
                    <a:blip r:embed="rId17"/>
                    <a:stretch>
                      <a:fillRect/>
                    </a:stretch>
                  </pic:blipFill>
                  <pic:spPr bwMode="auto">
                    <a:xfrm>
                      <a:off x="0" y="0"/>
                      <a:ext cx="6332220" cy="4144010"/>
                    </a:xfrm>
                    <a:prstGeom prst="rect">
                      <a:avLst/>
                    </a:prstGeom>
                  </pic:spPr>
                </pic:pic>
              </a:graphicData>
            </a:graphic>
          </wp:inline>
        </w:drawing>
      </w:r>
    </w:p>
    <w:p w14:paraId="1E57D77F" w14:textId="77777777" w:rsidR="00F8309D" w:rsidRDefault="00EB2AA9">
      <w:pPr>
        <w:pStyle w:val="LO-normal1"/>
        <w:spacing w:line="480" w:lineRule="auto"/>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Figure S9. Future ED as a function of past ED for four simulated scenarios: non-biased birth-death model (Null), evolutionary distinct tips have lower rates of extinction and speciation (Pan.), evolutionary distinct tips have higher rates of extinction and lower rates of speciation (Rel.) and evolutionary distinct tips have lower rates of extinction and higher rates of speciation (P.F.). Solid, coloured lines represent General Additive Models, solid black line represents </w:t>
      </w:r>
      <w:r>
        <w:rPr>
          <w:rFonts w:ascii="Times New Roman" w:eastAsia="Times New Roman" w:hAnsi="Times New Roman" w:cs="Times New Roman"/>
          <w:i/>
          <w:color w:val="000000"/>
          <w:sz w:val="18"/>
          <w:szCs w:val="18"/>
        </w:rPr>
        <w:t>log(EDt0) = log(EDt1)</w:t>
      </w:r>
      <w:r>
        <w:rPr>
          <w:rFonts w:ascii="Times New Roman" w:eastAsia="Times New Roman" w:hAnsi="Times New Roman" w:cs="Times New Roman"/>
          <w:color w:val="000000"/>
          <w:sz w:val="18"/>
          <w:szCs w:val="18"/>
        </w:rPr>
        <w:t>.</w:t>
      </w:r>
    </w:p>
    <w:p w14:paraId="2AF2EBBE" w14:textId="77777777" w:rsidR="00F8309D" w:rsidRDefault="00EB2AA9">
      <w:pPr>
        <w:rPr>
          <w:rFonts w:ascii="Times New Roman" w:eastAsia="Times New Roman" w:hAnsi="Times New Roman" w:cs="Times New Roman"/>
          <w:b/>
          <w:sz w:val="28"/>
          <w:szCs w:val="28"/>
        </w:rPr>
      </w:pPr>
      <w:r>
        <w:br w:type="page"/>
      </w:r>
    </w:p>
    <w:p w14:paraId="444AB23D" w14:textId="77777777" w:rsidR="00F8309D" w:rsidRDefault="00EB2AA9">
      <w:pPr>
        <w:pStyle w:val="Heading3"/>
        <w:spacing w:line="480" w:lineRule="auto"/>
        <w:rPr>
          <w:rFonts w:ascii="Times New Roman" w:eastAsia="Times New Roman" w:hAnsi="Times New Roman" w:cs="Times New Roman"/>
        </w:rPr>
      </w:pPr>
      <w:r>
        <w:rPr>
          <w:rFonts w:ascii="Times New Roman" w:eastAsia="Times New Roman" w:hAnsi="Times New Roman" w:cs="Times New Roman"/>
        </w:rPr>
        <w:lastRenderedPageBreak/>
        <w:t>Supplementary Tables</w:t>
      </w:r>
    </w:p>
    <w:p w14:paraId="00A49C51" w14:textId="77777777" w:rsidR="00F8309D" w:rsidRDefault="00EB2AA9">
      <w:pPr>
        <w:pStyle w:val="LO-normal1"/>
        <w:spacing w:line="480" w:lineRule="auto"/>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TABLE S1. Epoch-to-epoch mid-point estimates taken from the International Chronostratigraphic Chart (2013) used for estimating changes in evolutionary distinctnesses from the inferred molecular-fossil mammalian phylogenetic tree.</w:t>
      </w:r>
    </w:p>
    <w:tbl>
      <w:tblPr>
        <w:tblW w:w="6008" w:type="dxa"/>
        <w:tblInd w:w="2324" w:type="dxa"/>
        <w:tblLook w:val="0400" w:firstRow="0" w:lastRow="0" w:firstColumn="0" w:lastColumn="0" w:noHBand="0" w:noVBand="1"/>
      </w:tblPr>
      <w:tblGrid>
        <w:gridCol w:w="2657"/>
        <w:gridCol w:w="827"/>
        <w:gridCol w:w="675"/>
        <w:gridCol w:w="270"/>
        <w:gridCol w:w="786"/>
        <w:gridCol w:w="793"/>
      </w:tblGrid>
      <w:tr w:rsidR="00F8309D" w14:paraId="5AF000DF" w14:textId="77777777">
        <w:trPr>
          <w:trHeight w:val="300"/>
        </w:trPr>
        <w:tc>
          <w:tcPr>
            <w:tcW w:w="2657" w:type="dxa"/>
            <w:tcBorders>
              <w:top w:val="single" w:sz="4" w:space="0" w:color="00000A"/>
              <w:bottom w:val="single" w:sz="4" w:space="0" w:color="00000A"/>
            </w:tcBorders>
            <w:shd w:val="clear" w:color="auto" w:fill="auto"/>
            <w:vAlign w:val="center"/>
          </w:tcPr>
          <w:p w14:paraId="460D6DD9" w14:textId="77777777" w:rsidR="00F8309D" w:rsidRDefault="00EB2AA9">
            <w:pPr>
              <w:pStyle w:val="LO-normal1"/>
              <w:spacing w:line="480" w:lineRule="auto"/>
              <w:rPr>
                <w:rFonts w:ascii="Times New Roman" w:eastAsia="Times New Roman" w:hAnsi="Times New Roman" w:cs="Times New Roman"/>
              </w:rPr>
            </w:pPr>
            <w:r>
              <w:rPr>
                <w:rFonts w:ascii="Times New Roman" w:eastAsia="Times New Roman" w:hAnsi="Times New Roman" w:cs="Times New Roman"/>
                <w:b/>
                <w:sz w:val="20"/>
                <w:szCs w:val="20"/>
              </w:rPr>
              <w:t>Period</w:t>
            </w:r>
          </w:p>
        </w:tc>
        <w:tc>
          <w:tcPr>
            <w:tcW w:w="827" w:type="dxa"/>
            <w:tcBorders>
              <w:top w:val="single" w:sz="4" w:space="0" w:color="00000A"/>
              <w:bottom w:val="single" w:sz="4" w:space="0" w:color="00000A"/>
            </w:tcBorders>
            <w:shd w:val="clear" w:color="auto" w:fill="auto"/>
            <w:vAlign w:val="center"/>
          </w:tcPr>
          <w:p w14:paraId="0C3BEDEF" w14:textId="77777777" w:rsidR="00F8309D" w:rsidRDefault="00EB2AA9">
            <w:pPr>
              <w:pStyle w:val="LO-normal1"/>
              <w:spacing w:line="480" w:lineRule="auto"/>
              <w:rPr>
                <w:rFonts w:ascii="Times New Roman" w:eastAsia="Times New Roman" w:hAnsi="Times New Roman" w:cs="Times New Roman"/>
              </w:rPr>
            </w:pPr>
            <w:r>
              <w:rPr>
                <w:rFonts w:ascii="Times New Roman" w:eastAsia="Times New Roman" w:hAnsi="Times New Roman" w:cs="Times New Roman"/>
                <w:b/>
                <w:sz w:val="20"/>
                <w:szCs w:val="20"/>
              </w:rPr>
              <w:t>Code</w:t>
            </w:r>
          </w:p>
        </w:tc>
        <w:tc>
          <w:tcPr>
            <w:tcW w:w="1731" w:type="dxa"/>
            <w:gridSpan w:val="3"/>
            <w:tcBorders>
              <w:top w:val="single" w:sz="4" w:space="0" w:color="00000A"/>
              <w:bottom w:val="single" w:sz="4" w:space="0" w:color="00000A"/>
            </w:tcBorders>
            <w:shd w:val="clear" w:color="auto" w:fill="auto"/>
            <w:vAlign w:val="center"/>
          </w:tcPr>
          <w:p w14:paraId="7223AF6E" w14:textId="77777777" w:rsidR="00F8309D" w:rsidRDefault="00EB2AA9">
            <w:pPr>
              <w:pStyle w:val="LO-normal1"/>
              <w:spacing w:line="480" w:lineRule="auto"/>
              <w:jc w:val="center"/>
              <w:rPr>
                <w:rFonts w:ascii="Times New Roman" w:eastAsia="Times New Roman" w:hAnsi="Times New Roman" w:cs="Times New Roman"/>
              </w:rPr>
            </w:pPr>
            <w:r>
              <w:rPr>
                <w:rFonts w:ascii="Times New Roman" w:eastAsia="Times New Roman" w:hAnsi="Times New Roman" w:cs="Times New Roman"/>
                <w:b/>
                <w:sz w:val="20"/>
                <w:szCs w:val="20"/>
              </w:rPr>
              <w:t>Span (MYA)</w:t>
            </w:r>
          </w:p>
        </w:tc>
        <w:tc>
          <w:tcPr>
            <w:tcW w:w="792" w:type="dxa"/>
            <w:tcBorders>
              <w:top w:val="single" w:sz="4" w:space="0" w:color="00000A"/>
              <w:bottom w:val="single" w:sz="4" w:space="0" w:color="00000A"/>
            </w:tcBorders>
            <w:shd w:val="clear" w:color="auto" w:fill="auto"/>
            <w:vAlign w:val="center"/>
          </w:tcPr>
          <w:p w14:paraId="5E0E0559" w14:textId="77777777" w:rsidR="00F8309D" w:rsidRDefault="00EB2AA9">
            <w:pPr>
              <w:pStyle w:val="LO-normal1"/>
              <w:spacing w:line="480" w:lineRule="auto"/>
              <w:rPr>
                <w:rFonts w:ascii="Times New Roman" w:eastAsia="Times New Roman" w:hAnsi="Times New Roman" w:cs="Times New Roman"/>
              </w:rPr>
            </w:pPr>
            <w:r>
              <w:rPr>
                <w:rFonts w:ascii="Times New Roman" w:eastAsia="Times New Roman" w:hAnsi="Times New Roman" w:cs="Times New Roman"/>
                <w:b/>
                <w:sz w:val="20"/>
                <w:szCs w:val="20"/>
              </w:rPr>
              <w:t>Time</w:t>
            </w:r>
          </w:p>
        </w:tc>
      </w:tr>
      <w:tr w:rsidR="00F8309D" w14:paraId="55BE2652" w14:textId="77777777">
        <w:trPr>
          <w:trHeight w:val="300"/>
        </w:trPr>
        <w:tc>
          <w:tcPr>
            <w:tcW w:w="2657" w:type="dxa"/>
            <w:tcBorders>
              <w:top w:val="single" w:sz="4" w:space="0" w:color="00000A"/>
              <w:bottom w:val="single" w:sz="4" w:space="0" w:color="00000A"/>
            </w:tcBorders>
            <w:shd w:val="clear" w:color="auto" w:fill="auto"/>
            <w:vAlign w:val="center"/>
          </w:tcPr>
          <w:p w14:paraId="445E472C" w14:textId="77777777" w:rsidR="00F8309D" w:rsidRDefault="00EB2AA9">
            <w:pPr>
              <w:pStyle w:val="LO-normal1"/>
              <w:spacing w:line="480" w:lineRule="auto"/>
              <w:rPr>
                <w:rFonts w:ascii="Times New Roman" w:eastAsia="Times New Roman" w:hAnsi="Times New Roman" w:cs="Times New Roman"/>
              </w:rPr>
            </w:pPr>
            <w:r>
              <w:rPr>
                <w:rFonts w:ascii="Times New Roman" w:eastAsia="Times New Roman" w:hAnsi="Times New Roman" w:cs="Times New Roman"/>
                <w:sz w:val="16"/>
                <w:szCs w:val="16"/>
              </w:rPr>
              <w:t>Pleistocene - Recent</w:t>
            </w:r>
          </w:p>
        </w:tc>
        <w:tc>
          <w:tcPr>
            <w:tcW w:w="827" w:type="dxa"/>
            <w:tcBorders>
              <w:top w:val="single" w:sz="4" w:space="0" w:color="00000A"/>
              <w:bottom w:val="single" w:sz="4" w:space="0" w:color="00000A"/>
            </w:tcBorders>
            <w:shd w:val="clear" w:color="auto" w:fill="auto"/>
            <w:vAlign w:val="center"/>
          </w:tcPr>
          <w:p w14:paraId="6FDD4CDB" w14:textId="77777777" w:rsidR="00F8309D" w:rsidRDefault="00EB2AA9">
            <w:pPr>
              <w:pStyle w:val="LO-normal1"/>
              <w:spacing w:line="480" w:lineRule="auto"/>
              <w:rPr>
                <w:rFonts w:ascii="Times New Roman" w:eastAsia="Times New Roman" w:hAnsi="Times New Roman" w:cs="Times New Roman"/>
              </w:rPr>
            </w:pPr>
            <w:r>
              <w:rPr>
                <w:rFonts w:ascii="Times New Roman" w:eastAsia="Times New Roman" w:hAnsi="Times New Roman" w:cs="Times New Roman"/>
                <w:sz w:val="16"/>
                <w:szCs w:val="16"/>
              </w:rPr>
              <w:t>Pe-Re</w:t>
            </w:r>
          </w:p>
        </w:tc>
        <w:tc>
          <w:tcPr>
            <w:tcW w:w="675" w:type="dxa"/>
            <w:tcBorders>
              <w:top w:val="single" w:sz="4" w:space="0" w:color="00000A"/>
              <w:bottom w:val="single" w:sz="4" w:space="0" w:color="00000A"/>
            </w:tcBorders>
            <w:shd w:val="clear" w:color="auto" w:fill="auto"/>
            <w:vAlign w:val="center"/>
          </w:tcPr>
          <w:p w14:paraId="17DA60A7" w14:textId="77777777" w:rsidR="00F8309D" w:rsidRDefault="00EB2AA9">
            <w:pPr>
              <w:pStyle w:val="LO-normal1"/>
              <w:spacing w:line="480" w:lineRule="auto"/>
              <w:jc w:val="right"/>
              <w:rPr>
                <w:rFonts w:ascii="Times New Roman" w:eastAsia="Times New Roman" w:hAnsi="Times New Roman" w:cs="Times New Roman"/>
              </w:rPr>
            </w:pPr>
            <w:r>
              <w:rPr>
                <w:rFonts w:ascii="Times New Roman" w:eastAsia="Times New Roman" w:hAnsi="Times New Roman" w:cs="Times New Roman"/>
                <w:sz w:val="16"/>
                <w:szCs w:val="16"/>
              </w:rPr>
              <w:t>1.30</w:t>
            </w:r>
          </w:p>
        </w:tc>
        <w:tc>
          <w:tcPr>
            <w:tcW w:w="270" w:type="dxa"/>
            <w:tcBorders>
              <w:top w:val="single" w:sz="4" w:space="0" w:color="00000A"/>
              <w:bottom w:val="single" w:sz="4" w:space="0" w:color="00000A"/>
            </w:tcBorders>
            <w:shd w:val="clear" w:color="auto" w:fill="auto"/>
            <w:vAlign w:val="center"/>
          </w:tcPr>
          <w:p w14:paraId="2FBA9A25" w14:textId="77777777" w:rsidR="00F8309D" w:rsidRDefault="00EB2AA9">
            <w:pPr>
              <w:pStyle w:val="LO-normal1"/>
              <w:spacing w:line="480" w:lineRule="auto"/>
              <w:jc w:val="center"/>
              <w:rPr>
                <w:rFonts w:ascii="Times New Roman" w:eastAsia="Times New Roman" w:hAnsi="Times New Roman" w:cs="Times New Roman"/>
              </w:rPr>
            </w:pPr>
            <w:r>
              <w:rPr>
                <w:rFonts w:ascii="Times New Roman" w:eastAsia="Times New Roman" w:hAnsi="Times New Roman" w:cs="Times New Roman"/>
                <w:sz w:val="16"/>
                <w:szCs w:val="16"/>
              </w:rPr>
              <w:t>-</w:t>
            </w:r>
          </w:p>
        </w:tc>
        <w:tc>
          <w:tcPr>
            <w:tcW w:w="785" w:type="dxa"/>
            <w:tcBorders>
              <w:top w:val="single" w:sz="4" w:space="0" w:color="00000A"/>
              <w:bottom w:val="single" w:sz="4" w:space="0" w:color="00000A"/>
            </w:tcBorders>
            <w:shd w:val="clear" w:color="auto" w:fill="auto"/>
            <w:vAlign w:val="center"/>
          </w:tcPr>
          <w:p w14:paraId="24B84F1E" w14:textId="77777777" w:rsidR="00F8309D" w:rsidRDefault="00EB2AA9">
            <w:pPr>
              <w:pStyle w:val="LO-normal1"/>
              <w:spacing w:line="480" w:lineRule="auto"/>
              <w:rPr>
                <w:rFonts w:ascii="Times New Roman" w:eastAsia="Times New Roman" w:hAnsi="Times New Roman" w:cs="Times New Roman"/>
              </w:rPr>
            </w:pPr>
            <w:r>
              <w:rPr>
                <w:rFonts w:ascii="Times New Roman" w:eastAsia="Times New Roman" w:hAnsi="Times New Roman" w:cs="Times New Roman"/>
                <w:sz w:val="16"/>
                <w:szCs w:val="16"/>
              </w:rPr>
              <w:t>0.00</w:t>
            </w:r>
          </w:p>
        </w:tc>
        <w:tc>
          <w:tcPr>
            <w:tcW w:w="793" w:type="dxa"/>
            <w:tcBorders>
              <w:top w:val="single" w:sz="4" w:space="0" w:color="00000A"/>
              <w:bottom w:val="single" w:sz="4" w:space="0" w:color="00000A"/>
            </w:tcBorders>
            <w:shd w:val="clear" w:color="auto" w:fill="auto"/>
            <w:vAlign w:val="center"/>
          </w:tcPr>
          <w:p w14:paraId="4DBFE4ED" w14:textId="77777777" w:rsidR="00F8309D" w:rsidRDefault="00EB2AA9">
            <w:pPr>
              <w:pStyle w:val="LO-normal1"/>
              <w:spacing w:line="480" w:lineRule="auto"/>
              <w:rPr>
                <w:rFonts w:ascii="Times New Roman" w:eastAsia="Times New Roman" w:hAnsi="Times New Roman" w:cs="Times New Roman"/>
              </w:rPr>
            </w:pPr>
            <w:r>
              <w:rPr>
                <w:rFonts w:ascii="Times New Roman" w:eastAsia="Times New Roman" w:hAnsi="Times New Roman" w:cs="Times New Roman"/>
                <w:sz w:val="16"/>
                <w:szCs w:val="16"/>
              </w:rPr>
              <w:t>1.30</w:t>
            </w:r>
          </w:p>
        </w:tc>
      </w:tr>
      <w:tr w:rsidR="00F8309D" w14:paraId="16B751C1" w14:textId="77777777">
        <w:trPr>
          <w:trHeight w:val="300"/>
        </w:trPr>
        <w:tc>
          <w:tcPr>
            <w:tcW w:w="2657" w:type="dxa"/>
            <w:tcBorders>
              <w:top w:val="single" w:sz="4" w:space="0" w:color="00000A"/>
              <w:bottom w:val="single" w:sz="4" w:space="0" w:color="00000A"/>
            </w:tcBorders>
            <w:shd w:val="clear" w:color="auto" w:fill="auto"/>
            <w:vAlign w:val="center"/>
          </w:tcPr>
          <w:p w14:paraId="7AD109E7" w14:textId="77777777" w:rsidR="00F8309D" w:rsidRDefault="00EB2AA9">
            <w:pPr>
              <w:pStyle w:val="LO-normal1"/>
              <w:spacing w:line="480" w:lineRule="auto"/>
              <w:rPr>
                <w:rFonts w:ascii="Times New Roman" w:eastAsia="Times New Roman" w:hAnsi="Times New Roman" w:cs="Times New Roman"/>
              </w:rPr>
            </w:pPr>
            <w:r>
              <w:rPr>
                <w:rFonts w:ascii="Times New Roman" w:eastAsia="Times New Roman" w:hAnsi="Times New Roman" w:cs="Times New Roman"/>
                <w:sz w:val="16"/>
                <w:szCs w:val="16"/>
              </w:rPr>
              <w:t>Pliocene - Pleistocene</w:t>
            </w:r>
          </w:p>
        </w:tc>
        <w:tc>
          <w:tcPr>
            <w:tcW w:w="827" w:type="dxa"/>
            <w:tcBorders>
              <w:top w:val="single" w:sz="4" w:space="0" w:color="00000A"/>
              <w:bottom w:val="single" w:sz="4" w:space="0" w:color="00000A"/>
            </w:tcBorders>
            <w:shd w:val="clear" w:color="auto" w:fill="auto"/>
            <w:vAlign w:val="center"/>
          </w:tcPr>
          <w:p w14:paraId="4075D542" w14:textId="77777777" w:rsidR="00F8309D" w:rsidRDefault="00EB2AA9">
            <w:pPr>
              <w:pStyle w:val="LO-normal1"/>
              <w:spacing w:line="480" w:lineRule="auto"/>
              <w:rPr>
                <w:rFonts w:ascii="Times New Roman" w:eastAsia="Times New Roman" w:hAnsi="Times New Roman" w:cs="Times New Roman"/>
              </w:rPr>
            </w:pPr>
            <w:r>
              <w:rPr>
                <w:rFonts w:ascii="Times New Roman" w:eastAsia="Times New Roman" w:hAnsi="Times New Roman" w:cs="Times New Roman"/>
                <w:sz w:val="16"/>
                <w:szCs w:val="16"/>
              </w:rPr>
              <w:t>Pi-Pe</w:t>
            </w:r>
          </w:p>
        </w:tc>
        <w:tc>
          <w:tcPr>
            <w:tcW w:w="675" w:type="dxa"/>
            <w:tcBorders>
              <w:top w:val="single" w:sz="4" w:space="0" w:color="00000A"/>
              <w:bottom w:val="single" w:sz="4" w:space="0" w:color="00000A"/>
            </w:tcBorders>
            <w:shd w:val="clear" w:color="auto" w:fill="auto"/>
            <w:vAlign w:val="center"/>
          </w:tcPr>
          <w:p w14:paraId="03832603" w14:textId="77777777" w:rsidR="00F8309D" w:rsidRDefault="00EB2AA9">
            <w:pPr>
              <w:pStyle w:val="LO-normal1"/>
              <w:spacing w:line="480" w:lineRule="auto"/>
              <w:jc w:val="right"/>
              <w:rPr>
                <w:rFonts w:ascii="Times New Roman" w:eastAsia="Times New Roman" w:hAnsi="Times New Roman" w:cs="Times New Roman"/>
              </w:rPr>
            </w:pPr>
            <w:r>
              <w:rPr>
                <w:rFonts w:ascii="Times New Roman" w:eastAsia="Times New Roman" w:hAnsi="Times New Roman" w:cs="Times New Roman"/>
                <w:sz w:val="16"/>
                <w:szCs w:val="16"/>
              </w:rPr>
              <w:t>3.96</w:t>
            </w:r>
          </w:p>
        </w:tc>
        <w:tc>
          <w:tcPr>
            <w:tcW w:w="270" w:type="dxa"/>
            <w:tcBorders>
              <w:top w:val="single" w:sz="4" w:space="0" w:color="00000A"/>
              <w:bottom w:val="single" w:sz="4" w:space="0" w:color="00000A"/>
            </w:tcBorders>
            <w:shd w:val="clear" w:color="auto" w:fill="auto"/>
            <w:vAlign w:val="center"/>
          </w:tcPr>
          <w:p w14:paraId="5955FD2E" w14:textId="77777777" w:rsidR="00F8309D" w:rsidRDefault="00EB2AA9">
            <w:pPr>
              <w:pStyle w:val="LO-normal1"/>
              <w:spacing w:line="480" w:lineRule="auto"/>
              <w:jc w:val="center"/>
              <w:rPr>
                <w:rFonts w:ascii="Times New Roman" w:eastAsia="Times New Roman" w:hAnsi="Times New Roman" w:cs="Times New Roman"/>
              </w:rPr>
            </w:pPr>
            <w:r>
              <w:rPr>
                <w:rFonts w:ascii="Times New Roman" w:eastAsia="Times New Roman" w:hAnsi="Times New Roman" w:cs="Times New Roman"/>
                <w:sz w:val="16"/>
                <w:szCs w:val="16"/>
              </w:rPr>
              <w:t>-</w:t>
            </w:r>
          </w:p>
        </w:tc>
        <w:tc>
          <w:tcPr>
            <w:tcW w:w="785" w:type="dxa"/>
            <w:tcBorders>
              <w:top w:val="single" w:sz="4" w:space="0" w:color="00000A"/>
              <w:bottom w:val="single" w:sz="4" w:space="0" w:color="00000A"/>
            </w:tcBorders>
            <w:shd w:val="clear" w:color="auto" w:fill="auto"/>
            <w:vAlign w:val="center"/>
          </w:tcPr>
          <w:p w14:paraId="52DEC179" w14:textId="77777777" w:rsidR="00F8309D" w:rsidRDefault="00EB2AA9">
            <w:pPr>
              <w:pStyle w:val="LO-normal1"/>
              <w:spacing w:line="480" w:lineRule="auto"/>
              <w:rPr>
                <w:rFonts w:ascii="Times New Roman" w:eastAsia="Times New Roman" w:hAnsi="Times New Roman" w:cs="Times New Roman"/>
              </w:rPr>
            </w:pPr>
            <w:r>
              <w:rPr>
                <w:rFonts w:ascii="Times New Roman" w:eastAsia="Times New Roman" w:hAnsi="Times New Roman" w:cs="Times New Roman"/>
                <w:sz w:val="16"/>
                <w:szCs w:val="16"/>
              </w:rPr>
              <w:t>1.30</w:t>
            </w:r>
          </w:p>
        </w:tc>
        <w:tc>
          <w:tcPr>
            <w:tcW w:w="793" w:type="dxa"/>
            <w:tcBorders>
              <w:top w:val="single" w:sz="4" w:space="0" w:color="00000A"/>
              <w:bottom w:val="single" w:sz="4" w:space="0" w:color="00000A"/>
            </w:tcBorders>
            <w:shd w:val="clear" w:color="auto" w:fill="auto"/>
            <w:vAlign w:val="center"/>
          </w:tcPr>
          <w:p w14:paraId="46B13126" w14:textId="77777777" w:rsidR="00F8309D" w:rsidRDefault="00EB2AA9">
            <w:pPr>
              <w:pStyle w:val="LO-normal1"/>
              <w:spacing w:line="480" w:lineRule="auto"/>
              <w:rPr>
                <w:rFonts w:ascii="Times New Roman" w:eastAsia="Times New Roman" w:hAnsi="Times New Roman" w:cs="Times New Roman"/>
              </w:rPr>
            </w:pPr>
            <w:r>
              <w:rPr>
                <w:rFonts w:ascii="Times New Roman" w:eastAsia="Times New Roman" w:hAnsi="Times New Roman" w:cs="Times New Roman"/>
                <w:sz w:val="16"/>
                <w:szCs w:val="16"/>
              </w:rPr>
              <w:t>2.66</w:t>
            </w:r>
          </w:p>
        </w:tc>
      </w:tr>
      <w:tr w:rsidR="00F8309D" w14:paraId="1138F8C3" w14:textId="77777777">
        <w:trPr>
          <w:trHeight w:val="300"/>
        </w:trPr>
        <w:tc>
          <w:tcPr>
            <w:tcW w:w="2657" w:type="dxa"/>
            <w:tcBorders>
              <w:top w:val="single" w:sz="4" w:space="0" w:color="00000A"/>
              <w:bottom w:val="single" w:sz="4" w:space="0" w:color="00000A"/>
            </w:tcBorders>
            <w:shd w:val="clear" w:color="auto" w:fill="auto"/>
            <w:vAlign w:val="center"/>
          </w:tcPr>
          <w:p w14:paraId="11C80F84" w14:textId="77777777" w:rsidR="00F8309D" w:rsidRDefault="00EB2AA9">
            <w:pPr>
              <w:pStyle w:val="LO-normal1"/>
              <w:spacing w:line="480" w:lineRule="auto"/>
              <w:rPr>
                <w:rFonts w:ascii="Times New Roman" w:eastAsia="Times New Roman" w:hAnsi="Times New Roman" w:cs="Times New Roman"/>
              </w:rPr>
            </w:pPr>
            <w:r>
              <w:rPr>
                <w:rFonts w:ascii="Times New Roman" w:eastAsia="Times New Roman" w:hAnsi="Times New Roman" w:cs="Times New Roman"/>
                <w:sz w:val="16"/>
                <w:szCs w:val="16"/>
              </w:rPr>
              <w:t>Miocene - Plicoene</w:t>
            </w:r>
          </w:p>
        </w:tc>
        <w:tc>
          <w:tcPr>
            <w:tcW w:w="827" w:type="dxa"/>
            <w:tcBorders>
              <w:top w:val="single" w:sz="4" w:space="0" w:color="00000A"/>
              <w:bottom w:val="single" w:sz="4" w:space="0" w:color="00000A"/>
            </w:tcBorders>
            <w:shd w:val="clear" w:color="auto" w:fill="auto"/>
            <w:vAlign w:val="center"/>
          </w:tcPr>
          <w:p w14:paraId="4307E97C" w14:textId="77777777" w:rsidR="00F8309D" w:rsidRDefault="00EB2AA9">
            <w:pPr>
              <w:pStyle w:val="LO-normal1"/>
              <w:spacing w:line="480" w:lineRule="auto"/>
              <w:rPr>
                <w:rFonts w:ascii="Times New Roman" w:eastAsia="Times New Roman" w:hAnsi="Times New Roman" w:cs="Times New Roman"/>
              </w:rPr>
            </w:pPr>
            <w:r>
              <w:rPr>
                <w:rFonts w:ascii="Times New Roman" w:eastAsia="Times New Roman" w:hAnsi="Times New Roman" w:cs="Times New Roman"/>
                <w:sz w:val="16"/>
                <w:szCs w:val="16"/>
              </w:rPr>
              <w:t>Mi-Pi</w:t>
            </w:r>
          </w:p>
        </w:tc>
        <w:tc>
          <w:tcPr>
            <w:tcW w:w="675" w:type="dxa"/>
            <w:tcBorders>
              <w:top w:val="single" w:sz="4" w:space="0" w:color="00000A"/>
              <w:bottom w:val="single" w:sz="4" w:space="0" w:color="00000A"/>
            </w:tcBorders>
            <w:shd w:val="clear" w:color="auto" w:fill="auto"/>
            <w:vAlign w:val="center"/>
          </w:tcPr>
          <w:p w14:paraId="21950C2C" w14:textId="77777777" w:rsidR="00F8309D" w:rsidRDefault="00EB2AA9">
            <w:pPr>
              <w:pStyle w:val="LO-normal1"/>
              <w:spacing w:line="480" w:lineRule="auto"/>
              <w:jc w:val="right"/>
              <w:rPr>
                <w:rFonts w:ascii="Times New Roman" w:eastAsia="Times New Roman" w:hAnsi="Times New Roman" w:cs="Times New Roman"/>
              </w:rPr>
            </w:pPr>
            <w:r>
              <w:rPr>
                <w:rFonts w:ascii="Times New Roman" w:eastAsia="Times New Roman" w:hAnsi="Times New Roman" w:cs="Times New Roman"/>
                <w:sz w:val="16"/>
                <w:szCs w:val="16"/>
              </w:rPr>
              <w:t>14.18</w:t>
            </w:r>
          </w:p>
        </w:tc>
        <w:tc>
          <w:tcPr>
            <w:tcW w:w="270" w:type="dxa"/>
            <w:tcBorders>
              <w:top w:val="single" w:sz="4" w:space="0" w:color="00000A"/>
              <w:bottom w:val="single" w:sz="4" w:space="0" w:color="00000A"/>
            </w:tcBorders>
            <w:shd w:val="clear" w:color="auto" w:fill="auto"/>
            <w:vAlign w:val="center"/>
          </w:tcPr>
          <w:p w14:paraId="6E00AA74" w14:textId="77777777" w:rsidR="00F8309D" w:rsidRDefault="00EB2AA9">
            <w:pPr>
              <w:pStyle w:val="LO-normal1"/>
              <w:spacing w:line="480" w:lineRule="auto"/>
              <w:jc w:val="center"/>
              <w:rPr>
                <w:rFonts w:ascii="Times New Roman" w:eastAsia="Times New Roman" w:hAnsi="Times New Roman" w:cs="Times New Roman"/>
              </w:rPr>
            </w:pPr>
            <w:r>
              <w:rPr>
                <w:rFonts w:ascii="Times New Roman" w:eastAsia="Times New Roman" w:hAnsi="Times New Roman" w:cs="Times New Roman"/>
                <w:sz w:val="16"/>
                <w:szCs w:val="16"/>
              </w:rPr>
              <w:t>-</w:t>
            </w:r>
          </w:p>
        </w:tc>
        <w:tc>
          <w:tcPr>
            <w:tcW w:w="785" w:type="dxa"/>
            <w:tcBorders>
              <w:top w:val="single" w:sz="4" w:space="0" w:color="00000A"/>
              <w:bottom w:val="single" w:sz="4" w:space="0" w:color="00000A"/>
            </w:tcBorders>
            <w:shd w:val="clear" w:color="auto" w:fill="auto"/>
            <w:vAlign w:val="center"/>
          </w:tcPr>
          <w:p w14:paraId="2A98265E" w14:textId="77777777" w:rsidR="00F8309D" w:rsidRDefault="00EB2AA9">
            <w:pPr>
              <w:pStyle w:val="LO-normal1"/>
              <w:spacing w:line="480" w:lineRule="auto"/>
              <w:rPr>
                <w:rFonts w:ascii="Times New Roman" w:eastAsia="Times New Roman" w:hAnsi="Times New Roman" w:cs="Times New Roman"/>
              </w:rPr>
            </w:pPr>
            <w:r>
              <w:rPr>
                <w:rFonts w:ascii="Times New Roman" w:eastAsia="Times New Roman" w:hAnsi="Times New Roman" w:cs="Times New Roman"/>
                <w:sz w:val="16"/>
                <w:szCs w:val="16"/>
              </w:rPr>
              <w:t>3.96</w:t>
            </w:r>
          </w:p>
        </w:tc>
        <w:tc>
          <w:tcPr>
            <w:tcW w:w="793" w:type="dxa"/>
            <w:tcBorders>
              <w:top w:val="single" w:sz="4" w:space="0" w:color="00000A"/>
              <w:bottom w:val="single" w:sz="4" w:space="0" w:color="00000A"/>
            </w:tcBorders>
            <w:shd w:val="clear" w:color="auto" w:fill="auto"/>
            <w:vAlign w:val="center"/>
          </w:tcPr>
          <w:p w14:paraId="2A04B24D" w14:textId="77777777" w:rsidR="00F8309D" w:rsidRDefault="00EB2AA9">
            <w:pPr>
              <w:pStyle w:val="LO-normal1"/>
              <w:spacing w:line="480" w:lineRule="auto"/>
              <w:rPr>
                <w:rFonts w:ascii="Times New Roman" w:eastAsia="Times New Roman" w:hAnsi="Times New Roman" w:cs="Times New Roman"/>
              </w:rPr>
            </w:pPr>
            <w:r>
              <w:rPr>
                <w:rFonts w:ascii="Times New Roman" w:eastAsia="Times New Roman" w:hAnsi="Times New Roman" w:cs="Times New Roman"/>
                <w:sz w:val="16"/>
                <w:szCs w:val="16"/>
              </w:rPr>
              <w:t>10.22</w:t>
            </w:r>
          </w:p>
        </w:tc>
      </w:tr>
      <w:tr w:rsidR="00F8309D" w14:paraId="32AF9006" w14:textId="77777777">
        <w:trPr>
          <w:trHeight w:val="300"/>
        </w:trPr>
        <w:tc>
          <w:tcPr>
            <w:tcW w:w="2657" w:type="dxa"/>
            <w:tcBorders>
              <w:top w:val="single" w:sz="4" w:space="0" w:color="00000A"/>
              <w:bottom w:val="single" w:sz="4" w:space="0" w:color="00000A"/>
            </w:tcBorders>
            <w:shd w:val="clear" w:color="auto" w:fill="auto"/>
            <w:vAlign w:val="center"/>
          </w:tcPr>
          <w:p w14:paraId="51ABFA93" w14:textId="77777777" w:rsidR="00F8309D" w:rsidRDefault="00EB2AA9">
            <w:pPr>
              <w:pStyle w:val="LO-normal1"/>
              <w:spacing w:line="480" w:lineRule="auto"/>
              <w:rPr>
                <w:rFonts w:ascii="Times New Roman" w:eastAsia="Times New Roman" w:hAnsi="Times New Roman" w:cs="Times New Roman"/>
              </w:rPr>
            </w:pPr>
            <w:r>
              <w:rPr>
                <w:rFonts w:ascii="Times New Roman" w:eastAsia="Times New Roman" w:hAnsi="Times New Roman" w:cs="Times New Roman"/>
                <w:sz w:val="16"/>
                <w:szCs w:val="16"/>
              </w:rPr>
              <w:t>Oligocene - Miocene</w:t>
            </w:r>
          </w:p>
        </w:tc>
        <w:tc>
          <w:tcPr>
            <w:tcW w:w="827" w:type="dxa"/>
            <w:tcBorders>
              <w:top w:val="single" w:sz="4" w:space="0" w:color="00000A"/>
              <w:bottom w:val="single" w:sz="4" w:space="0" w:color="00000A"/>
            </w:tcBorders>
            <w:shd w:val="clear" w:color="auto" w:fill="auto"/>
            <w:vAlign w:val="center"/>
          </w:tcPr>
          <w:p w14:paraId="4DB8B9E9" w14:textId="77777777" w:rsidR="00F8309D" w:rsidRDefault="00EB2AA9">
            <w:pPr>
              <w:pStyle w:val="LO-normal1"/>
              <w:spacing w:line="480" w:lineRule="auto"/>
              <w:rPr>
                <w:rFonts w:ascii="Times New Roman" w:eastAsia="Times New Roman" w:hAnsi="Times New Roman" w:cs="Times New Roman"/>
              </w:rPr>
            </w:pPr>
            <w:r>
              <w:rPr>
                <w:rFonts w:ascii="Times New Roman" w:eastAsia="Times New Roman" w:hAnsi="Times New Roman" w:cs="Times New Roman"/>
                <w:sz w:val="16"/>
                <w:szCs w:val="16"/>
              </w:rPr>
              <w:t>Ol-Mi</w:t>
            </w:r>
          </w:p>
        </w:tc>
        <w:tc>
          <w:tcPr>
            <w:tcW w:w="675" w:type="dxa"/>
            <w:tcBorders>
              <w:top w:val="single" w:sz="4" w:space="0" w:color="00000A"/>
              <w:bottom w:val="single" w:sz="4" w:space="0" w:color="00000A"/>
            </w:tcBorders>
            <w:shd w:val="clear" w:color="auto" w:fill="auto"/>
            <w:vAlign w:val="center"/>
          </w:tcPr>
          <w:p w14:paraId="42C0F7AF" w14:textId="77777777" w:rsidR="00F8309D" w:rsidRDefault="00EB2AA9">
            <w:pPr>
              <w:pStyle w:val="LO-normal1"/>
              <w:spacing w:line="480" w:lineRule="auto"/>
              <w:jc w:val="right"/>
              <w:rPr>
                <w:rFonts w:ascii="Times New Roman" w:eastAsia="Times New Roman" w:hAnsi="Times New Roman" w:cs="Times New Roman"/>
              </w:rPr>
            </w:pPr>
            <w:r>
              <w:rPr>
                <w:rFonts w:ascii="Times New Roman" w:eastAsia="Times New Roman" w:hAnsi="Times New Roman" w:cs="Times New Roman"/>
                <w:sz w:val="16"/>
                <w:szCs w:val="16"/>
              </w:rPr>
              <w:t>28.47</w:t>
            </w:r>
          </w:p>
        </w:tc>
        <w:tc>
          <w:tcPr>
            <w:tcW w:w="270" w:type="dxa"/>
            <w:tcBorders>
              <w:top w:val="single" w:sz="4" w:space="0" w:color="00000A"/>
              <w:bottom w:val="single" w:sz="4" w:space="0" w:color="00000A"/>
            </w:tcBorders>
            <w:shd w:val="clear" w:color="auto" w:fill="auto"/>
            <w:vAlign w:val="center"/>
          </w:tcPr>
          <w:p w14:paraId="7FEADED2" w14:textId="77777777" w:rsidR="00F8309D" w:rsidRDefault="00EB2AA9">
            <w:pPr>
              <w:pStyle w:val="LO-normal1"/>
              <w:spacing w:line="480" w:lineRule="auto"/>
              <w:jc w:val="center"/>
              <w:rPr>
                <w:rFonts w:ascii="Times New Roman" w:eastAsia="Times New Roman" w:hAnsi="Times New Roman" w:cs="Times New Roman"/>
              </w:rPr>
            </w:pPr>
            <w:r>
              <w:rPr>
                <w:rFonts w:ascii="Times New Roman" w:eastAsia="Times New Roman" w:hAnsi="Times New Roman" w:cs="Times New Roman"/>
                <w:sz w:val="16"/>
                <w:szCs w:val="16"/>
              </w:rPr>
              <w:t>-</w:t>
            </w:r>
          </w:p>
        </w:tc>
        <w:tc>
          <w:tcPr>
            <w:tcW w:w="785" w:type="dxa"/>
            <w:tcBorders>
              <w:top w:val="single" w:sz="4" w:space="0" w:color="00000A"/>
              <w:bottom w:val="single" w:sz="4" w:space="0" w:color="00000A"/>
            </w:tcBorders>
            <w:shd w:val="clear" w:color="auto" w:fill="auto"/>
            <w:vAlign w:val="center"/>
          </w:tcPr>
          <w:p w14:paraId="70730DDB" w14:textId="77777777" w:rsidR="00F8309D" w:rsidRDefault="00EB2AA9">
            <w:pPr>
              <w:pStyle w:val="LO-normal1"/>
              <w:spacing w:line="480" w:lineRule="auto"/>
              <w:rPr>
                <w:rFonts w:ascii="Times New Roman" w:eastAsia="Times New Roman" w:hAnsi="Times New Roman" w:cs="Times New Roman"/>
              </w:rPr>
            </w:pPr>
            <w:r>
              <w:rPr>
                <w:rFonts w:ascii="Times New Roman" w:eastAsia="Times New Roman" w:hAnsi="Times New Roman" w:cs="Times New Roman"/>
                <w:sz w:val="16"/>
                <w:szCs w:val="16"/>
              </w:rPr>
              <w:t>14.18</w:t>
            </w:r>
          </w:p>
        </w:tc>
        <w:tc>
          <w:tcPr>
            <w:tcW w:w="793" w:type="dxa"/>
            <w:tcBorders>
              <w:top w:val="single" w:sz="4" w:space="0" w:color="00000A"/>
              <w:bottom w:val="single" w:sz="4" w:space="0" w:color="00000A"/>
            </w:tcBorders>
            <w:shd w:val="clear" w:color="auto" w:fill="auto"/>
            <w:vAlign w:val="center"/>
          </w:tcPr>
          <w:p w14:paraId="08E7763C" w14:textId="77777777" w:rsidR="00F8309D" w:rsidRDefault="00EB2AA9">
            <w:pPr>
              <w:pStyle w:val="LO-normal1"/>
              <w:spacing w:line="480" w:lineRule="auto"/>
              <w:rPr>
                <w:rFonts w:ascii="Times New Roman" w:eastAsia="Times New Roman" w:hAnsi="Times New Roman" w:cs="Times New Roman"/>
              </w:rPr>
            </w:pPr>
            <w:r>
              <w:rPr>
                <w:rFonts w:ascii="Times New Roman" w:eastAsia="Times New Roman" w:hAnsi="Times New Roman" w:cs="Times New Roman"/>
                <w:sz w:val="16"/>
                <w:szCs w:val="16"/>
              </w:rPr>
              <w:t>14.28</w:t>
            </w:r>
          </w:p>
        </w:tc>
      </w:tr>
      <w:tr w:rsidR="00F8309D" w14:paraId="6570CA45" w14:textId="77777777">
        <w:trPr>
          <w:trHeight w:val="300"/>
        </w:trPr>
        <w:tc>
          <w:tcPr>
            <w:tcW w:w="2657" w:type="dxa"/>
            <w:tcBorders>
              <w:top w:val="single" w:sz="4" w:space="0" w:color="00000A"/>
              <w:bottom w:val="single" w:sz="4" w:space="0" w:color="00000A"/>
            </w:tcBorders>
            <w:shd w:val="clear" w:color="auto" w:fill="auto"/>
            <w:vAlign w:val="center"/>
          </w:tcPr>
          <w:p w14:paraId="143500D0" w14:textId="77777777" w:rsidR="00F8309D" w:rsidRDefault="00EB2AA9">
            <w:pPr>
              <w:pStyle w:val="LO-normal1"/>
              <w:spacing w:line="480" w:lineRule="auto"/>
              <w:rPr>
                <w:rFonts w:ascii="Times New Roman" w:eastAsia="Times New Roman" w:hAnsi="Times New Roman" w:cs="Times New Roman"/>
              </w:rPr>
            </w:pPr>
            <w:r>
              <w:rPr>
                <w:rFonts w:ascii="Times New Roman" w:eastAsia="Times New Roman" w:hAnsi="Times New Roman" w:cs="Times New Roman"/>
                <w:sz w:val="16"/>
                <w:szCs w:val="16"/>
              </w:rPr>
              <w:t>Eocene - Oligocene</w:t>
            </w:r>
          </w:p>
        </w:tc>
        <w:tc>
          <w:tcPr>
            <w:tcW w:w="827" w:type="dxa"/>
            <w:tcBorders>
              <w:top w:val="single" w:sz="4" w:space="0" w:color="00000A"/>
              <w:bottom w:val="single" w:sz="4" w:space="0" w:color="00000A"/>
            </w:tcBorders>
            <w:shd w:val="clear" w:color="auto" w:fill="auto"/>
            <w:vAlign w:val="center"/>
          </w:tcPr>
          <w:p w14:paraId="506CDBBE" w14:textId="77777777" w:rsidR="00F8309D" w:rsidRDefault="00EB2AA9">
            <w:pPr>
              <w:pStyle w:val="LO-normal1"/>
              <w:spacing w:line="480" w:lineRule="auto"/>
              <w:rPr>
                <w:rFonts w:ascii="Times New Roman" w:eastAsia="Times New Roman" w:hAnsi="Times New Roman" w:cs="Times New Roman"/>
              </w:rPr>
            </w:pPr>
            <w:r>
              <w:rPr>
                <w:rFonts w:ascii="Times New Roman" w:eastAsia="Times New Roman" w:hAnsi="Times New Roman" w:cs="Times New Roman"/>
                <w:sz w:val="16"/>
                <w:szCs w:val="16"/>
              </w:rPr>
              <w:t>Eo-Ol</w:t>
            </w:r>
          </w:p>
        </w:tc>
        <w:tc>
          <w:tcPr>
            <w:tcW w:w="675" w:type="dxa"/>
            <w:tcBorders>
              <w:top w:val="single" w:sz="4" w:space="0" w:color="00000A"/>
              <w:bottom w:val="single" w:sz="4" w:space="0" w:color="00000A"/>
            </w:tcBorders>
            <w:shd w:val="clear" w:color="auto" w:fill="auto"/>
            <w:vAlign w:val="center"/>
          </w:tcPr>
          <w:p w14:paraId="7B36D9FE" w14:textId="77777777" w:rsidR="00F8309D" w:rsidRDefault="00EB2AA9">
            <w:pPr>
              <w:pStyle w:val="LO-normal1"/>
              <w:spacing w:line="480" w:lineRule="auto"/>
              <w:jc w:val="right"/>
              <w:rPr>
                <w:rFonts w:ascii="Times New Roman" w:eastAsia="Times New Roman" w:hAnsi="Times New Roman" w:cs="Times New Roman"/>
              </w:rPr>
            </w:pPr>
            <w:r>
              <w:rPr>
                <w:rFonts w:ascii="Times New Roman" w:eastAsia="Times New Roman" w:hAnsi="Times New Roman" w:cs="Times New Roman"/>
                <w:sz w:val="16"/>
                <w:szCs w:val="16"/>
              </w:rPr>
              <w:t>44.95</w:t>
            </w:r>
          </w:p>
        </w:tc>
        <w:tc>
          <w:tcPr>
            <w:tcW w:w="270" w:type="dxa"/>
            <w:tcBorders>
              <w:top w:val="single" w:sz="4" w:space="0" w:color="00000A"/>
              <w:bottom w:val="single" w:sz="4" w:space="0" w:color="00000A"/>
            </w:tcBorders>
            <w:shd w:val="clear" w:color="auto" w:fill="auto"/>
            <w:vAlign w:val="center"/>
          </w:tcPr>
          <w:p w14:paraId="0255DA8A" w14:textId="77777777" w:rsidR="00F8309D" w:rsidRDefault="00EB2AA9">
            <w:pPr>
              <w:pStyle w:val="LO-normal1"/>
              <w:spacing w:line="480" w:lineRule="auto"/>
              <w:jc w:val="center"/>
              <w:rPr>
                <w:rFonts w:ascii="Times New Roman" w:eastAsia="Times New Roman" w:hAnsi="Times New Roman" w:cs="Times New Roman"/>
              </w:rPr>
            </w:pPr>
            <w:r>
              <w:rPr>
                <w:rFonts w:ascii="Times New Roman" w:eastAsia="Times New Roman" w:hAnsi="Times New Roman" w:cs="Times New Roman"/>
                <w:sz w:val="16"/>
                <w:szCs w:val="16"/>
              </w:rPr>
              <w:t>-</w:t>
            </w:r>
          </w:p>
        </w:tc>
        <w:tc>
          <w:tcPr>
            <w:tcW w:w="785" w:type="dxa"/>
            <w:tcBorders>
              <w:top w:val="single" w:sz="4" w:space="0" w:color="00000A"/>
              <w:bottom w:val="single" w:sz="4" w:space="0" w:color="00000A"/>
            </w:tcBorders>
            <w:shd w:val="clear" w:color="auto" w:fill="auto"/>
            <w:vAlign w:val="center"/>
          </w:tcPr>
          <w:p w14:paraId="32AD9DF3" w14:textId="77777777" w:rsidR="00F8309D" w:rsidRDefault="00EB2AA9">
            <w:pPr>
              <w:pStyle w:val="LO-normal1"/>
              <w:spacing w:line="480" w:lineRule="auto"/>
              <w:rPr>
                <w:rFonts w:ascii="Times New Roman" w:eastAsia="Times New Roman" w:hAnsi="Times New Roman" w:cs="Times New Roman"/>
              </w:rPr>
            </w:pPr>
            <w:r>
              <w:rPr>
                <w:rFonts w:ascii="Times New Roman" w:eastAsia="Times New Roman" w:hAnsi="Times New Roman" w:cs="Times New Roman"/>
                <w:sz w:val="16"/>
                <w:szCs w:val="16"/>
              </w:rPr>
              <w:t>28.47</w:t>
            </w:r>
          </w:p>
        </w:tc>
        <w:tc>
          <w:tcPr>
            <w:tcW w:w="793" w:type="dxa"/>
            <w:tcBorders>
              <w:top w:val="single" w:sz="4" w:space="0" w:color="00000A"/>
              <w:bottom w:val="single" w:sz="4" w:space="0" w:color="00000A"/>
            </w:tcBorders>
            <w:shd w:val="clear" w:color="auto" w:fill="auto"/>
            <w:vAlign w:val="center"/>
          </w:tcPr>
          <w:p w14:paraId="49914780" w14:textId="77777777" w:rsidR="00F8309D" w:rsidRDefault="00EB2AA9">
            <w:pPr>
              <w:pStyle w:val="LO-normal1"/>
              <w:spacing w:line="480" w:lineRule="auto"/>
              <w:rPr>
                <w:rFonts w:ascii="Times New Roman" w:eastAsia="Times New Roman" w:hAnsi="Times New Roman" w:cs="Times New Roman"/>
              </w:rPr>
            </w:pPr>
            <w:r>
              <w:rPr>
                <w:rFonts w:ascii="Times New Roman" w:eastAsia="Times New Roman" w:hAnsi="Times New Roman" w:cs="Times New Roman"/>
                <w:sz w:val="16"/>
                <w:szCs w:val="16"/>
              </w:rPr>
              <w:t>16.49</w:t>
            </w:r>
          </w:p>
        </w:tc>
      </w:tr>
      <w:tr w:rsidR="00F8309D" w14:paraId="1D8380B8" w14:textId="77777777">
        <w:trPr>
          <w:trHeight w:val="300"/>
        </w:trPr>
        <w:tc>
          <w:tcPr>
            <w:tcW w:w="2657" w:type="dxa"/>
            <w:tcBorders>
              <w:top w:val="single" w:sz="4" w:space="0" w:color="00000A"/>
              <w:bottom w:val="single" w:sz="4" w:space="0" w:color="00000A"/>
            </w:tcBorders>
            <w:shd w:val="clear" w:color="auto" w:fill="auto"/>
            <w:vAlign w:val="center"/>
          </w:tcPr>
          <w:p w14:paraId="330CB1ED" w14:textId="77777777" w:rsidR="00F8309D" w:rsidRDefault="00EB2AA9">
            <w:pPr>
              <w:pStyle w:val="LO-normal1"/>
              <w:spacing w:line="480" w:lineRule="auto"/>
              <w:rPr>
                <w:rFonts w:ascii="Times New Roman" w:eastAsia="Times New Roman" w:hAnsi="Times New Roman" w:cs="Times New Roman"/>
              </w:rPr>
            </w:pPr>
            <w:r>
              <w:rPr>
                <w:rFonts w:ascii="Times New Roman" w:eastAsia="Times New Roman" w:hAnsi="Times New Roman" w:cs="Times New Roman"/>
                <w:sz w:val="16"/>
                <w:szCs w:val="16"/>
              </w:rPr>
              <w:t>Paleocene - Eocene</w:t>
            </w:r>
          </w:p>
        </w:tc>
        <w:tc>
          <w:tcPr>
            <w:tcW w:w="827" w:type="dxa"/>
            <w:tcBorders>
              <w:top w:val="single" w:sz="4" w:space="0" w:color="00000A"/>
              <w:bottom w:val="single" w:sz="4" w:space="0" w:color="00000A"/>
            </w:tcBorders>
            <w:shd w:val="clear" w:color="auto" w:fill="auto"/>
            <w:vAlign w:val="center"/>
          </w:tcPr>
          <w:p w14:paraId="0912AA6A" w14:textId="77777777" w:rsidR="00F8309D" w:rsidRDefault="00EB2AA9">
            <w:pPr>
              <w:pStyle w:val="LO-normal1"/>
              <w:spacing w:line="480" w:lineRule="auto"/>
              <w:rPr>
                <w:rFonts w:ascii="Times New Roman" w:eastAsia="Times New Roman" w:hAnsi="Times New Roman" w:cs="Times New Roman"/>
              </w:rPr>
            </w:pPr>
            <w:r>
              <w:rPr>
                <w:rFonts w:ascii="Times New Roman" w:eastAsia="Times New Roman" w:hAnsi="Times New Roman" w:cs="Times New Roman"/>
                <w:sz w:val="16"/>
                <w:szCs w:val="16"/>
              </w:rPr>
              <w:t>Pa-Eo</w:t>
            </w:r>
          </w:p>
        </w:tc>
        <w:tc>
          <w:tcPr>
            <w:tcW w:w="675" w:type="dxa"/>
            <w:tcBorders>
              <w:top w:val="single" w:sz="4" w:space="0" w:color="00000A"/>
              <w:bottom w:val="single" w:sz="4" w:space="0" w:color="00000A"/>
            </w:tcBorders>
            <w:shd w:val="clear" w:color="auto" w:fill="auto"/>
            <w:vAlign w:val="center"/>
          </w:tcPr>
          <w:p w14:paraId="2C206BC4" w14:textId="77777777" w:rsidR="00F8309D" w:rsidRDefault="00EB2AA9">
            <w:pPr>
              <w:pStyle w:val="LO-normal1"/>
              <w:spacing w:line="480" w:lineRule="auto"/>
              <w:jc w:val="right"/>
              <w:rPr>
                <w:rFonts w:ascii="Times New Roman" w:eastAsia="Times New Roman" w:hAnsi="Times New Roman" w:cs="Times New Roman"/>
              </w:rPr>
            </w:pPr>
            <w:r>
              <w:rPr>
                <w:rFonts w:ascii="Times New Roman" w:eastAsia="Times New Roman" w:hAnsi="Times New Roman" w:cs="Times New Roman"/>
                <w:sz w:val="16"/>
                <w:szCs w:val="16"/>
              </w:rPr>
              <w:t>61.00</w:t>
            </w:r>
          </w:p>
        </w:tc>
        <w:tc>
          <w:tcPr>
            <w:tcW w:w="270" w:type="dxa"/>
            <w:tcBorders>
              <w:top w:val="single" w:sz="4" w:space="0" w:color="00000A"/>
              <w:bottom w:val="single" w:sz="4" w:space="0" w:color="00000A"/>
            </w:tcBorders>
            <w:shd w:val="clear" w:color="auto" w:fill="auto"/>
            <w:vAlign w:val="center"/>
          </w:tcPr>
          <w:p w14:paraId="72D30E13" w14:textId="77777777" w:rsidR="00F8309D" w:rsidRDefault="00EB2AA9">
            <w:pPr>
              <w:pStyle w:val="LO-normal1"/>
              <w:spacing w:line="480" w:lineRule="auto"/>
              <w:jc w:val="center"/>
              <w:rPr>
                <w:rFonts w:ascii="Times New Roman" w:eastAsia="Times New Roman" w:hAnsi="Times New Roman" w:cs="Times New Roman"/>
              </w:rPr>
            </w:pPr>
            <w:r>
              <w:rPr>
                <w:rFonts w:ascii="Times New Roman" w:eastAsia="Times New Roman" w:hAnsi="Times New Roman" w:cs="Times New Roman"/>
                <w:sz w:val="16"/>
                <w:szCs w:val="16"/>
              </w:rPr>
              <w:t>-</w:t>
            </w:r>
          </w:p>
        </w:tc>
        <w:tc>
          <w:tcPr>
            <w:tcW w:w="785" w:type="dxa"/>
            <w:tcBorders>
              <w:top w:val="single" w:sz="4" w:space="0" w:color="00000A"/>
              <w:bottom w:val="single" w:sz="4" w:space="0" w:color="00000A"/>
            </w:tcBorders>
            <w:shd w:val="clear" w:color="auto" w:fill="auto"/>
            <w:vAlign w:val="center"/>
          </w:tcPr>
          <w:p w14:paraId="25CFE0DF" w14:textId="77777777" w:rsidR="00F8309D" w:rsidRDefault="00EB2AA9">
            <w:pPr>
              <w:pStyle w:val="LO-normal1"/>
              <w:spacing w:line="480" w:lineRule="auto"/>
              <w:rPr>
                <w:rFonts w:ascii="Times New Roman" w:eastAsia="Times New Roman" w:hAnsi="Times New Roman" w:cs="Times New Roman"/>
              </w:rPr>
            </w:pPr>
            <w:r>
              <w:rPr>
                <w:rFonts w:ascii="Times New Roman" w:eastAsia="Times New Roman" w:hAnsi="Times New Roman" w:cs="Times New Roman"/>
                <w:sz w:val="16"/>
                <w:szCs w:val="16"/>
              </w:rPr>
              <w:t>44.95</w:t>
            </w:r>
          </w:p>
        </w:tc>
        <w:tc>
          <w:tcPr>
            <w:tcW w:w="793" w:type="dxa"/>
            <w:tcBorders>
              <w:top w:val="single" w:sz="4" w:space="0" w:color="00000A"/>
              <w:bottom w:val="single" w:sz="4" w:space="0" w:color="00000A"/>
            </w:tcBorders>
            <w:shd w:val="clear" w:color="auto" w:fill="auto"/>
            <w:vAlign w:val="center"/>
          </w:tcPr>
          <w:p w14:paraId="32F28921" w14:textId="77777777" w:rsidR="00F8309D" w:rsidRDefault="00EB2AA9">
            <w:pPr>
              <w:pStyle w:val="LO-normal1"/>
              <w:spacing w:line="480" w:lineRule="auto"/>
              <w:rPr>
                <w:rFonts w:ascii="Times New Roman" w:eastAsia="Times New Roman" w:hAnsi="Times New Roman" w:cs="Times New Roman"/>
              </w:rPr>
            </w:pPr>
            <w:r>
              <w:rPr>
                <w:rFonts w:ascii="Times New Roman" w:eastAsia="Times New Roman" w:hAnsi="Times New Roman" w:cs="Times New Roman"/>
                <w:sz w:val="16"/>
                <w:szCs w:val="16"/>
              </w:rPr>
              <w:t>16.05</w:t>
            </w:r>
          </w:p>
        </w:tc>
      </w:tr>
      <w:tr w:rsidR="00F8309D" w14:paraId="33452033" w14:textId="77777777">
        <w:trPr>
          <w:trHeight w:val="300"/>
        </w:trPr>
        <w:tc>
          <w:tcPr>
            <w:tcW w:w="2657" w:type="dxa"/>
            <w:tcBorders>
              <w:top w:val="single" w:sz="4" w:space="0" w:color="00000A"/>
              <w:bottom w:val="single" w:sz="4" w:space="0" w:color="00000A"/>
            </w:tcBorders>
            <w:shd w:val="clear" w:color="auto" w:fill="auto"/>
            <w:vAlign w:val="center"/>
          </w:tcPr>
          <w:p w14:paraId="58EDE27E" w14:textId="77777777" w:rsidR="00F8309D" w:rsidRDefault="00EB2AA9">
            <w:pPr>
              <w:pStyle w:val="LO-normal1"/>
              <w:spacing w:line="480" w:lineRule="auto"/>
              <w:rPr>
                <w:rFonts w:ascii="Times New Roman" w:eastAsia="Times New Roman" w:hAnsi="Times New Roman" w:cs="Times New Roman"/>
              </w:rPr>
            </w:pPr>
            <w:r>
              <w:rPr>
                <w:rFonts w:ascii="Times New Roman" w:eastAsia="Times New Roman" w:hAnsi="Times New Roman" w:cs="Times New Roman"/>
                <w:sz w:val="16"/>
                <w:szCs w:val="16"/>
              </w:rPr>
              <w:t>Cretaceous Upper - Paleocene</w:t>
            </w:r>
          </w:p>
        </w:tc>
        <w:tc>
          <w:tcPr>
            <w:tcW w:w="827" w:type="dxa"/>
            <w:tcBorders>
              <w:top w:val="single" w:sz="4" w:space="0" w:color="00000A"/>
              <w:bottom w:val="single" w:sz="4" w:space="0" w:color="00000A"/>
            </w:tcBorders>
            <w:shd w:val="clear" w:color="auto" w:fill="auto"/>
            <w:vAlign w:val="center"/>
          </w:tcPr>
          <w:p w14:paraId="3916D8D6" w14:textId="77777777" w:rsidR="00F8309D" w:rsidRDefault="00EB2AA9">
            <w:pPr>
              <w:pStyle w:val="LO-normal1"/>
              <w:spacing w:line="480" w:lineRule="auto"/>
              <w:rPr>
                <w:rFonts w:ascii="Times New Roman" w:eastAsia="Times New Roman" w:hAnsi="Times New Roman" w:cs="Times New Roman"/>
              </w:rPr>
            </w:pPr>
            <w:r>
              <w:rPr>
                <w:rFonts w:ascii="Times New Roman" w:eastAsia="Times New Roman" w:hAnsi="Times New Roman" w:cs="Times New Roman"/>
                <w:sz w:val="16"/>
                <w:szCs w:val="16"/>
              </w:rPr>
              <w:t>CU-Pa</w:t>
            </w:r>
          </w:p>
        </w:tc>
        <w:tc>
          <w:tcPr>
            <w:tcW w:w="675" w:type="dxa"/>
            <w:tcBorders>
              <w:top w:val="single" w:sz="4" w:space="0" w:color="00000A"/>
              <w:bottom w:val="single" w:sz="4" w:space="0" w:color="00000A"/>
            </w:tcBorders>
            <w:shd w:val="clear" w:color="auto" w:fill="auto"/>
            <w:vAlign w:val="center"/>
          </w:tcPr>
          <w:p w14:paraId="3C895426" w14:textId="77777777" w:rsidR="00F8309D" w:rsidRDefault="00EB2AA9">
            <w:pPr>
              <w:pStyle w:val="LO-normal1"/>
              <w:spacing w:line="480" w:lineRule="auto"/>
              <w:jc w:val="right"/>
              <w:rPr>
                <w:rFonts w:ascii="Times New Roman" w:eastAsia="Times New Roman" w:hAnsi="Times New Roman" w:cs="Times New Roman"/>
              </w:rPr>
            </w:pPr>
            <w:r>
              <w:rPr>
                <w:rFonts w:ascii="Times New Roman" w:eastAsia="Times New Roman" w:hAnsi="Times New Roman" w:cs="Times New Roman"/>
                <w:sz w:val="16"/>
                <w:szCs w:val="16"/>
              </w:rPr>
              <w:t>83.25</w:t>
            </w:r>
          </w:p>
        </w:tc>
        <w:tc>
          <w:tcPr>
            <w:tcW w:w="270" w:type="dxa"/>
            <w:tcBorders>
              <w:top w:val="single" w:sz="4" w:space="0" w:color="00000A"/>
              <w:bottom w:val="single" w:sz="4" w:space="0" w:color="00000A"/>
            </w:tcBorders>
            <w:shd w:val="clear" w:color="auto" w:fill="auto"/>
            <w:vAlign w:val="center"/>
          </w:tcPr>
          <w:p w14:paraId="7B6DF770" w14:textId="77777777" w:rsidR="00F8309D" w:rsidRDefault="00EB2AA9">
            <w:pPr>
              <w:pStyle w:val="LO-normal1"/>
              <w:spacing w:line="480" w:lineRule="auto"/>
              <w:jc w:val="center"/>
              <w:rPr>
                <w:rFonts w:ascii="Times New Roman" w:eastAsia="Times New Roman" w:hAnsi="Times New Roman" w:cs="Times New Roman"/>
              </w:rPr>
            </w:pPr>
            <w:r>
              <w:rPr>
                <w:rFonts w:ascii="Times New Roman" w:eastAsia="Times New Roman" w:hAnsi="Times New Roman" w:cs="Times New Roman"/>
                <w:sz w:val="16"/>
                <w:szCs w:val="16"/>
              </w:rPr>
              <w:t>-</w:t>
            </w:r>
          </w:p>
        </w:tc>
        <w:tc>
          <w:tcPr>
            <w:tcW w:w="785" w:type="dxa"/>
            <w:tcBorders>
              <w:top w:val="single" w:sz="4" w:space="0" w:color="00000A"/>
              <w:bottom w:val="single" w:sz="4" w:space="0" w:color="00000A"/>
            </w:tcBorders>
            <w:shd w:val="clear" w:color="auto" w:fill="auto"/>
            <w:vAlign w:val="center"/>
          </w:tcPr>
          <w:p w14:paraId="44BA8863" w14:textId="77777777" w:rsidR="00F8309D" w:rsidRDefault="00EB2AA9">
            <w:pPr>
              <w:pStyle w:val="LO-normal1"/>
              <w:spacing w:line="480" w:lineRule="auto"/>
              <w:rPr>
                <w:rFonts w:ascii="Times New Roman" w:eastAsia="Times New Roman" w:hAnsi="Times New Roman" w:cs="Times New Roman"/>
              </w:rPr>
            </w:pPr>
            <w:r>
              <w:rPr>
                <w:rFonts w:ascii="Times New Roman" w:eastAsia="Times New Roman" w:hAnsi="Times New Roman" w:cs="Times New Roman"/>
                <w:sz w:val="16"/>
                <w:szCs w:val="16"/>
              </w:rPr>
              <w:t>61.00</w:t>
            </w:r>
          </w:p>
        </w:tc>
        <w:tc>
          <w:tcPr>
            <w:tcW w:w="793" w:type="dxa"/>
            <w:tcBorders>
              <w:top w:val="single" w:sz="4" w:space="0" w:color="00000A"/>
              <w:bottom w:val="single" w:sz="4" w:space="0" w:color="00000A"/>
            </w:tcBorders>
            <w:shd w:val="clear" w:color="auto" w:fill="auto"/>
            <w:vAlign w:val="center"/>
          </w:tcPr>
          <w:p w14:paraId="430F0BD1" w14:textId="77777777" w:rsidR="00F8309D" w:rsidRDefault="00EB2AA9">
            <w:pPr>
              <w:pStyle w:val="LO-normal1"/>
              <w:spacing w:line="480" w:lineRule="auto"/>
              <w:rPr>
                <w:rFonts w:ascii="Times New Roman" w:eastAsia="Times New Roman" w:hAnsi="Times New Roman" w:cs="Times New Roman"/>
              </w:rPr>
            </w:pPr>
            <w:r>
              <w:rPr>
                <w:rFonts w:ascii="Times New Roman" w:eastAsia="Times New Roman" w:hAnsi="Times New Roman" w:cs="Times New Roman"/>
                <w:sz w:val="16"/>
                <w:szCs w:val="16"/>
              </w:rPr>
              <w:t>22.25</w:t>
            </w:r>
          </w:p>
        </w:tc>
      </w:tr>
      <w:tr w:rsidR="00F8309D" w14:paraId="31B9C11C" w14:textId="77777777">
        <w:trPr>
          <w:trHeight w:val="400"/>
        </w:trPr>
        <w:tc>
          <w:tcPr>
            <w:tcW w:w="2657" w:type="dxa"/>
            <w:tcBorders>
              <w:top w:val="single" w:sz="4" w:space="0" w:color="00000A"/>
              <w:bottom w:val="single" w:sz="4" w:space="0" w:color="00000A"/>
            </w:tcBorders>
            <w:shd w:val="clear" w:color="auto" w:fill="auto"/>
            <w:vAlign w:val="center"/>
          </w:tcPr>
          <w:p w14:paraId="7DF1251B" w14:textId="77777777" w:rsidR="00F8309D" w:rsidRDefault="00EB2AA9">
            <w:pPr>
              <w:pStyle w:val="LO-normal1"/>
              <w:spacing w:line="480" w:lineRule="auto"/>
              <w:rPr>
                <w:rFonts w:ascii="Times New Roman" w:eastAsia="Times New Roman" w:hAnsi="Times New Roman" w:cs="Times New Roman"/>
              </w:rPr>
            </w:pPr>
            <w:r>
              <w:rPr>
                <w:rFonts w:ascii="Times New Roman" w:eastAsia="Times New Roman" w:hAnsi="Times New Roman" w:cs="Times New Roman"/>
                <w:sz w:val="16"/>
                <w:szCs w:val="16"/>
              </w:rPr>
              <w:t>Cretaceous Lower - Cretaceous Upper</w:t>
            </w:r>
          </w:p>
        </w:tc>
        <w:tc>
          <w:tcPr>
            <w:tcW w:w="827" w:type="dxa"/>
            <w:tcBorders>
              <w:top w:val="single" w:sz="4" w:space="0" w:color="00000A"/>
              <w:bottom w:val="single" w:sz="4" w:space="0" w:color="00000A"/>
            </w:tcBorders>
            <w:shd w:val="clear" w:color="auto" w:fill="auto"/>
            <w:vAlign w:val="center"/>
          </w:tcPr>
          <w:p w14:paraId="2729822F" w14:textId="77777777" w:rsidR="00F8309D" w:rsidRDefault="00EB2AA9">
            <w:pPr>
              <w:pStyle w:val="LO-normal1"/>
              <w:spacing w:line="480" w:lineRule="auto"/>
              <w:rPr>
                <w:rFonts w:ascii="Times New Roman" w:eastAsia="Times New Roman" w:hAnsi="Times New Roman" w:cs="Times New Roman"/>
              </w:rPr>
            </w:pPr>
            <w:r>
              <w:rPr>
                <w:rFonts w:ascii="Times New Roman" w:eastAsia="Times New Roman" w:hAnsi="Times New Roman" w:cs="Times New Roman"/>
                <w:sz w:val="16"/>
                <w:szCs w:val="16"/>
              </w:rPr>
              <w:t>CL-CU</w:t>
            </w:r>
          </w:p>
        </w:tc>
        <w:tc>
          <w:tcPr>
            <w:tcW w:w="675" w:type="dxa"/>
            <w:tcBorders>
              <w:top w:val="single" w:sz="4" w:space="0" w:color="00000A"/>
              <w:bottom w:val="single" w:sz="4" w:space="0" w:color="00000A"/>
            </w:tcBorders>
            <w:shd w:val="clear" w:color="auto" w:fill="auto"/>
            <w:vAlign w:val="center"/>
          </w:tcPr>
          <w:p w14:paraId="7E7404D6" w14:textId="77777777" w:rsidR="00F8309D" w:rsidRDefault="00EB2AA9">
            <w:pPr>
              <w:pStyle w:val="LO-normal1"/>
              <w:spacing w:line="480" w:lineRule="auto"/>
              <w:jc w:val="right"/>
              <w:rPr>
                <w:rFonts w:ascii="Times New Roman" w:eastAsia="Times New Roman" w:hAnsi="Times New Roman" w:cs="Times New Roman"/>
              </w:rPr>
            </w:pPr>
            <w:r>
              <w:rPr>
                <w:rFonts w:ascii="Times New Roman" w:eastAsia="Times New Roman" w:hAnsi="Times New Roman" w:cs="Times New Roman"/>
                <w:sz w:val="16"/>
                <w:szCs w:val="16"/>
              </w:rPr>
              <w:t>122.75</w:t>
            </w:r>
          </w:p>
        </w:tc>
        <w:tc>
          <w:tcPr>
            <w:tcW w:w="270" w:type="dxa"/>
            <w:tcBorders>
              <w:top w:val="single" w:sz="4" w:space="0" w:color="00000A"/>
              <w:bottom w:val="single" w:sz="4" w:space="0" w:color="00000A"/>
            </w:tcBorders>
            <w:shd w:val="clear" w:color="auto" w:fill="auto"/>
            <w:vAlign w:val="center"/>
          </w:tcPr>
          <w:p w14:paraId="43EA75AF" w14:textId="77777777" w:rsidR="00F8309D" w:rsidRDefault="00EB2AA9">
            <w:pPr>
              <w:pStyle w:val="LO-normal1"/>
              <w:spacing w:line="480" w:lineRule="auto"/>
              <w:jc w:val="center"/>
              <w:rPr>
                <w:rFonts w:ascii="Times New Roman" w:eastAsia="Times New Roman" w:hAnsi="Times New Roman" w:cs="Times New Roman"/>
              </w:rPr>
            </w:pPr>
            <w:r>
              <w:rPr>
                <w:rFonts w:ascii="Times New Roman" w:eastAsia="Times New Roman" w:hAnsi="Times New Roman" w:cs="Times New Roman"/>
                <w:sz w:val="16"/>
                <w:szCs w:val="16"/>
              </w:rPr>
              <w:t>-</w:t>
            </w:r>
          </w:p>
        </w:tc>
        <w:tc>
          <w:tcPr>
            <w:tcW w:w="785" w:type="dxa"/>
            <w:tcBorders>
              <w:top w:val="single" w:sz="4" w:space="0" w:color="00000A"/>
              <w:bottom w:val="single" w:sz="4" w:space="0" w:color="00000A"/>
            </w:tcBorders>
            <w:shd w:val="clear" w:color="auto" w:fill="auto"/>
            <w:vAlign w:val="center"/>
          </w:tcPr>
          <w:p w14:paraId="14B1A2CD" w14:textId="77777777" w:rsidR="00F8309D" w:rsidRDefault="00EB2AA9">
            <w:pPr>
              <w:pStyle w:val="LO-normal1"/>
              <w:spacing w:line="480" w:lineRule="auto"/>
              <w:rPr>
                <w:rFonts w:ascii="Times New Roman" w:eastAsia="Times New Roman" w:hAnsi="Times New Roman" w:cs="Times New Roman"/>
              </w:rPr>
            </w:pPr>
            <w:r>
              <w:rPr>
                <w:rFonts w:ascii="Times New Roman" w:eastAsia="Times New Roman" w:hAnsi="Times New Roman" w:cs="Times New Roman"/>
                <w:sz w:val="16"/>
                <w:szCs w:val="16"/>
              </w:rPr>
              <w:t>83.25</w:t>
            </w:r>
          </w:p>
        </w:tc>
        <w:tc>
          <w:tcPr>
            <w:tcW w:w="793" w:type="dxa"/>
            <w:tcBorders>
              <w:top w:val="single" w:sz="4" w:space="0" w:color="00000A"/>
              <w:bottom w:val="single" w:sz="4" w:space="0" w:color="00000A"/>
            </w:tcBorders>
            <w:shd w:val="clear" w:color="auto" w:fill="auto"/>
            <w:vAlign w:val="center"/>
          </w:tcPr>
          <w:p w14:paraId="7DBF5F58" w14:textId="77777777" w:rsidR="00F8309D" w:rsidRDefault="00EB2AA9">
            <w:pPr>
              <w:pStyle w:val="LO-normal1"/>
              <w:spacing w:line="480" w:lineRule="auto"/>
              <w:rPr>
                <w:rFonts w:ascii="Times New Roman" w:eastAsia="Times New Roman" w:hAnsi="Times New Roman" w:cs="Times New Roman"/>
              </w:rPr>
            </w:pPr>
            <w:r>
              <w:rPr>
                <w:rFonts w:ascii="Times New Roman" w:eastAsia="Times New Roman" w:hAnsi="Times New Roman" w:cs="Times New Roman"/>
                <w:sz w:val="16"/>
                <w:szCs w:val="16"/>
              </w:rPr>
              <w:t>39.50</w:t>
            </w:r>
          </w:p>
        </w:tc>
      </w:tr>
      <w:tr w:rsidR="00F8309D" w14:paraId="3F7BABA6" w14:textId="77777777">
        <w:trPr>
          <w:trHeight w:val="300"/>
        </w:trPr>
        <w:tc>
          <w:tcPr>
            <w:tcW w:w="2657" w:type="dxa"/>
            <w:tcBorders>
              <w:top w:val="single" w:sz="4" w:space="0" w:color="00000A"/>
              <w:bottom w:val="single" w:sz="4" w:space="0" w:color="00000A"/>
            </w:tcBorders>
            <w:shd w:val="clear" w:color="auto" w:fill="auto"/>
            <w:vAlign w:val="center"/>
          </w:tcPr>
          <w:p w14:paraId="3E3218AD" w14:textId="77777777" w:rsidR="00F8309D" w:rsidRDefault="00EB2AA9">
            <w:pPr>
              <w:pStyle w:val="LO-normal1"/>
              <w:spacing w:line="480" w:lineRule="auto"/>
              <w:rPr>
                <w:rFonts w:ascii="Times New Roman" w:eastAsia="Times New Roman" w:hAnsi="Times New Roman" w:cs="Times New Roman"/>
              </w:rPr>
            </w:pPr>
            <w:r>
              <w:rPr>
                <w:rFonts w:ascii="Times New Roman" w:eastAsia="Times New Roman" w:hAnsi="Times New Roman" w:cs="Times New Roman"/>
                <w:sz w:val="16"/>
                <w:szCs w:val="16"/>
              </w:rPr>
              <w:t>Jurrasic Upper - Cretaceous Lower</w:t>
            </w:r>
          </w:p>
        </w:tc>
        <w:tc>
          <w:tcPr>
            <w:tcW w:w="827" w:type="dxa"/>
            <w:tcBorders>
              <w:top w:val="single" w:sz="4" w:space="0" w:color="00000A"/>
              <w:bottom w:val="single" w:sz="4" w:space="0" w:color="00000A"/>
            </w:tcBorders>
            <w:shd w:val="clear" w:color="auto" w:fill="auto"/>
            <w:vAlign w:val="center"/>
          </w:tcPr>
          <w:p w14:paraId="22E985F5" w14:textId="77777777" w:rsidR="00F8309D" w:rsidRDefault="00EB2AA9">
            <w:pPr>
              <w:pStyle w:val="LO-normal1"/>
              <w:spacing w:line="480" w:lineRule="auto"/>
              <w:rPr>
                <w:rFonts w:ascii="Times New Roman" w:eastAsia="Times New Roman" w:hAnsi="Times New Roman" w:cs="Times New Roman"/>
              </w:rPr>
            </w:pPr>
            <w:r>
              <w:rPr>
                <w:rFonts w:ascii="Times New Roman" w:eastAsia="Times New Roman" w:hAnsi="Times New Roman" w:cs="Times New Roman"/>
                <w:sz w:val="16"/>
                <w:szCs w:val="16"/>
              </w:rPr>
              <w:t>JU-CL</w:t>
            </w:r>
          </w:p>
        </w:tc>
        <w:tc>
          <w:tcPr>
            <w:tcW w:w="675" w:type="dxa"/>
            <w:tcBorders>
              <w:top w:val="single" w:sz="4" w:space="0" w:color="00000A"/>
              <w:bottom w:val="single" w:sz="4" w:space="0" w:color="00000A"/>
            </w:tcBorders>
            <w:shd w:val="clear" w:color="auto" w:fill="auto"/>
            <w:vAlign w:val="center"/>
          </w:tcPr>
          <w:p w14:paraId="73C4CB10" w14:textId="77777777" w:rsidR="00F8309D" w:rsidRDefault="00EB2AA9">
            <w:pPr>
              <w:pStyle w:val="LO-normal1"/>
              <w:spacing w:line="480" w:lineRule="auto"/>
              <w:jc w:val="right"/>
              <w:rPr>
                <w:rFonts w:ascii="Times New Roman" w:eastAsia="Times New Roman" w:hAnsi="Times New Roman" w:cs="Times New Roman"/>
              </w:rPr>
            </w:pPr>
            <w:r>
              <w:rPr>
                <w:rFonts w:ascii="Times New Roman" w:eastAsia="Times New Roman" w:hAnsi="Times New Roman" w:cs="Times New Roman"/>
                <w:sz w:val="16"/>
                <w:szCs w:val="16"/>
              </w:rPr>
              <w:t>154.25</w:t>
            </w:r>
          </w:p>
        </w:tc>
        <w:tc>
          <w:tcPr>
            <w:tcW w:w="270" w:type="dxa"/>
            <w:tcBorders>
              <w:top w:val="single" w:sz="4" w:space="0" w:color="00000A"/>
              <w:bottom w:val="single" w:sz="4" w:space="0" w:color="00000A"/>
            </w:tcBorders>
            <w:shd w:val="clear" w:color="auto" w:fill="auto"/>
            <w:vAlign w:val="center"/>
          </w:tcPr>
          <w:p w14:paraId="5FAF1474" w14:textId="77777777" w:rsidR="00F8309D" w:rsidRDefault="00EB2AA9">
            <w:pPr>
              <w:pStyle w:val="LO-normal1"/>
              <w:spacing w:line="480" w:lineRule="auto"/>
              <w:jc w:val="center"/>
              <w:rPr>
                <w:rFonts w:ascii="Times New Roman" w:eastAsia="Times New Roman" w:hAnsi="Times New Roman" w:cs="Times New Roman"/>
              </w:rPr>
            </w:pPr>
            <w:r>
              <w:rPr>
                <w:rFonts w:ascii="Times New Roman" w:eastAsia="Times New Roman" w:hAnsi="Times New Roman" w:cs="Times New Roman"/>
                <w:sz w:val="16"/>
                <w:szCs w:val="16"/>
              </w:rPr>
              <w:t>-</w:t>
            </w:r>
          </w:p>
        </w:tc>
        <w:tc>
          <w:tcPr>
            <w:tcW w:w="785" w:type="dxa"/>
            <w:tcBorders>
              <w:top w:val="single" w:sz="4" w:space="0" w:color="00000A"/>
              <w:bottom w:val="single" w:sz="4" w:space="0" w:color="00000A"/>
            </w:tcBorders>
            <w:shd w:val="clear" w:color="auto" w:fill="auto"/>
            <w:vAlign w:val="center"/>
          </w:tcPr>
          <w:p w14:paraId="5AB098DB" w14:textId="77777777" w:rsidR="00F8309D" w:rsidRDefault="00EB2AA9">
            <w:pPr>
              <w:pStyle w:val="LO-normal1"/>
              <w:spacing w:line="480" w:lineRule="auto"/>
              <w:rPr>
                <w:rFonts w:ascii="Times New Roman" w:eastAsia="Times New Roman" w:hAnsi="Times New Roman" w:cs="Times New Roman"/>
              </w:rPr>
            </w:pPr>
            <w:r>
              <w:rPr>
                <w:rFonts w:ascii="Times New Roman" w:eastAsia="Times New Roman" w:hAnsi="Times New Roman" w:cs="Times New Roman"/>
                <w:sz w:val="16"/>
                <w:szCs w:val="16"/>
              </w:rPr>
              <w:t>122.75</w:t>
            </w:r>
          </w:p>
        </w:tc>
        <w:tc>
          <w:tcPr>
            <w:tcW w:w="793" w:type="dxa"/>
            <w:tcBorders>
              <w:top w:val="single" w:sz="4" w:space="0" w:color="00000A"/>
              <w:bottom w:val="single" w:sz="4" w:space="0" w:color="00000A"/>
            </w:tcBorders>
            <w:shd w:val="clear" w:color="auto" w:fill="auto"/>
            <w:vAlign w:val="center"/>
          </w:tcPr>
          <w:p w14:paraId="43E4E6EB" w14:textId="77777777" w:rsidR="00F8309D" w:rsidRDefault="00EB2AA9">
            <w:pPr>
              <w:pStyle w:val="LO-normal1"/>
              <w:spacing w:line="480" w:lineRule="auto"/>
              <w:rPr>
                <w:rFonts w:ascii="Times New Roman" w:eastAsia="Times New Roman" w:hAnsi="Times New Roman" w:cs="Times New Roman"/>
              </w:rPr>
            </w:pPr>
            <w:r>
              <w:rPr>
                <w:rFonts w:ascii="Times New Roman" w:eastAsia="Times New Roman" w:hAnsi="Times New Roman" w:cs="Times New Roman"/>
                <w:sz w:val="16"/>
                <w:szCs w:val="16"/>
              </w:rPr>
              <w:t>31.50</w:t>
            </w:r>
          </w:p>
        </w:tc>
      </w:tr>
    </w:tbl>
    <w:p w14:paraId="0674D6D3" w14:textId="77777777" w:rsidR="00F8309D" w:rsidRDefault="00F8309D">
      <w:pPr>
        <w:pStyle w:val="LO-normal1"/>
        <w:spacing w:line="480" w:lineRule="auto"/>
        <w:rPr>
          <w:rFonts w:ascii="Times New Roman" w:eastAsia="Times New Roman" w:hAnsi="Times New Roman" w:cs="Times New Roman"/>
          <w:color w:val="000000"/>
          <w:sz w:val="18"/>
          <w:szCs w:val="18"/>
        </w:rPr>
      </w:pPr>
    </w:p>
    <w:p w14:paraId="4B62161F" w14:textId="77777777" w:rsidR="00F8309D" w:rsidRDefault="00F8309D">
      <w:pPr>
        <w:pStyle w:val="LO-normal1"/>
        <w:spacing w:line="480" w:lineRule="auto"/>
        <w:rPr>
          <w:rFonts w:ascii="Times New Roman" w:eastAsia="Times New Roman" w:hAnsi="Times New Roman" w:cs="Times New Roman"/>
          <w:color w:val="000000"/>
          <w:sz w:val="18"/>
          <w:szCs w:val="18"/>
        </w:rPr>
      </w:pPr>
    </w:p>
    <w:p w14:paraId="0CF78951" w14:textId="77777777" w:rsidR="00F8309D" w:rsidRDefault="00F8309D">
      <w:pPr>
        <w:pStyle w:val="LO-normal1"/>
        <w:spacing w:line="480" w:lineRule="auto"/>
      </w:pPr>
    </w:p>
    <w:p w14:paraId="0F5BAB0A" w14:textId="77777777" w:rsidR="00F8309D" w:rsidRDefault="00F8309D">
      <w:pPr>
        <w:pStyle w:val="LO-normal1"/>
        <w:spacing w:line="480" w:lineRule="auto"/>
      </w:pPr>
    </w:p>
    <w:p w14:paraId="4ABD6477" w14:textId="77777777" w:rsidR="00F8309D" w:rsidRDefault="00F8309D">
      <w:pPr>
        <w:pStyle w:val="LO-normal1"/>
        <w:spacing w:line="480" w:lineRule="auto"/>
      </w:pPr>
    </w:p>
    <w:sectPr w:rsidR="00F8309D">
      <w:pgSz w:w="12240" w:h="15840"/>
      <w:pgMar w:top="1134" w:right="1134" w:bottom="1134" w:left="1134" w:header="0" w:footer="0" w:gutter="0"/>
      <w:pgNumType w:start="1"/>
      <w:cols w:space="720"/>
      <w:formProt w:val="0"/>
      <w:docGrid w:linePitch="10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iberation Serif">
    <w:altName w:val="Times New Roman"/>
    <w:charset w:val="01"/>
    <w:family w:val="roman"/>
    <w:pitch w:val="variable"/>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Liberation Sans">
    <w:altName w:val="Arial"/>
    <w:charset w:val="01"/>
    <w:family w:val="roman"/>
    <w:pitch w:val="variable"/>
  </w:font>
  <w:font w:name="Noto Sans CJK SC Regular">
    <w:panose1 w:val="00000000000000000000"/>
    <w:charset w:val="00"/>
    <w:family w:val="roman"/>
    <w:notTrueType/>
    <w:pitch w:val="default"/>
  </w:font>
  <w:font w:name="Lohit Devanagari">
    <w:panose1 w:val="00000000000000000000"/>
    <w:charset w:val="00"/>
    <w:family w:val="roman"/>
    <w:notTrueType/>
    <w:pitch w:val="default"/>
  </w:font>
  <w:font w:name="Arial">
    <w:panose1 w:val="020B0604020202020204"/>
    <w:charset w:val="00"/>
    <w:family w:val="auto"/>
    <w:pitch w:val="variable"/>
    <w:sig w:usb0="E0002AFF" w:usb1="C0007843" w:usb2="00000009" w:usb3="00000000" w:csb0="000001FF" w:csb1="00000000"/>
  </w:font>
  <w:font w:name="Cambria Math">
    <w:panose1 w:val="02040503050406030204"/>
    <w:charset w:val="00"/>
    <w:family w:val="auto"/>
    <w:pitch w:val="variable"/>
    <w:sig w:usb0="E00002FF" w:usb1="420024FF" w:usb2="00000000" w:usb3="00000000" w:csb0="0000019F" w:csb1="00000000"/>
  </w:font>
  <w:font w:name="ＭＳ 明朝">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0511AE6"/>
    <w:multiLevelType w:val="multilevel"/>
    <w:tmpl w:val="3EE41620"/>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1">
    <w:nsid w:val="6AB9068B"/>
    <w:multiLevelType w:val="multilevel"/>
    <w:tmpl w:val="43C673AC"/>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defaultTabStop w:val="720"/>
  <w:characterSpacingControl w:val="doNotCompress"/>
  <w:compat>
    <w:compatSetting w:name="compatibilityMode" w:uri="http://schemas.microsoft.com/office/word" w:val="14"/>
  </w:compat>
  <w:rsids>
    <w:rsidRoot w:val="00F8309D"/>
    <w:rsid w:val="000E112A"/>
    <w:rsid w:val="004E58F0"/>
    <w:rsid w:val="00804B13"/>
    <w:rsid w:val="00844611"/>
    <w:rsid w:val="008C1048"/>
    <w:rsid w:val="00EB2AA9"/>
    <w:rsid w:val="00F8309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67F6A5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Liberation Serif" w:eastAsia="Liberation Serif" w:hAnsi="Liberation Serif" w:cs="Liberation Serif"/>
        <w:sz w:val="24"/>
        <w:szCs w:val="24"/>
        <w:lang w:val="en-GB"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qFormat/>
    <w:pPr>
      <w:widowControl w:val="0"/>
      <w:outlineLvl w:val="0"/>
    </w:pPr>
    <w:rPr>
      <w:b/>
      <w:color w:val="00000A"/>
      <w:sz w:val="28"/>
      <w:szCs w:val="28"/>
    </w:rPr>
  </w:style>
  <w:style w:type="paragraph" w:styleId="Heading2">
    <w:name w:val="heading 2"/>
    <w:qFormat/>
    <w:pPr>
      <w:widowControl w:val="0"/>
      <w:jc w:val="center"/>
      <w:outlineLvl w:val="1"/>
    </w:pPr>
    <w:rPr>
      <w:b/>
      <w:color w:val="00000A"/>
      <w:sz w:val="28"/>
      <w:szCs w:val="28"/>
    </w:rPr>
  </w:style>
  <w:style w:type="paragraph" w:styleId="Heading3">
    <w:name w:val="heading 3"/>
    <w:qFormat/>
    <w:pPr>
      <w:keepNext/>
      <w:keepLines/>
      <w:widowControl w:val="0"/>
      <w:spacing w:before="280" w:after="80"/>
      <w:outlineLvl w:val="2"/>
    </w:pPr>
    <w:rPr>
      <w:b/>
      <w:sz w:val="28"/>
      <w:szCs w:val="28"/>
    </w:rPr>
  </w:style>
  <w:style w:type="paragraph" w:styleId="Heading4">
    <w:name w:val="heading 4"/>
    <w:qFormat/>
    <w:pPr>
      <w:keepNext/>
      <w:keepLines/>
      <w:widowControl w:val="0"/>
      <w:spacing w:before="240" w:after="40"/>
      <w:outlineLvl w:val="3"/>
    </w:pPr>
    <w:rPr>
      <w:b/>
    </w:rPr>
  </w:style>
  <w:style w:type="paragraph" w:styleId="Heading5">
    <w:name w:val="heading 5"/>
    <w:qFormat/>
    <w:pPr>
      <w:keepNext/>
      <w:keepLines/>
      <w:widowControl w:val="0"/>
      <w:spacing w:before="220" w:after="40"/>
      <w:outlineLvl w:val="4"/>
    </w:pPr>
    <w:rPr>
      <w:b/>
      <w:sz w:val="22"/>
      <w:szCs w:val="22"/>
    </w:rPr>
  </w:style>
  <w:style w:type="paragraph" w:styleId="Heading6">
    <w:name w:val="heading 6"/>
    <w:qFormat/>
    <w:pPr>
      <w:keepNext/>
      <w:keepLines/>
      <w:widowControl w:val="0"/>
      <w:spacing w:before="200" w:after="40"/>
      <w:outlineLvl w:val="5"/>
    </w:pPr>
    <w:rPr>
      <w:b/>
      <w:sz w:val="20"/>
      <w:szCs w:val="20"/>
    </w:rPr>
  </w:style>
  <w:style w:type="paragraph" w:styleId="Heading7">
    <w:name w:val="heading 7"/>
    <w:basedOn w:val="Normal"/>
    <w:next w:val="Normal"/>
    <w:link w:val="Heading7Char"/>
    <w:uiPriority w:val="9"/>
    <w:unhideWhenUsed/>
    <w:qFormat/>
    <w:rsid w:val="0071381E"/>
    <w:pPr>
      <w:keepNext/>
      <w:keepLines/>
      <w:spacing w:before="200"/>
      <w:outlineLvl w:val="6"/>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BalloonTextChar">
    <w:name w:val="Balloon Text Char"/>
    <w:basedOn w:val="DefaultParagraphFont"/>
    <w:link w:val="BalloonText"/>
    <w:uiPriority w:val="99"/>
    <w:semiHidden/>
    <w:qFormat/>
    <w:rsid w:val="0071381E"/>
    <w:rPr>
      <w:rFonts w:ascii="Lucida Grande" w:hAnsi="Lucida Grande" w:cs="Lucida Grande"/>
      <w:sz w:val="18"/>
      <w:szCs w:val="18"/>
    </w:rPr>
  </w:style>
  <w:style w:type="character" w:customStyle="1" w:styleId="Heading7Char">
    <w:name w:val="Heading 7 Char"/>
    <w:basedOn w:val="DefaultParagraphFont"/>
    <w:link w:val="Heading7"/>
    <w:uiPriority w:val="9"/>
    <w:qFormat/>
    <w:rsid w:val="0071381E"/>
    <w:rPr>
      <w:rFonts w:asciiTheme="majorHAnsi" w:eastAsiaTheme="majorEastAsia" w:hAnsiTheme="majorHAnsi" w:cstheme="majorBidi"/>
      <w:i/>
      <w:iCs/>
      <w:color w:val="404040" w:themeColor="text1" w:themeTint="BF"/>
    </w:rPr>
  </w:style>
  <w:style w:type="character" w:styleId="BookTitle">
    <w:name w:val="Book Title"/>
    <w:basedOn w:val="DefaultParagraphFont"/>
    <w:uiPriority w:val="33"/>
    <w:qFormat/>
    <w:rsid w:val="0071381E"/>
    <w:rPr>
      <w:b/>
      <w:bCs/>
      <w:smallCaps/>
      <w:spacing w:val="5"/>
    </w:rPr>
  </w:style>
  <w:style w:type="character" w:styleId="CommentReference">
    <w:name w:val="annotation reference"/>
    <w:basedOn w:val="DefaultParagraphFont"/>
    <w:uiPriority w:val="99"/>
    <w:semiHidden/>
    <w:unhideWhenUsed/>
    <w:qFormat/>
    <w:rsid w:val="00AC26FD"/>
    <w:rPr>
      <w:sz w:val="18"/>
      <w:szCs w:val="18"/>
    </w:rPr>
  </w:style>
  <w:style w:type="character" w:customStyle="1" w:styleId="CommentTextChar">
    <w:name w:val="Comment Text Char"/>
    <w:basedOn w:val="DefaultParagraphFont"/>
    <w:link w:val="CommentText"/>
    <w:uiPriority w:val="99"/>
    <w:semiHidden/>
    <w:qFormat/>
    <w:rsid w:val="00AC26FD"/>
  </w:style>
  <w:style w:type="character" w:customStyle="1" w:styleId="CommentSubjectChar">
    <w:name w:val="Comment Subject Char"/>
    <w:basedOn w:val="CommentTextChar"/>
    <w:link w:val="CommentSubject"/>
    <w:uiPriority w:val="99"/>
    <w:semiHidden/>
    <w:qFormat/>
    <w:rsid w:val="00AC26FD"/>
    <w:rPr>
      <w:b/>
      <w:bCs/>
      <w:sz w:val="20"/>
      <w:szCs w:val="20"/>
    </w:rPr>
  </w:style>
  <w:style w:type="character" w:customStyle="1" w:styleId="ListLabel14">
    <w:name w:val="ListLabel 14"/>
    <w:qFormat/>
    <w:rsid w:val="00244053"/>
    <w:rPr>
      <w:u w:val="none"/>
    </w:rPr>
  </w:style>
  <w:style w:type="character" w:customStyle="1" w:styleId="InternetLink">
    <w:name w:val="Internet Link"/>
    <w:basedOn w:val="DefaultParagraphFont"/>
    <w:uiPriority w:val="99"/>
    <w:unhideWhenUsed/>
    <w:rsid w:val="00592E97"/>
    <w:rPr>
      <w:color w:val="0000FF" w:themeColor="hyperlink"/>
      <w:u w:val="single"/>
    </w:rPr>
  </w:style>
  <w:style w:type="character" w:customStyle="1" w:styleId="ListLabel15">
    <w:name w:val="ListLabel 15"/>
    <w:qFormat/>
    <w:rPr>
      <w:rFonts w:ascii="Times New Roman" w:eastAsia="Times New Roman" w:hAnsi="Times New Roman" w:cs="Times New Roman"/>
      <w:b w:val="0"/>
    </w:rPr>
  </w:style>
  <w:style w:type="paragraph" w:customStyle="1" w:styleId="Heading">
    <w:name w:val="Heading"/>
    <w:basedOn w:val="Normal"/>
    <w:next w:val="BodyText"/>
    <w:qFormat/>
    <w:pPr>
      <w:keepNext/>
      <w:spacing w:before="240" w:after="120"/>
    </w:pPr>
    <w:rPr>
      <w:rFonts w:ascii="Liberation Sans" w:eastAsia="Noto Sans CJK SC Regular" w:hAnsi="Liberation Sans" w:cs="Lohit Devanagari"/>
      <w:sz w:val="28"/>
      <w:szCs w:val="28"/>
    </w:rPr>
  </w:style>
  <w:style w:type="paragraph" w:styleId="BodyText">
    <w:name w:val="Body Text"/>
    <w:basedOn w:val="Normal"/>
    <w:pPr>
      <w:spacing w:after="140" w:line="276" w:lineRule="auto"/>
    </w:pPr>
  </w:style>
  <w:style w:type="paragraph" w:styleId="List">
    <w:name w:val="List"/>
    <w:basedOn w:val="BodyText"/>
    <w:rPr>
      <w:rFonts w:cs="Lohit Devanagari"/>
    </w:rPr>
  </w:style>
  <w:style w:type="paragraph" w:styleId="Caption">
    <w:name w:val="caption"/>
    <w:basedOn w:val="Normal"/>
    <w:qFormat/>
    <w:pPr>
      <w:suppressLineNumbers/>
      <w:spacing w:before="120" w:after="120"/>
    </w:pPr>
    <w:rPr>
      <w:rFonts w:cs="Lohit Devanagari"/>
      <w:i/>
      <w:iCs/>
    </w:rPr>
  </w:style>
  <w:style w:type="paragraph" w:customStyle="1" w:styleId="Index">
    <w:name w:val="Index"/>
    <w:basedOn w:val="Normal"/>
    <w:qFormat/>
    <w:pPr>
      <w:suppressLineNumbers/>
    </w:pPr>
    <w:rPr>
      <w:rFonts w:cs="Lohit Devanagari"/>
    </w:rPr>
  </w:style>
  <w:style w:type="paragraph" w:customStyle="1" w:styleId="LO-normal1">
    <w:name w:val="LO-normal1"/>
    <w:qFormat/>
  </w:style>
  <w:style w:type="paragraph" w:styleId="Title">
    <w:name w:val="Title"/>
    <w:basedOn w:val="LO-normal1"/>
    <w:qFormat/>
    <w:pPr>
      <w:keepNext/>
      <w:keepLines/>
      <w:spacing w:before="480" w:after="120"/>
    </w:pPr>
    <w:rPr>
      <w:b/>
      <w:sz w:val="72"/>
      <w:szCs w:val="72"/>
    </w:rPr>
  </w:style>
  <w:style w:type="paragraph" w:styleId="Subtitle">
    <w:name w:val="Subtitle"/>
    <w:basedOn w:val="LO-normal1"/>
    <w:qFormat/>
    <w:pPr>
      <w:spacing w:line="360" w:lineRule="auto"/>
      <w:jc w:val="both"/>
    </w:pPr>
    <w:rPr>
      <w:rFonts w:ascii="Arial" w:eastAsia="Arial" w:hAnsi="Arial" w:cs="Arial"/>
      <w:sz w:val="18"/>
      <w:szCs w:val="18"/>
    </w:rPr>
  </w:style>
  <w:style w:type="paragraph" w:styleId="BalloonText">
    <w:name w:val="Balloon Text"/>
    <w:basedOn w:val="Normal"/>
    <w:link w:val="BalloonTextChar"/>
    <w:uiPriority w:val="99"/>
    <w:semiHidden/>
    <w:unhideWhenUsed/>
    <w:qFormat/>
    <w:rsid w:val="0071381E"/>
    <w:rPr>
      <w:rFonts w:ascii="Lucida Grande" w:hAnsi="Lucida Grande" w:cs="Lucida Grande"/>
      <w:sz w:val="18"/>
      <w:szCs w:val="18"/>
    </w:rPr>
  </w:style>
  <w:style w:type="paragraph" w:styleId="CommentText">
    <w:name w:val="annotation text"/>
    <w:basedOn w:val="Normal"/>
    <w:link w:val="CommentTextChar"/>
    <w:uiPriority w:val="99"/>
    <w:semiHidden/>
    <w:unhideWhenUsed/>
    <w:qFormat/>
    <w:rsid w:val="00AC26FD"/>
  </w:style>
  <w:style w:type="paragraph" w:styleId="CommentSubject">
    <w:name w:val="annotation subject"/>
    <w:basedOn w:val="CommentText"/>
    <w:link w:val="CommentSubjectChar"/>
    <w:uiPriority w:val="99"/>
    <w:semiHidden/>
    <w:unhideWhenUsed/>
    <w:qFormat/>
    <w:rsid w:val="00AC26FD"/>
    <w:rPr>
      <w:b/>
      <w:bCs/>
      <w:sz w:val="20"/>
      <w:szCs w:val="20"/>
    </w:rPr>
  </w:style>
  <w:style w:type="paragraph" w:customStyle="1" w:styleId="LO-normal">
    <w:name w:val="LO-normal"/>
    <w:qFormat/>
  </w:style>
  <w:style w:type="character" w:styleId="PlaceholderText">
    <w:name w:val="Placeholder Text"/>
    <w:basedOn w:val="DefaultParagraphFont"/>
    <w:uiPriority w:val="99"/>
    <w:semiHidden/>
    <w:rsid w:val="00EB2AA9"/>
    <w:rPr>
      <w:color w:val="80808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Liberation Serif" w:eastAsia="Liberation Serif" w:hAnsi="Liberation Serif" w:cs="Liberation Serif"/>
        <w:sz w:val="24"/>
        <w:szCs w:val="24"/>
        <w:lang w:val="en-GB"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qFormat/>
    <w:pPr>
      <w:widowControl w:val="0"/>
      <w:outlineLvl w:val="0"/>
    </w:pPr>
    <w:rPr>
      <w:b/>
      <w:color w:val="00000A"/>
      <w:sz w:val="28"/>
      <w:szCs w:val="28"/>
    </w:rPr>
  </w:style>
  <w:style w:type="paragraph" w:styleId="Heading2">
    <w:name w:val="heading 2"/>
    <w:qFormat/>
    <w:pPr>
      <w:widowControl w:val="0"/>
      <w:jc w:val="center"/>
      <w:outlineLvl w:val="1"/>
    </w:pPr>
    <w:rPr>
      <w:b/>
      <w:color w:val="00000A"/>
      <w:sz w:val="28"/>
      <w:szCs w:val="28"/>
    </w:rPr>
  </w:style>
  <w:style w:type="paragraph" w:styleId="Heading3">
    <w:name w:val="heading 3"/>
    <w:qFormat/>
    <w:pPr>
      <w:keepNext/>
      <w:keepLines/>
      <w:widowControl w:val="0"/>
      <w:spacing w:before="280" w:after="80"/>
      <w:outlineLvl w:val="2"/>
    </w:pPr>
    <w:rPr>
      <w:b/>
      <w:sz w:val="28"/>
      <w:szCs w:val="28"/>
    </w:rPr>
  </w:style>
  <w:style w:type="paragraph" w:styleId="Heading4">
    <w:name w:val="heading 4"/>
    <w:qFormat/>
    <w:pPr>
      <w:keepNext/>
      <w:keepLines/>
      <w:widowControl w:val="0"/>
      <w:spacing w:before="240" w:after="40"/>
      <w:outlineLvl w:val="3"/>
    </w:pPr>
    <w:rPr>
      <w:b/>
    </w:rPr>
  </w:style>
  <w:style w:type="paragraph" w:styleId="Heading5">
    <w:name w:val="heading 5"/>
    <w:qFormat/>
    <w:pPr>
      <w:keepNext/>
      <w:keepLines/>
      <w:widowControl w:val="0"/>
      <w:spacing w:before="220" w:after="40"/>
      <w:outlineLvl w:val="4"/>
    </w:pPr>
    <w:rPr>
      <w:b/>
      <w:sz w:val="22"/>
      <w:szCs w:val="22"/>
    </w:rPr>
  </w:style>
  <w:style w:type="paragraph" w:styleId="Heading6">
    <w:name w:val="heading 6"/>
    <w:qFormat/>
    <w:pPr>
      <w:keepNext/>
      <w:keepLines/>
      <w:widowControl w:val="0"/>
      <w:spacing w:before="200" w:after="40"/>
      <w:outlineLvl w:val="5"/>
    </w:pPr>
    <w:rPr>
      <w:b/>
      <w:sz w:val="20"/>
      <w:szCs w:val="20"/>
    </w:rPr>
  </w:style>
  <w:style w:type="paragraph" w:styleId="Heading7">
    <w:name w:val="heading 7"/>
    <w:basedOn w:val="Normal"/>
    <w:next w:val="Normal"/>
    <w:link w:val="Heading7Char"/>
    <w:uiPriority w:val="9"/>
    <w:unhideWhenUsed/>
    <w:qFormat/>
    <w:rsid w:val="0071381E"/>
    <w:pPr>
      <w:keepNext/>
      <w:keepLines/>
      <w:spacing w:before="200"/>
      <w:outlineLvl w:val="6"/>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BalloonTextChar">
    <w:name w:val="Balloon Text Char"/>
    <w:basedOn w:val="DefaultParagraphFont"/>
    <w:link w:val="BalloonText"/>
    <w:uiPriority w:val="99"/>
    <w:semiHidden/>
    <w:qFormat/>
    <w:rsid w:val="0071381E"/>
    <w:rPr>
      <w:rFonts w:ascii="Lucida Grande" w:hAnsi="Lucida Grande" w:cs="Lucida Grande"/>
      <w:sz w:val="18"/>
      <w:szCs w:val="18"/>
    </w:rPr>
  </w:style>
  <w:style w:type="character" w:customStyle="1" w:styleId="Heading7Char">
    <w:name w:val="Heading 7 Char"/>
    <w:basedOn w:val="DefaultParagraphFont"/>
    <w:link w:val="Heading7"/>
    <w:uiPriority w:val="9"/>
    <w:qFormat/>
    <w:rsid w:val="0071381E"/>
    <w:rPr>
      <w:rFonts w:asciiTheme="majorHAnsi" w:eastAsiaTheme="majorEastAsia" w:hAnsiTheme="majorHAnsi" w:cstheme="majorBidi"/>
      <w:i/>
      <w:iCs/>
      <w:color w:val="404040" w:themeColor="text1" w:themeTint="BF"/>
    </w:rPr>
  </w:style>
  <w:style w:type="character" w:styleId="BookTitle">
    <w:name w:val="Book Title"/>
    <w:basedOn w:val="DefaultParagraphFont"/>
    <w:uiPriority w:val="33"/>
    <w:qFormat/>
    <w:rsid w:val="0071381E"/>
    <w:rPr>
      <w:b/>
      <w:bCs/>
      <w:smallCaps/>
      <w:spacing w:val="5"/>
    </w:rPr>
  </w:style>
  <w:style w:type="character" w:styleId="CommentReference">
    <w:name w:val="annotation reference"/>
    <w:basedOn w:val="DefaultParagraphFont"/>
    <w:uiPriority w:val="99"/>
    <w:semiHidden/>
    <w:unhideWhenUsed/>
    <w:qFormat/>
    <w:rsid w:val="00AC26FD"/>
    <w:rPr>
      <w:sz w:val="18"/>
      <w:szCs w:val="18"/>
    </w:rPr>
  </w:style>
  <w:style w:type="character" w:customStyle="1" w:styleId="CommentTextChar">
    <w:name w:val="Comment Text Char"/>
    <w:basedOn w:val="DefaultParagraphFont"/>
    <w:link w:val="CommentText"/>
    <w:uiPriority w:val="99"/>
    <w:semiHidden/>
    <w:qFormat/>
    <w:rsid w:val="00AC26FD"/>
  </w:style>
  <w:style w:type="character" w:customStyle="1" w:styleId="CommentSubjectChar">
    <w:name w:val="Comment Subject Char"/>
    <w:basedOn w:val="CommentTextChar"/>
    <w:link w:val="CommentSubject"/>
    <w:uiPriority w:val="99"/>
    <w:semiHidden/>
    <w:qFormat/>
    <w:rsid w:val="00AC26FD"/>
    <w:rPr>
      <w:b/>
      <w:bCs/>
      <w:sz w:val="20"/>
      <w:szCs w:val="20"/>
    </w:rPr>
  </w:style>
  <w:style w:type="character" w:customStyle="1" w:styleId="ListLabel14">
    <w:name w:val="ListLabel 14"/>
    <w:qFormat/>
    <w:rsid w:val="00244053"/>
    <w:rPr>
      <w:u w:val="none"/>
    </w:rPr>
  </w:style>
  <w:style w:type="character" w:customStyle="1" w:styleId="InternetLink">
    <w:name w:val="Internet Link"/>
    <w:basedOn w:val="DefaultParagraphFont"/>
    <w:uiPriority w:val="99"/>
    <w:unhideWhenUsed/>
    <w:rsid w:val="00592E97"/>
    <w:rPr>
      <w:color w:val="0000FF" w:themeColor="hyperlink"/>
      <w:u w:val="single"/>
    </w:rPr>
  </w:style>
  <w:style w:type="character" w:customStyle="1" w:styleId="ListLabel15">
    <w:name w:val="ListLabel 15"/>
    <w:qFormat/>
    <w:rPr>
      <w:rFonts w:ascii="Times New Roman" w:eastAsia="Times New Roman" w:hAnsi="Times New Roman" w:cs="Times New Roman"/>
      <w:b w:val="0"/>
    </w:rPr>
  </w:style>
  <w:style w:type="paragraph" w:customStyle="1" w:styleId="Heading">
    <w:name w:val="Heading"/>
    <w:basedOn w:val="Normal"/>
    <w:next w:val="BodyText"/>
    <w:qFormat/>
    <w:pPr>
      <w:keepNext/>
      <w:spacing w:before="240" w:after="120"/>
    </w:pPr>
    <w:rPr>
      <w:rFonts w:ascii="Liberation Sans" w:eastAsia="Noto Sans CJK SC Regular" w:hAnsi="Liberation Sans" w:cs="Lohit Devanagari"/>
      <w:sz w:val="28"/>
      <w:szCs w:val="28"/>
    </w:rPr>
  </w:style>
  <w:style w:type="paragraph" w:styleId="BodyText">
    <w:name w:val="Body Text"/>
    <w:basedOn w:val="Normal"/>
    <w:pPr>
      <w:spacing w:after="140" w:line="276" w:lineRule="auto"/>
    </w:pPr>
  </w:style>
  <w:style w:type="paragraph" w:styleId="List">
    <w:name w:val="List"/>
    <w:basedOn w:val="BodyText"/>
    <w:rPr>
      <w:rFonts w:cs="Lohit Devanagari"/>
    </w:rPr>
  </w:style>
  <w:style w:type="paragraph" w:styleId="Caption">
    <w:name w:val="caption"/>
    <w:basedOn w:val="Normal"/>
    <w:qFormat/>
    <w:pPr>
      <w:suppressLineNumbers/>
      <w:spacing w:before="120" w:after="120"/>
    </w:pPr>
    <w:rPr>
      <w:rFonts w:cs="Lohit Devanagari"/>
      <w:i/>
      <w:iCs/>
    </w:rPr>
  </w:style>
  <w:style w:type="paragraph" w:customStyle="1" w:styleId="Index">
    <w:name w:val="Index"/>
    <w:basedOn w:val="Normal"/>
    <w:qFormat/>
    <w:pPr>
      <w:suppressLineNumbers/>
    </w:pPr>
    <w:rPr>
      <w:rFonts w:cs="Lohit Devanagari"/>
    </w:rPr>
  </w:style>
  <w:style w:type="paragraph" w:customStyle="1" w:styleId="LO-normal1">
    <w:name w:val="LO-normal1"/>
    <w:qFormat/>
  </w:style>
  <w:style w:type="paragraph" w:styleId="Title">
    <w:name w:val="Title"/>
    <w:basedOn w:val="LO-normal1"/>
    <w:qFormat/>
    <w:pPr>
      <w:keepNext/>
      <w:keepLines/>
      <w:spacing w:before="480" w:after="120"/>
    </w:pPr>
    <w:rPr>
      <w:b/>
      <w:sz w:val="72"/>
      <w:szCs w:val="72"/>
    </w:rPr>
  </w:style>
  <w:style w:type="paragraph" w:styleId="Subtitle">
    <w:name w:val="Subtitle"/>
    <w:basedOn w:val="LO-normal1"/>
    <w:qFormat/>
    <w:pPr>
      <w:spacing w:line="360" w:lineRule="auto"/>
      <w:jc w:val="both"/>
    </w:pPr>
    <w:rPr>
      <w:rFonts w:ascii="Arial" w:eastAsia="Arial" w:hAnsi="Arial" w:cs="Arial"/>
      <w:sz w:val="18"/>
      <w:szCs w:val="18"/>
    </w:rPr>
  </w:style>
  <w:style w:type="paragraph" w:styleId="BalloonText">
    <w:name w:val="Balloon Text"/>
    <w:basedOn w:val="Normal"/>
    <w:link w:val="BalloonTextChar"/>
    <w:uiPriority w:val="99"/>
    <w:semiHidden/>
    <w:unhideWhenUsed/>
    <w:qFormat/>
    <w:rsid w:val="0071381E"/>
    <w:rPr>
      <w:rFonts w:ascii="Lucida Grande" w:hAnsi="Lucida Grande" w:cs="Lucida Grande"/>
      <w:sz w:val="18"/>
      <w:szCs w:val="18"/>
    </w:rPr>
  </w:style>
  <w:style w:type="paragraph" w:styleId="CommentText">
    <w:name w:val="annotation text"/>
    <w:basedOn w:val="Normal"/>
    <w:link w:val="CommentTextChar"/>
    <w:uiPriority w:val="99"/>
    <w:semiHidden/>
    <w:unhideWhenUsed/>
    <w:qFormat/>
    <w:rsid w:val="00AC26FD"/>
  </w:style>
  <w:style w:type="paragraph" w:styleId="CommentSubject">
    <w:name w:val="annotation subject"/>
    <w:basedOn w:val="CommentText"/>
    <w:link w:val="CommentSubjectChar"/>
    <w:uiPriority w:val="99"/>
    <w:semiHidden/>
    <w:unhideWhenUsed/>
    <w:qFormat/>
    <w:rsid w:val="00AC26FD"/>
    <w:rPr>
      <w:b/>
      <w:bCs/>
      <w:sz w:val="20"/>
      <w:szCs w:val="20"/>
    </w:rPr>
  </w:style>
  <w:style w:type="paragraph" w:customStyle="1" w:styleId="LO-normal">
    <w:name w:val="LO-normal"/>
    <w:qFormat/>
  </w:style>
  <w:style w:type="character" w:styleId="PlaceholderText">
    <w:name w:val="Placeholder Text"/>
    <w:basedOn w:val="DefaultParagraphFont"/>
    <w:uiPriority w:val="99"/>
    <w:semiHidden/>
    <w:rsid w:val="00EB2AA9"/>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5.tif"/><Relationship Id="rId12" Type="http://schemas.openxmlformats.org/officeDocument/2006/relationships/image" Target="media/image6.tif"/><Relationship Id="rId13" Type="http://schemas.openxmlformats.org/officeDocument/2006/relationships/image" Target="media/image7.tif"/><Relationship Id="rId14" Type="http://schemas.openxmlformats.org/officeDocument/2006/relationships/image" Target="media/image8.tif"/><Relationship Id="rId15" Type="http://schemas.openxmlformats.org/officeDocument/2006/relationships/image" Target="media/image9.tif"/><Relationship Id="rId16" Type="http://schemas.openxmlformats.org/officeDocument/2006/relationships/image" Target="media/image10.tif"/><Relationship Id="rId17" Type="http://schemas.openxmlformats.org/officeDocument/2006/relationships/image" Target="media/image11.png"/><Relationship Id="rId18" Type="http://schemas.openxmlformats.org/officeDocument/2006/relationships/fontTable" Target="fontTable.xml"/><Relationship Id="rId19"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hyperlink" Target="https://github.com/DomBennett/Project-karenina" TargetMode="External"/><Relationship Id="rId7" Type="http://schemas.openxmlformats.org/officeDocument/2006/relationships/image" Target="media/image1.png"/><Relationship Id="rId8" Type="http://schemas.openxmlformats.org/officeDocument/2006/relationships/image" Target="media/image2.wmf"/><Relationship Id="rId9" Type="http://schemas.openxmlformats.org/officeDocument/2006/relationships/image" Target="media/image3.wmf"/><Relationship Id="rId10" Type="http://schemas.openxmlformats.org/officeDocument/2006/relationships/image" Target="media/image4.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183</TotalTime>
  <Pages>18</Pages>
  <Words>2672</Words>
  <Characters>15236</Characters>
  <Application>Microsoft Macintosh Word</Application>
  <DocSecurity>0</DocSecurity>
  <Lines>126</Lines>
  <Paragraphs>35</Paragraphs>
  <ScaleCrop>false</ScaleCrop>
  <Company>Imperial College London &amp; Zoological Society of Lon</Company>
  <LinksUpToDate>false</LinksUpToDate>
  <CharactersWithSpaces>17873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dc:description/>
  <cp:lastModifiedBy>Dominic Bennett</cp:lastModifiedBy>
  <cp:revision>63</cp:revision>
  <dcterms:created xsi:type="dcterms:W3CDTF">2019-03-03T09:02:00Z</dcterms:created>
  <dcterms:modified xsi:type="dcterms:W3CDTF">2019-08-02T23:27:00Z</dcterms:modified>
  <dc:language>en-GB</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14.0000</vt:lpwstr>
  </property>
  <property fmtid="{D5CDD505-2E9C-101B-9397-08002B2CF9AE}" pid="3" name="Company">
    <vt:lpwstr>Imperial College London &amp; Zoological Society of Lon</vt:lpwstr>
  </property>
  <property fmtid="{D5CDD505-2E9C-101B-9397-08002B2CF9AE}" pid="4" name="DocSecurity">
    <vt:i4>0</vt:i4>
  </property>
  <property fmtid="{D5CDD505-2E9C-101B-9397-08002B2CF9AE}" pid="5" name="HyperlinksChanged">
    <vt:bool>false</vt:bool>
  </property>
  <property fmtid="{D5CDD505-2E9C-101B-9397-08002B2CF9AE}" pid="6" name="LinksUpToDate">
    <vt:bool>false</vt:bool>
  </property>
  <property fmtid="{D5CDD505-2E9C-101B-9397-08002B2CF9AE}" pid="7" name="ScaleCrop">
    <vt:bool>false</vt:bool>
  </property>
  <property fmtid="{D5CDD505-2E9C-101B-9397-08002B2CF9AE}" pid="8" name="ShareDoc">
    <vt:bool>false</vt:bool>
  </property>
</Properties>
</file>