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1901" w14:textId="77777777" w:rsidR="00BE2DB9" w:rsidRPr="0041394C" w:rsidRDefault="00BE2DB9" w:rsidP="00BE2DB9">
      <w:pPr>
        <w:tabs>
          <w:tab w:val="left" w:pos="2913"/>
        </w:tabs>
        <w:contextualSpacing/>
        <w:jc w:val="center"/>
        <w:rPr>
          <w:rFonts w:ascii="Cambria" w:hAnsi="Cambria" w:cs="Arial"/>
          <w:i/>
          <w:color w:val="FF0000"/>
        </w:rPr>
      </w:pPr>
      <w:r w:rsidRPr="0041394C">
        <w:rPr>
          <w:rFonts w:ascii="Cambria" w:hAnsi="Cambria" w:cs="Arial"/>
          <w:i/>
          <w:noProof/>
          <w:color w:val="FF0000"/>
        </w:rPr>
        <w:drawing>
          <wp:inline distT="0" distB="0" distL="0" distR="0" wp14:anchorId="17D6AD5F" wp14:editId="21C5D727">
            <wp:extent cx="5943600" cy="4241800"/>
            <wp:effectExtent l="0" t="0" r="0" b="0"/>
            <wp:docPr id="7" name="Picture 7" descr="../final_figures/Supplement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figures/Supplement1-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241800"/>
                    </a:xfrm>
                    <a:prstGeom prst="rect">
                      <a:avLst/>
                    </a:prstGeom>
                    <a:noFill/>
                    <a:ln>
                      <a:noFill/>
                    </a:ln>
                  </pic:spPr>
                </pic:pic>
              </a:graphicData>
            </a:graphic>
          </wp:inline>
        </w:drawing>
      </w:r>
    </w:p>
    <w:p w14:paraId="57591E58" w14:textId="77777777" w:rsidR="00BE2DB9" w:rsidRPr="0041394C" w:rsidRDefault="00BE2DB9" w:rsidP="00BE2DB9">
      <w:pPr>
        <w:tabs>
          <w:tab w:val="left" w:pos="2913"/>
        </w:tabs>
        <w:contextualSpacing/>
        <w:jc w:val="center"/>
        <w:rPr>
          <w:rFonts w:ascii="Cambria" w:hAnsi="Cambria" w:cs="Arial"/>
          <w:i/>
          <w:color w:val="FF0000"/>
        </w:rPr>
      </w:pPr>
    </w:p>
    <w:p w14:paraId="10EDEDCA" w14:textId="77777777" w:rsidR="00BE2DB9" w:rsidRPr="000E6112" w:rsidRDefault="00BE2DB9" w:rsidP="00BE2DB9">
      <w:pPr>
        <w:tabs>
          <w:tab w:val="left" w:pos="2913"/>
        </w:tabs>
        <w:contextualSpacing/>
        <w:jc w:val="center"/>
        <w:rPr>
          <w:rFonts w:ascii="Cambria" w:hAnsi="Cambria" w:cs="Arial"/>
          <w:color w:val="000000" w:themeColor="text1"/>
        </w:rPr>
      </w:pPr>
    </w:p>
    <w:p w14:paraId="12C80D5E" w14:textId="7FCDE6FF" w:rsidR="00BE2DB9" w:rsidRPr="000E6112" w:rsidRDefault="00BE2DB9" w:rsidP="00BE2DB9">
      <w:pPr>
        <w:widowControl w:val="0"/>
        <w:autoSpaceDE w:val="0"/>
        <w:autoSpaceDN w:val="0"/>
        <w:adjustRightInd w:val="0"/>
        <w:spacing w:after="240" w:line="260" w:lineRule="atLeast"/>
        <w:contextualSpacing/>
        <w:rPr>
          <w:rFonts w:ascii="Cambria" w:hAnsi="Cambria" w:cs="Times"/>
          <w:color w:val="000000" w:themeColor="text1"/>
        </w:rPr>
      </w:pPr>
      <w:r w:rsidRPr="000E6112">
        <w:rPr>
          <w:rFonts w:ascii="Cambria" w:hAnsi="Cambria" w:cs="Times"/>
          <w:b/>
          <w:color w:val="000000" w:themeColor="text1"/>
        </w:rPr>
        <w:t>Figure S1:</w:t>
      </w:r>
      <w:r w:rsidRPr="000E6112">
        <w:rPr>
          <w:rFonts w:ascii="Cambria" w:hAnsi="Cambria" w:cs="Times"/>
          <w:color w:val="000000" w:themeColor="text1"/>
        </w:rPr>
        <w:t xml:space="preserve"> Wind drift propensity across distance to coastline and latitude at 19 weather surveillance radar stations during spring migration (1995-2018). Slope of </w:t>
      </w:r>
      <w:r w:rsidR="00F61294" w:rsidRPr="00352F24">
        <w:rPr>
          <w:rFonts w:ascii="Cambria" w:hAnsi="Cambria" w:cs="Times New Roman"/>
          <w:bCs/>
        </w:rPr>
        <w:t>α</w:t>
      </w:r>
      <w:r w:rsidRPr="000E6112">
        <w:rPr>
          <w:rFonts w:ascii="Cambria" w:hAnsi="Cambria" w:cs="Times"/>
          <w:color w:val="000000" w:themeColor="text1"/>
        </w:rPr>
        <w:t xml:space="preserve"> represents drift propensity; 0 is complete compensation for wind, 1 is complete drift with wind. Predictions of propensity of drift are shown from 0 to 325 km distance to coastline at 35°N, 40°N, and 45°N. The fitted lines and 95% confidence bands are from a least squares linear model with an interaction between latitude and distance to coastline. </w:t>
      </w:r>
    </w:p>
    <w:p w14:paraId="1FB57E5B" w14:textId="77777777" w:rsidR="00BE2DB9" w:rsidRDefault="00BE2DB9" w:rsidP="00BE2DB9">
      <w:pPr>
        <w:rPr>
          <w:rFonts w:ascii="Cambria" w:hAnsi="Cambria" w:cs="Arial"/>
          <w:color w:val="000000"/>
        </w:rPr>
      </w:pPr>
    </w:p>
    <w:p w14:paraId="10BD2D2C" w14:textId="77777777" w:rsidR="00BE2DB9" w:rsidRDefault="00BE2DB9" w:rsidP="00BE2DB9">
      <w:pPr>
        <w:rPr>
          <w:rFonts w:ascii="Cambria" w:hAnsi="Cambria" w:cs="Arial"/>
          <w:color w:val="000000"/>
        </w:rPr>
      </w:pPr>
    </w:p>
    <w:p w14:paraId="447AA8BB" w14:textId="2E61A06B" w:rsidR="00BE2DB9" w:rsidRDefault="00BE2DB9" w:rsidP="00BE2DB9">
      <w:pPr>
        <w:rPr>
          <w:rFonts w:ascii="Cambria" w:hAnsi="Cambria" w:cs="Arial"/>
          <w:color w:val="000000"/>
        </w:rPr>
      </w:pPr>
    </w:p>
    <w:p w14:paraId="7253F811" w14:textId="1A60A428" w:rsidR="00C171D4" w:rsidRDefault="00C171D4" w:rsidP="00BE2DB9">
      <w:pPr>
        <w:rPr>
          <w:rFonts w:ascii="Cambria" w:hAnsi="Cambria" w:cs="Arial"/>
          <w:color w:val="000000"/>
        </w:rPr>
      </w:pPr>
    </w:p>
    <w:p w14:paraId="08864F4D" w14:textId="239CFC5D" w:rsidR="00C171D4" w:rsidRDefault="00C171D4" w:rsidP="00BE2DB9">
      <w:pPr>
        <w:rPr>
          <w:rFonts w:ascii="Cambria" w:hAnsi="Cambria" w:cs="Arial"/>
          <w:color w:val="000000"/>
        </w:rPr>
      </w:pPr>
    </w:p>
    <w:p w14:paraId="588A48E3" w14:textId="4C1B02C8" w:rsidR="00C171D4" w:rsidRDefault="00C171D4" w:rsidP="00BE2DB9">
      <w:pPr>
        <w:rPr>
          <w:rFonts w:ascii="Cambria" w:hAnsi="Cambria" w:cs="Arial"/>
          <w:color w:val="000000"/>
        </w:rPr>
      </w:pPr>
    </w:p>
    <w:p w14:paraId="43469616" w14:textId="05F8A542" w:rsidR="00C171D4" w:rsidRDefault="00C171D4" w:rsidP="00BE2DB9">
      <w:pPr>
        <w:rPr>
          <w:rFonts w:ascii="Cambria" w:hAnsi="Cambria" w:cs="Arial"/>
          <w:color w:val="000000"/>
        </w:rPr>
      </w:pPr>
    </w:p>
    <w:p w14:paraId="2EE89198" w14:textId="2B264C09" w:rsidR="00C171D4" w:rsidRDefault="00C171D4" w:rsidP="00BE2DB9">
      <w:pPr>
        <w:rPr>
          <w:rFonts w:ascii="Cambria" w:hAnsi="Cambria" w:cs="Arial"/>
          <w:color w:val="000000"/>
        </w:rPr>
      </w:pPr>
    </w:p>
    <w:p w14:paraId="773FCA9C" w14:textId="654CBE9A" w:rsidR="00C171D4" w:rsidRDefault="00C171D4" w:rsidP="00BE2DB9">
      <w:pPr>
        <w:rPr>
          <w:rFonts w:ascii="Cambria" w:hAnsi="Cambria" w:cs="Arial"/>
          <w:color w:val="000000"/>
        </w:rPr>
      </w:pPr>
    </w:p>
    <w:p w14:paraId="4C390491" w14:textId="42711AB9" w:rsidR="00C171D4" w:rsidRDefault="00C171D4" w:rsidP="00BE2DB9">
      <w:pPr>
        <w:rPr>
          <w:rFonts w:ascii="Cambria" w:hAnsi="Cambria" w:cs="Arial"/>
          <w:color w:val="000000"/>
        </w:rPr>
      </w:pPr>
    </w:p>
    <w:p w14:paraId="081B0234" w14:textId="0F3033F3" w:rsidR="00C171D4" w:rsidRDefault="00C171D4" w:rsidP="00BE2DB9">
      <w:pPr>
        <w:rPr>
          <w:rFonts w:ascii="Cambria" w:hAnsi="Cambria" w:cs="Arial"/>
          <w:color w:val="000000"/>
        </w:rPr>
      </w:pPr>
    </w:p>
    <w:p w14:paraId="4745A773" w14:textId="5635CD21" w:rsidR="00C171D4" w:rsidRDefault="00C171D4" w:rsidP="00BE2DB9">
      <w:pPr>
        <w:rPr>
          <w:rFonts w:ascii="Cambria" w:hAnsi="Cambria" w:cs="Arial"/>
          <w:color w:val="000000"/>
        </w:rPr>
      </w:pPr>
    </w:p>
    <w:p w14:paraId="690B4978" w14:textId="710E82AB" w:rsidR="00C171D4" w:rsidRDefault="00C171D4" w:rsidP="00BE2DB9">
      <w:pPr>
        <w:rPr>
          <w:rFonts w:ascii="Cambria" w:hAnsi="Cambria" w:cs="Arial"/>
          <w:color w:val="000000"/>
        </w:rPr>
      </w:pPr>
    </w:p>
    <w:p w14:paraId="54B7C08C" w14:textId="2862A064" w:rsidR="00C171D4" w:rsidRDefault="00C171D4" w:rsidP="00BE2DB9">
      <w:pPr>
        <w:rPr>
          <w:rFonts w:ascii="Cambria" w:hAnsi="Cambria" w:cs="Arial"/>
          <w:color w:val="000000"/>
        </w:rPr>
      </w:pPr>
    </w:p>
    <w:p w14:paraId="6AAFD486" w14:textId="7678FB5B" w:rsidR="00C171D4" w:rsidRDefault="00C171D4" w:rsidP="00BE2DB9">
      <w:pPr>
        <w:rPr>
          <w:rFonts w:ascii="Cambria" w:hAnsi="Cambria" w:cs="Arial"/>
          <w:color w:val="000000"/>
        </w:rPr>
      </w:pPr>
    </w:p>
    <w:p w14:paraId="0486F767" w14:textId="77777777" w:rsidR="00C171D4" w:rsidRDefault="00C171D4" w:rsidP="00C171D4">
      <w:pPr>
        <w:widowControl w:val="0"/>
        <w:autoSpaceDE w:val="0"/>
        <w:autoSpaceDN w:val="0"/>
        <w:adjustRightInd w:val="0"/>
        <w:spacing w:after="240"/>
        <w:jc w:val="center"/>
        <w:rPr>
          <w:rFonts w:ascii="Cambria" w:hAnsi="Cambria" w:cs="Arial"/>
          <w:b/>
          <w:i/>
          <w:iCs/>
          <w:noProof/>
          <w:color w:val="FF0000"/>
        </w:rPr>
      </w:pPr>
      <w:r>
        <w:rPr>
          <w:rFonts w:ascii="Cambria" w:hAnsi="Cambria" w:cs="Arial"/>
          <w:b/>
          <w:i/>
          <w:iCs/>
          <w:noProof/>
          <w:color w:val="FF0000"/>
        </w:rPr>
        <w:drawing>
          <wp:inline distT="0" distB="0" distL="0" distR="0" wp14:anchorId="57F6FD18" wp14:editId="39585976">
            <wp:extent cx="2825181" cy="41780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937" cy="4233922"/>
                    </a:xfrm>
                    <a:prstGeom prst="rect">
                      <a:avLst/>
                    </a:prstGeom>
                  </pic:spPr>
                </pic:pic>
              </a:graphicData>
            </a:graphic>
          </wp:inline>
        </w:drawing>
      </w:r>
    </w:p>
    <w:p w14:paraId="48CDD820" w14:textId="77777777" w:rsidR="00C171D4" w:rsidRPr="00C171D4" w:rsidRDefault="00C171D4" w:rsidP="00C171D4">
      <w:pPr>
        <w:rPr>
          <w:rFonts w:ascii="Cambria" w:hAnsi="Cambria" w:cs="Arial"/>
          <w:bCs/>
          <w:color w:val="000000" w:themeColor="text1"/>
        </w:rPr>
      </w:pPr>
      <w:r w:rsidRPr="00C171D4">
        <w:rPr>
          <w:rFonts w:ascii="Cambria" w:hAnsi="Cambria" w:cs="Arial"/>
          <w:b/>
          <w:noProof/>
          <w:color w:val="000000" w:themeColor="text1"/>
        </w:rPr>
        <w:t>Figure S2:</w:t>
      </w:r>
      <w:r w:rsidRPr="00C171D4">
        <w:rPr>
          <w:rFonts w:ascii="Cambria" w:hAnsi="Cambria" w:cs="Arial"/>
          <w:bCs/>
          <w:noProof/>
          <w:color w:val="000000" w:themeColor="text1"/>
        </w:rPr>
        <w:t xml:space="preserve"> </w:t>
      </w:r>
      <w:r w:rsidRPr="00C171D4">
        <w:rPr>
          <w:rFonts w:ascii="Cambria" w:hAnsi="Cambria" w:cs="Arial"/>
          <w:bCs/>
          <w:color w:val="000000" w:themeColor="text1"/>
        </w:rPr>
        <w:t>Four sites showing overcompensation, a rare flight behavior. Spring (March 1</w:t>
      </w:r>
      <w:r w:rsidRPr="00C171D4">
        <w:rPr>
          <w:rFonts w:ascii="Cambria" w:hAnsi="Cambria" w:cs="Arial"/>
          <w:bCs/>
          <w:color w:val="000000" w:themeColor="text1"/>
          <w:vertAlign w:val="superscript"/>
        </w:rPr>
        <w:t>st</w:t>
      </w:r>
      <w:r w:rsidRPr="00C171D4">
        <w:rPr>
          <w:rFonts w:ascii="Cambria" w:hAnsi="Cambria" w:cs="Arial"/>
          <w:bCs/>
          <w:color w:val="000000" w:themeColor="text1"/>
        </w:rPr>
        <w:t xml:space="preserve"> to June 15</w:t>
      </w:r>
      <w:r w:rsidRPr="00C171D4">
        <w:rPr>
          <w:rFonts w:ascii="Cambria" w:hAnsi="Cambria" w:cs="Arial"/>
          <w:bCs/>
          <w:color w:val="000000" w:themeColor="text1"/>
          <w:vertAlign w:val="superscript"/>
        </w:rPr>
        <w:t>th</w:t>
      </w:r>
      <w:r w:rsidRPr="00C171D4">
        <w:rPr>
          <w:rFonts w:ascii="Cambria" w:hAnsi="Cambria" w:cs="Arial"/>
          <w:bCs/>
          <w:color w:val="000000" w:themeColor="text1"/>
        </w:rPr>
        <w:t>, a-b) and fall (August 1</w:t>
      </w:r>
      <w:r w:rsidRPr="00C171D4">
        <w:rPr>
          <w:rFonts w:ascii="Cambria" w:hAnsi="Cambria" w:cs="Arial"/>
          <w:bCs/>
          <w:color w:val="000000" w:themeColor="text1"/>
          <w:vertAlign w:val="superscript"/>
        </w:rPr>
        <w:t>st</w:t>
      </w:r>
      <w:r w:rsidRPr="00C171D4">
        <w:rPr>
          <w:rFonts w:ascii="Cambria" w:hAnsi="Cambria" w:cs="Arial"/>
          <w:bCs/>
          <w:color w:val="000000" w:themeColor="text1"/>
        </w:rPr>
        <w:t xml:space="preserve"> to November 15</w:t>
      </w:r>
      <w:r w:rsidRPr="00C171D4">
        <w:rPr>
          <w:rFonts w:ascii="Cambria" w:hAnsi="Cambria" w:cs="Arial"/>
          <w:bCs/>
          <w:color w:val="000000" w:themeColor="text1"/>
          <w:vertAlign w:val="superscript"/>
        </w:rPr>
        <w:t>th</w:t>
      </w:r>
      <w:r w:rsidRPr="00C171D4">
        <w:rPr>
          <w:rFonts w:ascii="Cambria" w:hAnsi="Cambria" w:cs="Arial"/>
          <w:bCs/>
          <w:color w:val="000000" w:themeColor="text1"/>
        </w:rPr>
        <w:t>, c-d) distributions of migrant track (pink), heading (blue), and wind direction (gray) at weather surveillance radar (WSR) stations summarized from 1995 to 2018 between sunset and sunrise. Black arrows denote preferred direction of movement and the gray arrows the average wind direction. PDM arrows’ lengths are scaled to average migrant groundspeed and wind arrows’ lengths are scaled to the average wind speed. Note, all distributions are scaled to the same size and number of observations but exhibit differing maxima. Rose diagrams are summarized in 5</w:t>
      </w:r>
      <w:r w:rsidRPr="00C171D4">
        <w:rPr>
          <w:rFonts w:ascii="Cambria" w:hAnsi="Cambria"/>
          <w:bCs/>
          <w:color w:val="000000" w:themeColor="text1"/>
        </w:rPr>
        <w:sym w:font="Symbol" w:char="F0B0"/>
      </w:r>
      <w:r w:rsidRPr="00C171D4">
        <w:rPr>
          <w:rFonts w:ascii="Cambria" w:hAnsi="Cambria" w:cs="Arial"/>
          <w:bCs/>
          <w:color w:val="000000" w:themeColor="text1"/>
        </w:rPr>
        <w:t xml:space="preserve"> sectors. </w:t>
      </w:r>
    </w:p>
    <w:p w14:paraId="1BE915D3" w14:textId="77777777" w:rsidR="00C171D4" w:rsidRPr="006F19F8" w:rsidRDefault="00C171D4" w:rsidP="00C171D4">
      <w:pPr>
        <w:rPr>
          <w:rFonts w:ascii="Cambria" w:hAnsi="Cambria" w:cs="Arial"/>
          <w:bCs/>
          <w:color w:val="FF0000"/>
        </w:rPr>
      </w:pPr>
    </w:p>
    <w:p w14:paraId="1A4FDABB" w14:textId="77777777" w:rsidR="00C171D4" w:rsidRDefault="00C171D4" w:rsidP="00BE2DB9">
      <w:pPr>
        <w:rPr>
          <w:rFonts w:ascii="Cambria" w:hAnsi="Cambria" w:cs="Arial"/>
          <w:color w:val="000000"/>
        </w:rPr>
      </w:pPr>
    </w:p>
    <w:p w14:paraId="30A7ED2B" w14:textId="77777777" w:rsidR="00BE2DB9" w:rsidRDefault="00BE2DB9" w:rsidP="00BE2DB9">
      <w:pPr>
        <w:rPr>
          <w:rFonts w:ascii="Cambria" w:hAnsi="Cambria" w:cs="Arial"/>
          <w:color w:val="000000"/>
        </w:rPr>
      </w:pPr>
    </w:p>
    <w:p w14:paraId="35425F4B" w14:textId="77777777" w:rsidR="00BE2DB9" w:rsidRDefault="00BE2DB9" w:rsidP="00BE2DB9">
      <w:pPr>
        <w:rPr>
          <w:rFonts w:ascii="Cambria" w:hAnsi="Cambria" w:cs="Arial"/>
          <w:color w:val="000000"/>
        </w:rPr>
      </w:pPr>
    </w:p>
    <w:p w14:paraId="4E4E7D76" w14:textId="77777777" w:rsidR="00BE2DB9" w:rsidRDefault="00BE2DB9" w:rsidP="00BE2DB9">
      <w:pPr>
        <w:rPr>
          <w:rFonts w:ascii="Cambria" w:hAnsi="Cambria" w:cs="Arial"/>
          <w:color w:val="000000"/>
        </w:rPr>
      </w:pPr>
    </w:p>
    <w:p w14:paraId="34300111" w14:textId="77777777" w:rsidR="00BE2DB9" w:rsidRDefault="00BE2DB9" w:rsidP="00BE2DB9">
      <w:pPr>
        <w:rPr>
          <w:rFonts w:ascii="Cambria" w:hAnsi="Cambria" w:cs="Arial"/>
          <w:color w:val="000000"/>
        </w:rPr>
      </w:pPr>
    </w:p>
    <w:p w14:paraId="30A5C3EA" w14:textId="77777777" w:rsidR="00BE2DB9" w:rsidRDefault="00BE2DB9" w:rsidP="00BE2DB9">
      <w:pPr>
        <w:rPr>
          <w:rFonts w:ascii="Cambria" w:hAnsi="Cambria" w:cs="Arial"/>
          <w:color w:val="000000"/>
        </w:rPr>
      </w:pPr>
    </w:p>
    <w:p w14:paraId="6259C092" w14:textId="77777777" w:rsidR="00BE2DB9" w:rsidRDefault="00BE2DB9" w:rsidP="00BE2DB9">
      <w:pPr>
        <w:rPr>
          <w:rFonts w:ascii="Cambria" w:hAnsi="Cambria" w:cs="Arial"/>
          <w:color w:val="000000"/>
        </w:rPr>
      </w:pPr>
    </w:p>
    <w:p w14:paraId="283D95B4" w14:textId="77777777" w:rsidR="00BE2DB9" w:rsidRDefault="00BE2DB9" w:rsidP="00BE2DB9">
      <w:pPr>
        <w:rPr>
          <w:rFonts w:ascii="Cambria" w:hAnsi="Cambria" w:cs="Arial"/>
          <w:color w:val="000000"/>
        </w:rPr>
      </w:pPr>
    </w:p>
    <w:p w14:paraId="5DA4ED1C" w14:textId="77777777" w:rsidR="00BE2DB9" w:rsidRDefault="00BE2DB9" w:rsidP="00BE2DB9">
      <w:pPr>
        <w:rPr>
          <w:rFonts w:ascii="Cambria" w:hAnsi="Cambria" w:cs="Arial"/>
          <w:color w:val="000000"/>
        </w:rPr>
      </w:pPr>
    </w:p>
    <w:p w14:paraId="6083557D" w14:textId="77777777" w:rsidR="00BE2DB9" w:rsidRDefault="00BE2DB9" w:rsidP="00BE2DB9">
      <w:pPr>
        <w:rPr>
          <w:rFonts w:ascii="Cambria" w:hAnsi="Cambria" w:cs="Arial"/>
          <w:color w:val="000000"/>
        </w:rPr>
      </w:pPr>
      <w:bookmarkStart w:id="0" w:name="_GoBack"/>
      <w:bookmarkEnd w:id="0"/>
    </w:p>
    <w:sectPr w:rsidR="00BE2DB9" w:rsidSect="00D67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B9"/>
    <w:rsid w:val="00087593"/>
    <w:rsid w:val="00420C1E"/>
    <w:rsid w:val="00BE2DB9"/>
    <w:rsid w:val="00C171D4"/>
    <w:rsid w:val="00D6762A"/>
    <w:rsid w:val="00F6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151DB"/>
  <w15:chartTrackingRefBased/>
  <w15:docId w15:val="{B1824898-218C-E84D-877C-E860204F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B9"/>
    <w:pPr>
      <w:ind w:left="720"/>
      <w:contextualSpacing/>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BE2D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D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Gerald Horton</dc:creator>
  <cp:keywords/>
  <dc:description/>
  <cp:lastModifiedBy>Kyle Gerald Horton</cp:lastModifiedBy>
  <cp:revision>4</cp:revision>
  <dcterms:created xsi:type="dcterms:W3CDTF">2019-05-21T02:31:00Z</dcterms:created>
  <dcterms:modified xsi:type="dcterms:W3CDTF">2019-08-10T15:14:00Z</dcterms:modified>
</cp:coreProperties>
</file>