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D5E4" w14:textId="77777777" w:rsidR="00F33C33" w:rsidRDefault="00F33C33" w:rsidP="00F33C33">
      <w:pPr>
        <w:spacing w:line="480" w:lineRule="auto"/>
        <w:jc w:val="center"/>
        <w:rPr>
          <w:rFonts w:ascii="Cambria" w:hAnsi="Cambria" w:cs="Calibri Light"/>
          <w:b/>
        </w:rPr>
      </w:pPr>
      <w:bookmarkStart w:id="0" w:name="_GoBack"/>
      <w:bookmarkEnd w:id="0"/>
      <w:r>
        <w:rPr>
          <w:rFonts w:ascii="Cambria" w:hAnsi="Cambria" w:cs="Calibri Light"/>
          <w:b/>
        </w:rPr>
        <w:t>Supporting Information</w:t>
      </w:r>
    </w:p>
    <w:p w14:paraId="78895F12" w14:textId="77777777" w:rsidR="00F33C33" w:rsidRPr="000A3D61" w:rsidRDefault="00F33C33" w:rsidP="00F33C33">
      <w:pPr>
        <w:spacing w:line="480" w:lineRule="auto"/>
        <w:jc w:val="both"/>
        <w:rPr>
          <w:rFonts w:ascii="Cambria" w:hAnsi="Cambria" w:cs="Calibri Light"/>
          <w:b/>
        </w:rPr>
      </w:pPr>
      <w:r w:rsidRPr="000A3D61">
        <w:rPr>
          <w:rFonts w:ascii="Cambria" w:hAnsi="Cambria" w:cs="Calibri Light"/>
          <w:b/>
        </w:rPr>
        <w:t xml:space="preserve">Additional measures </w:t>
      </w:r>
    </w:p>
    <w:p w14:paraId="49112E2C" w14:textId="58EC2A28" w:rsidR="00F33C33" w:rsidRDefault="00F33C33" w:rsidP="00F33C33">
      <w:pPr>
        <w:spacing w:line="480" w:lineRule="auto"/>
        <w:jc w:val="both"/>
        <w:rPr>
          <w:rFonts w:ascii="Cambria" w:hAnsi="Cambria" w:cs="Calibri Light"/>
        </w:rPr>
      </w:pPr>
      <w:r w:rsidRPr="000A3D61">
        <w:rPr>
          <w:rFonts w:ascii="Cambria" w:hAnsi="Cambria" w:cs="Calibri Light"/>
        </w:rPr>
        <w:t xml:space="preserve">We included additional questionnaires </w:t>
      </w:r>
      <w:r w:rsidR="00FB104A">
        <w:rPr>
          <w:rFonts w:ascii="Cambria" w:hAnsi="Cambria" w:cs="Calibri Light"/>
        </w:rPr>
        <w:t xml:space="preserve">(see </w:t>
      </w:r>
      <w:r w:rsidR="00FB104A">
        <w:rPr>
          <w:rFonts w:ascii="Cambria" w:hAnsi="Cambria" w:cstheme="minorHAnsi"/>
        </w:rPr>
        <w:t>Table S1 for means and standard error)</w:t>
      </w:r>
      <w:r w:rsidR="00FB104A" w:rsidRPr="000A3D61">
        <w:rPr>
          <w:rFonts w:ascii="Cambria" w:hAnsi="Cambria" w:cstheme="minorHAnsi"/>
        </w:rPr>
        <w:t xml:space="preserve"> </w:t>
      </w:r>
      <w:r w:rsidRPr="000A3D61">
        <w:rPr>
          <w:rFonts w:ascii="Cambria" w:hAnsi="Cambria" w:cs="Calibri Light"/>
        </w:rPr>
        <w:t xml:space="preserve">to look at the relationship between performance on the task and measures of </w:t>
      </w:r>
      <w:r>
        <w:rPr>
          <w:rFonts w:ascii="Cambria" w:hAnsi="Cambria" w:cs="Calibri Light"/>
        </w:rPr>
        <w:t xml:space="preserve">subclinical </w:t>
      </w:r>
      <w:r w:rsidRPr="000A3D61">
        <w:rPr>
          <w:rFonts w:ascii="Cambria" w:hAnsi="Cambria" w:cs="Calibri Light"/>
        </w:rPr>
        <w:t>autistic traits (using the A</w:t>
      </w:r>
      <w:r>
        <w:rPr>
          <w:rFonts w:ascii="Cambria" w:hAnsi="Cambria" w:cs="Calibri Light"/>
        </w:rPr>
        <w:t>utism-Spectrum Quotient (AQ).</w:t>
      </w:r>
      <w:r w:rsidRPr="00182149">
        <w:rPr>
          <w:rFonts w:ascii="Cambria" w:hAnsi="Cambria" w:cs="Calibri Light"/>
        </w:rPr>
        <w:t xml:space="preserve"> </w:t>
      </w:r>
      <w:r>
        <w:rPr>
          <w:rFonts w:ascii="Cambria" w:hAnsi="Cambria" w:cs="Calibri Light"/>
        </w:rPr>
        <w:t>This questionnaire consists of 50 items and has good reliability for determining where any given individu</w:t>
      </w:r>
      <w:r w:rsidR="0089123E">
        <w:rPr>
          <w:rFonts w:ascii="Cambria" w:hAnsi="Cambria" w:cs="Calibri Light"/>
        </w:rPr>
        <w:t>al sits on the autism spectrum [25]</w:t>
      </w:r>
      <w:r>
        <w:rPr>
          <w:rFonts w:ascii="Cambria" w:hAnsi="Cambria" w:cs="Calibri Light"/>
        </w:rPr>
        <w:t xml:space="preserve">. </w:t>
      </w:r>
      <w:r w:rsidRPr="000A3D61">
        <w:rPr>
          <w:rFonts w:ascii="Cambria" w:hAnsi="Cambria" w:cs="Calibri Light"/>
        </w:rPr>
        <w:t xml:space="preserve"> </w:t>
      </w:r>
      <w:r>
        <w:rPr>
          <w:rFonts w:ascii="Cambria" w:hAnsi="Cambria" w:cs="Calibri Light"/>
        </w:rPr>
        <w:t xml:space="preserve">Measures of </w:t>
      </w:r>
      <w:r w:rsidRPr="000A3D61">
        <w:rPr>
          <w:rFonts w:ascii="Cambria" w:hAnsi="Cambria" w:cs="Calibri Light"/>
        </w:rPr>
        <w:t>social reward</w:t>
      </w:r>
      <w:r>
        <w:rPr>
          <w:rFonts w:ascii="Cambria" w:hAnsi="Cambria" w:cs="Calibri Light"/>
        </w:rPr>
        <w:t xml:space="preserve"> were collected using the Social Reward Questionna</w:t>
      </w:r>
      <w:r w:rsidR="007835EA">
        <w:rPr>
          <w:rFonts w:ascii="Cambria" w:hAnsi="Cambria" w:cs="Calibri Light"/>
        </w:rPr>
        <w:t>ire –</w:t>
      </w:r>
      <w:r w:rsidR="00CF7617">
        <w:rPr>
          <w:rFonts w:ascii="Cambria" w:hAnsi="Cambria" w:cs="Calibri Light"/>
        </w:rPr>
        <w:t xml:space="preserve"> </w:t>
      </w:r>
      <w:r w:rsidR="007835EA">
        <w:rPr>
          <w:rFonts w:ascii="Cambria" w:hAnsi="Cambria" w:cs="Calibri Light"/>
        </w:rPr>
        <w:t>Adolescent Version (SRQ-A) [26]</w:t>
      </w:r>
      <w:r>
        <w:rPr>
          <w:rFonts w:ascii="Cambria" w:hAnsi="Cambria" w:cs="Calibri Light"/>
        </w:rPr>
        <w:t xml:space="preserve">. This questionnaire consists of five subscales: enjoyment of admiration, negative social potency, passivity, prosocial interactions and sociability. This is a valid, reliable measure of social reward in adults and adolescents. </w:t>
      </w:r>
      <w:r w:rsidRPr="000A3D61">
        <w:rPr>
          <w:rFonts w:ascii="Cambria" w:hAnsi="Cambria" w:cstheme="minorHAnsi"/>
        </w:rPr>
        <w:t>Academic diligence is also related to ‘grit’, defined as perseverance and a passion for l</w:t>
      </w:r>
      <w:r w:rsidR="007835EA">
        <w:rPr>
          <w:rFonts w:ascii="Cambria" w:hAnsi="Cambria" w:cstheme="minorHAnsi"/>
        </w:rPr>
        <w:t>ong-term and challenging goals [17]</w:t>
      </w:r>
      <w:r>
        <w:rPr>
          <w:rFonts w:ascii="Cambria" w:hAnsi="Cambria" w:cstheme="minorHAnsi"/>
        </w:rPr>
        <w:t>.</w:t>
      </w:r>
      <w:r w:rsidRPr="000A3D61">
        <w:rPr>
          <w:rFonts w:ascii="Cambria" w:hAnsi="Cambria" w:cstheme="minorHAnsi"/>
        </w:rPr>
        <w:t xml:space="preserve"> </w:t>
      </w:r>
      <w:r>
        <w:rPr>
          <w:rFonts w:ascii="Cambria" w:hAnsi="Cambria" w:cstheme="minorHAnsi"/>
        </w:rPr>
        <w:t xml:space="preserve"> </w:t>
      </w:r>
      <w:r>
        <w:rPr>
          <w:rFonts w:ascii="Cambria" w:hAnsi="Cambria" w:cs="Calibri Light"/>
        </w:rPr>
        <w:t xml:space="preserve">Therefore, we </w:t>
      </w:r>
      <w:r w:rsidRPr="000A3D61">
        <w:rPr>
          <w:rFonts w:ascii="Cambria" w:hAnsi="Cambria" w:cs="Calibri Light"/>
        </w:rPr>
        <w:t xml:space="preserve">also included a standard </w:t>
      </w:r>
      <w:r>
        <w:rPr>
          <w:rFonts w:ascii="Cambria" w:hAnsi="Cambria" w:cs="Calibri Light"/>
        </w:rPr>
        <w:t xml:space="preserve">questionnaire measure of ‘grit’, consisting of 12 items, where individuals are required to compare themselves to ‘most people’ on questions such as ‘I have overcome setbacks to conquer an important challenge’ </w:t>
      </w:r>
      <w:r w:rsidR="00857B1E">
        <w:rPr>
          <w:rFonts w:ascii="Cambria" w:hAnsi="Cambria" w:cs="Calibri Light"/>
        </w:rPr>
        <w:t>[27]</w:t>
      </w:r>
      <w:r w:rsidRPr="000A3D61">
        <w:rPr>
          <w:rFonts w:ascii="Cambria" w:hAnsi="Cambria" w:cs="Calibri Light"/>
        </w:rPr>
        <w:t xml:space="preserve">. </w:t>
      </w:r>
      <w:r w:rsidRPr="003B7479">
        <w:rPr>
          <w:rFonts w:ascii="Cambria" w:hAnsi="Cambria" w:cs="Calibri Light"/>
        </w:rPr>
        <w:t>We predicted that the tendency to spend more time looking at social photographs might be inversely related to autistic traits and positively related to admiration, prosocial i</w:t>
      </w:r>
      <w:r>
        <w:rPr>
          <w:rFonts w:ascii="Cambria" w:hAnsi="Cambria" w:cs="Calibri Light"/>
        </w:rPr>
        <w:t xml:space="preserve">nteractions and sociability. We also predicted that time spent doing maths would be positive related to higher grit scores. However, none of these measures correlated with task performance or self-reported enjoyment ratings (all p&gt;.05).  </w:t>
      </w:r>
    </w:p>
    <w:p w14:paraId="332538E8" w14:textId="77777777" w:rsidR="0081770F" w:rsidRDefault="0081770F" w:rsidP="0081770F">
      <w:pPr>
        <w:tabs>
          <w:tab w:val="left" w:pos="7512"/>
        </w:tabs>
        <w:spacing w:line="480" w:lineRule="auto"/>
        <w:rPr>
          <w:rFonts w:ascii="Cambria" w:hAnsi="Cambria" w:cstheme="minorHAnsi"/>
        </w:rPr>
      </w:pPr>
    </w:p>
    <w:p w14:paraId="3604FDD7" w14:textId="77777777" w:rsidR="0081770F" w:rsidRDefault="0081770F" w:rsidP="0081770F">
      <w:pPr>
        <w:tabs>
          <w:tab w:val="left" w:pos="7512"/>
        </w:tabs>
        <w:spacing w:line="480" w:lineRule="auto"/>
        <w:rPr>
          <w:rFonts w:ascii="Cambria" w:hAnsi="Cambria" w:cstheme="minorHAnsi"/>
        </w:rPr>
      </w:pPr>
    </w:p>
    <w:p w14:paraId="788AE79C" w14:textId="77777777" w:rsidR="0081770F" w:rsidRDefault="0081770F" w:rsidP="0081770F">
      <w:pPr>
        <w:tabs>
          <w:tab w:val="left" w:pos="7512"/>
        </w:tabs>
        <w:spacing w:line="480" w:lineRule="auto"/>
        <w:rPr>
          <w:rFonts w:ascii="Cambria" w:hAnsi="Cambria" w:cstheme="minorHAnsi"/>
        </w:rPr>
      </w:pPr>
    </w:p>
    <w:p w14:paraId="03E448F5" w14:textId="77777777" w:rsidR="0081770F" w:rsidRDefault="0081770F" w:rsidP="0081770F">
      <w:pPr>
        <w:tabs>
          <w:tab w:val="left" w:pos="7512"/>
        </w:tabs>
        <w:spacing w:line="480" w:lineRule="auto"/>
        <w:rPr>
          <w:rFonts w:ascii="Cambria" w:hAnsi="Cambria" w:cstheme="minorHAnsi"/>
        </w:rPr>
      </w:pPr>
    </w:p>
    <w:p w14:paraId="67CF8717" w14:textId="77777777" w:rsidR="0081770F" w:rsidRDefault="0081770F" w:rsidP="0081770F">
      <w:pPr>
        <w:tabs>
          <w:tab w:val="left" w:pos="7512"/>
        </w:tabs>
        <w:spacing w:line="480" w:lineRule="auto"/>
        <w:rPr>
          <w:rFonts w:ascii="Cambria" w:hAnsi="Cambria" w:cstheme="minorHAnsi"/>
        </w:rPr>
      </w:pPr>
    </w:p>
    <w:p w14:paraId="1F7E5E04" w14:textId="77777777" w:rsidR="0081770F" w:rsidRDefault="0081770F" w:rsidP="0081770F">
      <w:pPr>
        <w:tabs>
          <w:tab w:val="left" w:pos="7512"/>
        </w:tabs>
        <w:spacing w:line="480" w:lineRule="auto"/>
        <w:rPr>
          <w:rFonts w:ascii="Cambria" w:hAnsi="Cambria" w:cstheme="minorHAnsi"/>
        </w:rPr>
      </w:pPr>
    </w:p>
    <w:tbl>
      <w:tblPr>
        <w:tblStyle w:val="TableGrid"/>
        <w:tblW w:w="0" w:type="auto"/>
        <w:tblLook w:val="04A0" w:firstRow="1" w:lastRow="0" w:firstColumn="1" w:lastColumn="0" w:noHBand="0" w:noVBand="1"/>
      </w:tblPr>
      <w:tblGrid>
        <w:gridCol w:w="1980"/>
        <w:gridCol w:w="2977"/>
        <w:gridCol w:w="2409"/>
        <w:gridCol w:w="1650"/>
      </w:tblGrid>
      <w:tr w:rsidR="0081770F" w14:paraId="11BC912F" w14:textId="77777777" w:rsidTr="00E35A0F">
        <w:tc>
          <w:tcPr>
            <w:tcW w:w="9016" w:type="dxa"/>
            <w:gridSpan w:val="4"/>
            <w:tcBorders>
              <w:top w:val="nil"/>
              <w:left w:val="nil"/>
              <w:bottom w:val="single" w:sz="4" w:space="0" w:color="auto"/>
              <w:right w:val="nil"/>
            </w:tcBorders>
          </w:tcPr>
          <w:p w14:paraId="4DE97F11" w14:textId="77777777" w:rsidR="0081770F" w:rsidRPr="00E5018E" w:rsidRDefault="0081770F" w:rsidP="00E35A0F">
            <w:pPr>
              <w:tabs>
                <w:tab w:val="left" w:pos="7512"/>
              </w:tabs>
              <w:rPr>
                <w:rFonts w:ascii="Cambria" w:hAnsi="Cambria" w:cstheme="minorHAnsi"/>
                <w:color w:val="0070C0"/>
              </w:rPr>
            </w:pPr>
            <w:r w:rsidRPr="00E5018E">
              <w:rPr>
                <w:rFonts w:ascii="Cambria" w:hAnsi="Cambria" w:cstheme="minorHAnsi"/>
                <w:color w:val="0070C0"/>
              </w:rPr>
              <w:t xml:space="preserve">Table S1: Questionnaire descriptive statistics                     </w:t>
            </w:r>
          </w:p>
        </w:tc>
      </w:tr>
      <w:tr w:rsidR="0081770F" w14:paraId="35C83A83" w14:textId="77777777" w:rsidTr="00E35A0F">
        <w:tc>
          <w:tcPr>
            <w:tcW w:w="1980" w:type="dxa"/>
            <w:tcBorders>
              <w:top w:val="nil"/>
              <w:left w:val="nil"/>
              <w:bottom w:val="single" w:sz="4" w:space="0" w:color="auto"/>
              <w:right w:val="nil"/>
            </w:tcBorders>
          </w:tcPr>
          <w:p w14:paraId="0A1A8208" w14:textId="77777777" w:rsidR="0081770F" w:rsidRPr="00E5018E" w:rsidRDefault="008348F0" w:rsidP="00E35A0F">
            <w:pPr>
              <w:tabs>
                <w:tab w:val="left" w:pos="7512"/>
              </w:tabs>
              <w:jc w:val="center"/>
              <w:rPr>
                <w:rFonts w:ascii="Cambria" w:hAnsi="Cambria" w:cstheme="minorHAnsi"/>
                <w:color w:val="0070C0"/>
              </w:rPr>
            </w:pPr>
            <w:r w:rsidRPr="00E5018E">
              <w:rPr>
                <w:rFonts w:ascii="Cambria" w:hAnsi="Cambria" w:cstheme="minorHAnsi"/>
                <w:color w:val="0070C0"/>
              </w:rPr>
              <w:t xml:space="preserve">Measure </w:t>
            </w:r>
          </w:p>
        </w:tc>
        <w:tc>
          <w:tcPr>
            <w:tcW w:w="2977" w:type="dxa"/>
            <w:tcBorders>
              <w:top w:val="nil"/>
              <w:left w:val="nil"/>
              <w:bottom w:val="single" w:sz="4" w:space="0" w:color="auto"/>
              <w:right w:val="nil"/>
            </w:tcBorders>
          </w:tcPr>
          <w:p w14:paraId="35FB2B19"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Adolescents (mean, SD)</w:t>
            </w:r>
          </w:p>
        </w:tc>
        <w:tc>
          <w:tcPr>
            <w:tcW w:w="2409" w:type="dxa"/>
            <w:tcBorders>
              <w:top w:val="nil"/>
              <w:left w:val="nil"/>
              <w:bottom w:val="single" w:sz="4" w:space="0" w:color="auto"/>
              <w:right w:val="nil"/>
            </w:tcBorders>
          </w:tcPr>
          <w:p w14:paraId="7FB12EC7"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Adults (mean, SD)</w:t>
            </w:r>
          </w:p>
        </w:tc>
        <w:tc>
          <w:tcPr>
            <w:tcW w:w="1650" w:type="dxa"/>
            <w:tcBorders>
              <w:top w:val="nil"/>
              <w:left w:val="nil"/>
              <w:bottom w:val="single" w:sz="4" w:space="0" w:color="auto"/>
              <w:right w:val="nil"/>
            </w:tcBorders>
          </w:tcPr>
          <w:p w14:paraId="4B5C7A2F"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p value, t test</w:t>
            </w:r>
          </w:p>
        </w:tc>
      </w:tr>
      <w:tr w:rsidR="0081770F" w14:paraId="00432F27" w14:textId="77777777" w:rsidTr="00E35A0F">
        <w:tc>
          <w:tcPr>
            <w:tcW w:w="1980" w:type="dxa"/>
            <w:tcBorders>
              <w:left w:val="nil"/>
              <w:bottom w:val="nil"/>
              <w:right w:val="nil"/>
            </w:tcBorders>
          </w:tcPr>
          <w:p w14:paraId="5D797A78" w14:textId="29EE8FFE"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 xml:space="preserve">WASI </w:t>
            </w:r>
            <w:r w:rsidR="00B54121">
              <w:rPr>
                <w:rFonts w:ascii="Cambria" w:hAnsi="Cambria" w:cstheme="minorHAnsi"/>
                <w:color w:val="0070C0"/>
              </w:rPr>
              <w:t xml:space="preserve">Matrices </w:t>
            </w:r>
            <w:r w:rsidRPr="00E5018E">
              <w:rPr>
                <w:rFonts w:ascii="Cambria" w:hAnsi="Cambria" w:cstheme="minorHAnsi"/>
                <w:color w:val="0070C0"/>
              </w:rPr>
              <w:t>Raw</w:t>
            </w:r>
          </w:p>
        </w:tc>
        <w:tc>
          <w:tcPr>
            <w:tcW w:w="2977" w:type="dxa"/>
            <w:tcBorders>
              <w:left w:val="nil"/>
              <w:bottom w:val="nil"/>
              <w:right w:val="nil"/>
            </w:tcBorders>
          </w:tcPr>
          <w:p w14:paraId="185C475B"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27.12 (2.86)</w:t>
            </w:r>
          </w:p>
        </w:tc>
        <w:tc>
          <w:tcPr>
            <w:tcW w:w="2409" w:type="dxa"/>
            <w:tcBorders>
              <w:left w:val="nil"/>
              <w:bottom w:val="nil"/>
              <w:right w:val="nil"/>
            </w:tcBorders>
          </w:tcPr>
          <w:p w14:paraId="272A27E8"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30.62 (3.86)</w:t>
            </w:r>
          </w:p>
        </w:tc>
        <w:tc>
          <w:tcPr>
            <w:tcW w:w="1650" w:type="dxa"/>
            <w:tcBorders>
              <w:left w:val="nil"/>
              <w:bottom w:val="nil"/>
              <w:right w:val="nil"/>
            </w:tcBorders>
          </w:tcPr>
          <w:p w14:paraId="1749AB74"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&lt;.001</w:t>
            </w:r>
          </w:p>
        </w:tc>
      </w:tr>
      <w:tr w:rsidR="0081770F" w14:paraId="67420A1D" w14:textId="77777777" w:rsidTr="00E35A0F">
        <w:tc>
          <w:tcPr>
            <w:tcW w:w="1980" w:type="dxa"/>
            <w:tcBorders>
              <w:top w:val="nil"/>
              <w:left w:val="nil"/>
              <w:bottom w:val="nil"/>
              <w:right w:val="nil"/>
            </w:tcBorders>
          </w:tcPr>
          <w:p w14:paraId="2C748C83"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AQ</w:t>
            </w:r>
          </w:p>
        </w:tc>
        <w:tc>
          <w:tcPr>
            <w:tcW w:w="2977" w:type="dxa"/>
            <w:tcBorders>
              <w:top w:val="nil"/>
              <w:left w:val="nil"/>
              <w:bottom w:val="nil"/>
              <w:right w:val="nil"/>
            </w:tcBorders>
          </w:tcPr>
          <w:p w14:paraId="0E3F50EA"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15.7 (6.08)</w:t>
            </w:r>
          </w:p>
        </w:tc>
        <w:tc>
          <w:tcPr>
            <w:tcW w:w="2409" w:type="dxa"/>
            <w:tcBorders>
              <w:top w:val="nil"/>
              <w:left w:val="nil"/>
              <w:bottom w:val="nil"/>
              <w:right w:val="nil"/>
            </w:tcBorders>
          </w:tcPr>
          <w:p w14:paraId="2E0FE246"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19.46 (6.90)</w:t>
            </w:r>
          </w:p>
        </w:tc>
        <w:tc>
          <w:tcPr>
            <w:tcW w:w="1650" w:type="dxa"/>
            <w:tcBorders>
              <w:top w:val="nil"/>
              <w:left w:val="nil"/>
              <w:bottom w:val="nil"/>
              <w:right w:val="nil"/>
            </w:tcBorders>
          </w:tcPr>
          <w:p w14:paraId="326852ED"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.008</w:t>
            </w:r>
          </w:p>
        </w:tc>
      </w:tr>
      <w:tr w:rsidR="0081770F" w14:paraId="7F599351" w14:textId="77777777" w:rsidTr="00E35A0F">
        <w:tc>
          <w:tcPr>
            <w:tcW w:w="1980" w:type="dxa"/>
            <w:tcBorders>
              <w:top w:val="nil"/>
              <w:left w:val="nil"/>
              <w:bottom w:val="nil"/>
              <w:right w:val="nil"/>
            </w:tcBorders>
          </w:tcPr>
          <w:p w14:paraId="6B8AE754"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SRQ Sociability</w:t>
            </w:r>
          </w:p>
        </w:tc>
        <w:tc>
          <w:tcPr>
            <w:tcW w:w="2977" w:type="dxa"/>
            <w:tcBorders>
              <w:top w:val="nil"/>
              <w:left w:val="nil"/>
              <w:bottom w:val="nil"/>
              <w:right w:val="nil"/>
            </w:tcBorders>
          </w:tcPr>
          <w:p w14:paraId="4AD977D4"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5.50 (1.04)</w:t>
            </w:r>
          </w:p>
        </w:tc>
        <w:tc>
          <w:tcPr>
            <w:tcW w:w="2409" w:type="dxa"/>
            <w:tcBorders>
              <w:top w:val="nil"/>
              <w:left w:val="nil"/>
              <w:bottom w:val="nil"/>
              <w:right w:val="nil"/>
            </w:tcBorders>
          </w:tcPr>
          <w:p w14:paraId="13D6D2AA"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4.82 (1.23)</w:t>
            </w:r>
          </w:p>
        </w:tc>
        <w:tc>
          <w:tcPr>
            <w:tcW w:w="1650" w:type="dxa"/>
            <w:tcBorders>
              <w:top w:val="nil"/>
              <w:left w:val="nil"/>
              <w:bottom w:val="nil"/>
              <w:right w:val="nil"/>
            </w:tcBorders>
          </w:tcPr>
          <w:p w14:paraId="335C84A6"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.007</w:t>
            </w:r>
          </w:p>
        </w:tc>
      </w:tr>
      <w:tr w:rsidR="0081770F" w14:paraId="226F887F" w14:textId="77777777" w:rsidTr="00E35A0F">
        <w:tc>
          <w:tcPr>
            <w:tcW w:w="1980" w:type="dxa"/>
            <w:tcBorders>
              <w:top w:val="nil"/>
              <w:left w:val="nil"/>
              <w:bottom w:val="nil"/>
              <w:right w:val="nil"/>
            </w:tcBorders>
          </w:tcPr>
          <w:p w14:paraId="2A75816A"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SRQ Prosocial</w:t>
            </w:r>
          </w:p>
        </w:tc>
        <w:tc>
          <w:tcPr>
            <w:tcW w:w="2977" w:type="dxa"/>
            <w:tcBorders>
              <w:top w:val="nil"/>
              <w:left w:val="nil"/>
              <w:bottom w:val="nil"/>
              <w:right w:val="nil"/>
            </w:tcBorders>
          </w:tcPr>
          <w:p w14:paraId="78F28410"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6.5 0 (0.54)</w:t>
            </w:r>
          </w:p>
        </w:tc>
        <w:tc>
          <w:tcPr>
            <w:tcW w:w="2409" w:type="dxa"/>
            <w:tcBorders>
              <w:top w:val="nil"/>
              <w:left w:val="nil"/>
              <w:bottom w:val="nil"/>
              <w:right w:val="nil"/>
            </w:tcBorders>
          </w:tcPr>
          <w:p w14:paraId="0AC161BC"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6.13 (0.64)</w:t>
            </w:r>
          </w:p>
        </w:tc>
        <w:tc>
          <w:tcPr>
            <w:tcW w:w="1650" w:type="dxa"/>
            <w:tcBorders>
              <w:top w:val="nil"/>
              <w:left w:val="nil"/>
              <w:bottom w:val="nil"/>
              <w:right w:val="nil"/>
            </w:tcBorders>
          </w:tcPr>
          <w:p w14:paraId="37CF2FF5"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.009</w:t>
            </w:r>
          </w:p>
        </w:tc>
      </w:tr>
      <w:tr w:rsidR="0081770F" w14:paraId="360BDF20" w14:textId="77777777" w:rsidTr="00E35A0F">
        <w:tc>
          <w:tcPr>
            <w:tcW w:w="1980" w:type="dxa"/>
            <w:tcBorders>
              <w:top w:val="nil"/>
              <w:left w:val="nil"/>
              <w:bottom w:val="nil"/>
              <w:right w:val="nil"/>
            </w:tcBorders>
          </w:tcPr>
          <w:p w14:paraId="2BD43659"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SRQ Admiration</w:t>
            </w:r>
          </w:p>
        </w:tc>
        <w:tc>
          <w:tcPr>
            <w:tcW w:w="2977" w:type="dxa"/>
            <w:tcBorders>
              <w:top w:val="nil"/>
              <w:left w:val="nil"/>
              <w:bottom w:val="nil"/>
              <w:right w:val="nil"/>
            </w:tcBorders>
          </w:tcPr>
          <w:p w14:paraId="0735AF61"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5.73 (0.80)</w:t>
            </w:r>
          </w:p>
        </w:tc>
        <w:tc>
          <w:tcPr>
            <w:tcW w:w="2409" w:type="dxa"/>
            <w:tcBorders>
              <w:top w:val="nil"/>
              <w:left w:val="nil"/>
              <w:bottom w:val="nil"/>
              <w:right w:val="nil"/>
            </w:tcBorders>
          </w:tcPr>
          <w:p w14:paraId="3195D4CF"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5.79 (0.64)</w:t>
            </w:r>
          </w:p>
        </w:tc>
        <w:tc>
          <w:tcPr>
            <w:tcW w:w="1650" w:type="dxa"/>
            <w:tcBorders>
              <w:top w:val="nil"/>
              <w:left w:val="nil"/>
              <w:bottom w:val="nil"/>
              <w:right w:val="nil"/>
            </w:tcBorders>
          </w:tcPr>
          <w:p w14:paraId="5C11E85B"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.690</w:t>
            </w:r>
          </w:p>
        </w:tc>
      </w:tr>
      <w:tr w:rsidR="0081770F" w14:paraId="42B6DB56" w14:textId="77777777" w:rsidTr="00E35A0F">
        <w:tc>
          <w:tcPr>
            <w:tcW w:w="1980" w:type="dxa"/>
            <w:tcBorders>
              <w:top w:val="nil"/>
              <w:left w:val="nil"/>
              <w:bottom w:val="single" w:sz="4" w:space="0" w:color="auto"/>
              <w:right w:val="nil"/>
            </w:tcBorders>
          </w:tcPr>
          <w:p w14:paraId="007B8FF7"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GRIT</w:t>
            </w:r>
          </w:p>
        </w:tc>
        <w:tc>
          <w:tcPr>
            <w:tcW w:w="2977" w:type="dxa"/>
            <w:tcBorders>
              <w:top w:val="nil"/>
              <w:left w:val="nil"/>
              <w:bottom w:val="single" w:sz="4" w:space="0" w:color="auto"/>
              <w:right w:val="nil"/>
            </w:tcBorders>
          </w:tcPr>
          <w:p w14:paraId="1F4EB932"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2.89 (0.64)</w:t>
            </w:r>
          </w:p>
        </w:tc>
        <w:tc>
          <w:tcPr>
            <w:tcW w:w="2409" w:type="dxa"/>
            <w:tcBorders>
              <w:top w:val="nil"/>
              <w:left w:val="nil"/>
              <w:bottom w:val="single" w:sz="4" w:space="0" w:color="auto"/>
              <w:right w:val="nil"/>
            </w:tcBorders>
          </w:tcPr>
          <w:p w14:paraId="2A236B10"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2.69 (0.58)</w:t>
            </w:r>
          </w:p>
        </w:tc>
        <w:tc>
          <w:tcPr>
            <w:tcW w:w="1650" w:type="dxa"/>
            <w:tcBorders>
              <w:top w:val="nil"/>
              <w:left w:val="nil"/>
              <w:bottom w:val="single" w:sz="4" w:space="0" w:color="auto"/>
              <w:right w:val="nil"/>
            </w:tcBorders>
          </w:tcPr>
          <w:p w14:paraId="2BCF171F" w14:textId="77777777" w:rsidR="0081770F" w:rsidRPr="00E5018E" w:rsidRDefault="0081770F" w:rsidP="00E35A0F">
            <w:pPr>
              <w:tabs>
                <w:tab w:val="left" w:pos="7512"/>
              </w:tabs>
              <w:jc w:val="center"/>
              <w:rPr>
                <w:rFonts w:ascii="Cambria" w:hAnsi="Cambria" w:cstheme="minorHAnsi"/>
                <w:color w:val="0070C0"/>
              </w:rPr>
            </w:pPr>
            <w:r w:rsidRPr="00E5018E">
              <w:rPr>
                <w:rFonts w:ascii="Cambria" w:hAnsi="Cambria" w:cstheme="minorHAnsi"/>
                <w:color w:val="0070C0"/>
              </w:rPr>
              <w:t>.113</w:t>
            </w:r>
          </w:p>
        </w:tc>
      </w:tr>
      <w:tr w:rsidR="0081770F" w14:paraId="0D5AD086" w14:textId="77777777" w:rsidTr="00E35A0F">
        <w:tc>
          <w:tcPr>
            <w:tcW w:w="9016" w:type="dxa"/>
            <w:gridSpan w:val="4"/>
            <w:tcBorders>
              <w:top w:val="single" w:sz="4" w:space="0" w:color="auto"/>
              <w:left w:val="nil"/>
              <w:bottom w:val="nil"/>
              <w:right w:val="nil"/>
            </w:tcBorders>
          </w:tcPr>
          <w:p w14:paraId="7C0956FB" w14:textId="5F6F55B0" w:rsidR="0081770F" w:rsidRPr="00E5018E" w:rsidRDefault="0081770F" w:rsidP="00E35A0F">
            <w:pPr>
              <w:tabs>
                <w:tab w:val="left" w:pos="7512"/>
              </w:tabs>
              <w:rPr>
                <w:rFonts w:ascii="Cambria" w:hAnsi="Cambria" w:cstheme="minorHAnsi"/>
                <w:color w:val="0070C0"/>
              </w:rPr>
            </w:pPr>
            <w:r w:rsidRPr="00E5018E">
              <w:rPr>
                <w:rFonts w:ascii="Cambria" w:hAnsi="Cambria" w:cstheme="minorHAnsi"/>
                <w:color w:val="0070C0"/>
              </w:rPr>
              <w:t>Note: Max score for AQ is 50, for SRQ subscales is 7 and 5 for grit. Adolescents N=43, Adults N=46 (44 for WASI</w:t>
            </w:r>
            <w:r w:rsidR="00FF48E3">
              <w:rPr>
                <w:rFonts w:ascii="Cambria" w:hAnsi="Cambria" w:cstheme="minorHAnsi"/>
                <w:color w:val="0070C0"/>
              </w:rPr>
              <w:t xml:space="preserve"> Matrices</w:t>
            </w:r>
            <w:r w:rsidRPr="00E5018E">
              <w:rPr>
                <w:rFonts w:ascii="Cambria" w:hAnsi="Cambria" w:cstheme="minorHAnsi"/>
                <w:color w:val="0070C0"/>
              </w:rPr>
              <w:t xml:space="preserve">). </w:t>
            </w:r>
          </w:p>
        </w:tc>
      </w:tr>
    </w:tbl>
    <w:p w14:paraId="6FFE6989" w14:textId="77777777" w:rsidR="009C758C" w:rsidRPr="009C758C" w:rsidRDefault="009C758C" w:rsidP="009C758C">
      <w:pPr>
        <w:spacing w:line="480" w:lineRule="auto"/>
        <w:jc w:val="both"/>
        <w:outlineLvl w:val="0"/>
        <w:rPr>
          <w:rFonts w:ascii="Cambria" w:hAnsi="Cambria" w:cstheme="minorHAnsi"/>
          <w:b/>
        </w:rPr>
      </w:pPr>
    </w:p>
    <w:p w14:paraId="0E23AA34" w14:textId="77777777" w:rsidR="00F33C33" w:rsidRPr="000A3D61" w:rsidRDefault="00F33C33" w:rsidP="00F33C33">
      <w:pPr>
        <w:spacing w:line="480" w:lineRule="auto"/>
        <w:rPr>
          <w:rFonts w:ascii="Cambria" w:hAnsi="Cambria" w:cstheme="minorHAnsi"/>
          <w:b/>
        </w:rPr>
      </w:pPr>
      <w:r w:rsidRPr="000A3D61">
        <w:rPr>
          <w:rFonts w:ascii="Cambria" w:hAnsi="Cambria" w:cstheme="minorHAnsi"/>
          <w:b/>
        </w:rPr>
        <w:t xml:space="preserve">Switches </w:t>
      </w:r>
    </w:p>
    <w:p w14:paraId="09454311" w14:textId="77777777" w:rsidR="002A2189" w:rsidRDefault="00F33C33" w:rsidP="002A2189">
      <w:pPr>
        <w:tabs>
          <w:tab w:val="left" w:pos="7512"/>
        </w:tabs>
        <w:spacing w:line="480" w:lineRule="auto"/>
        <w:rPr>
          <w:rFonts w:ascii="Cambria" w:hAnsi="Cambria" w:cstheme="minorHAnsi"/>
          <w:color w:val="0070C0"/>
        </w:rPr>
      </w:pPr>
      <w:r w:rsidRPr="000A3D61">
        <w:rPr>
          <w:rFonts w:ascii="Cambria" w:hAnsi="Cambria" w:cstheme="minorHAnsi"/>
        </w:rPr>
        <w:t>We recorded the number of switches each participant made between the maths questions and looking at the show-reel of photographs, within each ADT condition. There was no significant main effect of age group (</w:t>
      </w:r>
      <w:r w:rsidRPr="000A3D61">
        <w:rPr>
          <w:rFonts w:ascii="Cambria" w:hAnsi="Cambria" w:cstheme="minorHAnsi"/>
          <w:i/>
        </w:rPr>
        <w:t>F</w:t>
      </w:r>
      <w:r w:rsidRPr="000A3D61">
        <w:rPr>
          <w:rFonts w:ascii="Cambria" w:hAnsi="Cambria" w:cstheme="minorHAnsi"/>
        </w:rPr>
        <w:t xml:space="preserve">(1,89) =0.581, </w:t>
      </w:r>
      <w:r w:rsidRPr="000A3D61">
        <w:rPr>
          <w:rFonts w:ascii="Cambria" w:hAnsi="Cambria" w:cstheme="minorHAnsi"/>
          <w:i/>
        </w:rPr>
        <w:t>p</w:t>
      </w:r>
      <w:r w:rsidRPr="000A3D61">
        <w:rPr>
          <w:rFonts w:ascii="Cambria" w:hAnsi="Cambria" w:cstheme="minorHAnsi"/>
        </w:rPr>
        <w:t>=0.448, η</w:t>
      </w:r>
      <w:r w:rsidRPr="000A3D61">
        <w:rPr>
          <w:rFonts w:ascii="Cambria" w:hAnsi="Cambria" w:cstheme="minorHAnsi"/>
          <w:vertAlign w:val="superscript"/>
        </w:rPr>
        <w:t>2</w:t>
      </w:r>
      <w:r w:rsidRPr="000A3D61">
        <w:rPr>
          <w:rFonts w:ascii="Cambria" w:hAnsi="Cambria" w:cstheme="minorHAnsi"/>
        </w:rPr>
        <w:t>=.006) or condition (</w:t>
      </w:r>
      <w:r w:rsidRPr="000A3D61">
        <w:rPr>
          <w:rFonts w:ascii="Cambria" w:hAnsi="Cambria" w:cstheme="minorHAnsi"/>
          <w:i/>
        </w:rPr>
        <w:t>F</w:t>
      </w:r>
      <w:r w:rsidRPr="000A3D61">
        <w:rPr>
          <w:rFonts w:ascii="Cambria" w:hAnsi="Cambria" w:cstheme="minorHAnsi"/>
        </w:rPr>
        <w:t xml:space="preserve">(1,89)=.0.077, </w:t>
      </w:r>
      <w:r w:rsidRPr="000A3D61">
        <w:rPr>
          <w:rFonts w:ascii="Cambria" w:hAnsi="Cambria" w:cstheme="minorHAnsi"/>
          <w:i/>
        </w:rPr>
        <w:t>p</w:t>
      </w:r>
      <w:r w:rsidRPr="000A3D61">
        <w:rPr>
          <w:rFonts w:ascii="Cambria" w:hAnsi="Cambria" w:cstheme="minorHAnsi"/>
        </w:rPr>
        <w:t>=.782, η</w:t>
      </w:r>
      <w:r w:rsidRPr="000A3D61">
        <w:rPr>
          <w:rFonts w:ascii="Cambria" w:hAnsi="Cambria" w:cstheme="minorHAnsi"/>
          <w:vertAlign w:val="superscript"/>
        </w:rPr>
        <w:t>2</w:t>
      </w:r>
      <w:r w:rsidRPr="000A3D61">
        <w:rPr>
          <w:rFonts w:ascii="Cambria" w:hAnsi="Cambria" w:cstheme="minorHAnsi"/>
        </w:rPr>
        <w:t>=.001) on the number of switches taken. There was also no significant interaction between age group and condition (</w:t>
      </w:r>
      <w:r w:rsidRPr="000A3D61">
        <w:rPr>
          <w:rFonts w:ascii="Cambria" w:hAnsi="Cambria" w:cstheme="minorHAnsi"/>
          <w:i/>
        </w:rPr>
        <w:t>F(</w:t>
      </w:r>
      <w:r w:rsidRPr="000A3D61">
        <w:rPr>
          <w:rFonts w:ascii="Cambria" w:hAnsi="Cambria" w:cstheme="minorHAnsi"/>
        </w:rPr>
        <w:t xml:space="preserve">1,89) =0.566, </w:t>
      </w:r>
      <w:r w:rsidRPr="000A3D61">
        <w:rPr>
          <w:rFonts w:ascii="Cambria" w:hAnsi="Cambria" w:cstheme="minorHAnsi"/>
          <w:i/>
        </w:rPr>
        <w:t>p</w:t>
      </w:r>
      <w:r w:rsidRPr="000A3D61">
        <w:rPr>
          <w:rFonts w:ascii="Cambria" w:hAnsi="Cambria" w:cstheme="minorHAnsi"/>
        </w:rPr>
        <w:t>=.454, η</w:t>
      </w:r>
      <w:r w:rsidRPr="000A3D61">
        <w:rPr>
          <w:rFonts w:ascii="Cambria" w:hAnsi="Cambria" w:cstheme="minorHAnsi"/>
          <w:vertAlign w:val="superscript"/>
        </w:rPr>
        <w:t>2</w:t>
      </w:r>
      <w:r w:rsidRPr="000A3D61">
        <w:rPr>
          <w:rFonts w:ascii="Cambria" w:hAnsi="Cambria" w:cstheme="minorHAnsi"/>
        </w:rPr>
        <w:t xml:space="preserve">=.006).  </w:t>
      </w:r>
      <w:r w:rsidR="00B060A1" w:rsidRPr="007D6541">
        <w:rPr>
          <w:rFonts w:ascii="Cambria" w:hAnsi="Cambria" w:cstheme="minorHAnsi"/>
          <w:color w:val="0070C0"/>
        </w:rPr>
        <w:t>Controlling for autistic traits, social reward and grit did not affect the significance of these findings. In each case there were no significant effects (p&lt;.05)</w:t>
      </w:r>
      <w:r w:rsidR="005E350F" w:rsidRPr="007D6541">
        <w:rPr>
          <w:rFonts w:ascii="Cambria" w:hAnsi="Cambria" w:cstheme="minorHAnsi"/>
          <w:color w:val="0070C0"/>
        </w:rPr>
        <w:t xml:space="preserve"> </w:t>
      </w:r>
    </w:p>
    <w:p w14:paraId="412AA32A" w14:textId="77777777" w:rsidR="007D6541" w:rsidRDefault="007D6541" w:rsidP="002A2189">
      <w:pPr>
        <w:tabs>
          <w:tab w:val="left" w:pos="7512"/>
        </w:tabs>
        <w:spacing w:line="480" w:lineRule="auto"/>
        <w:rPr>
          <w:rFonts w:ascii="Cambria" w:hAnsi="Cambria" w:cstheme="minorHAnsi"/>
        </w:rPr>
      </w:pPr>
    </w:p>
    <w:p w14:paraId="1BC260BF" w14:textId="77777777" w:rsidR="007D6541" w:rsidRPr="007D6541" w:rsidRDefault="007D6541" w:rsidP="002A2189">
      <w:pPr>
        <w:tabs>
          <w:tab w:val="left" w:pos="7512"/>
        </w:tabs>
        <w:spacing w:line="480" w:lineRule="auto"/>
        <w:rPr>
          <w:rFonts w:ascii="Cambria" w:hAnsi="Cambria" w:cstheme="minorHAnsi"/>
          <w:b/>
          <w:color w:val="0070C0"/>
        </w:rPr>
      </w:pPr>
      <w:r w:rsidRPr="007D6541">
        <w:rPr>
          <w:rFonts w:ascii="Cambria" w:hAnsi="Cambria" w:cstheme="minorHAnsi"/>
          <w:b/>
          <w:color w:val="0070C0"/>
        </w:rPr>
        <w:t>Maths problems completed prior to switching</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211DEF" w:rsidRPr="00211DEF" w14:paraId="7FA3B6FB" w14:textId="77777777" w:rsidTr="003E7D96">
        <w:tc>
          <w:tcPr>
            <w:tcW w:w="1803" w:type="dxa"/>
          </w:tcPr>
          <w:p w14:paraId="0B0634BD" w14:textId="77777777" w:rsidR="00211DEF" w:rsidRPr="00211DEF" w:rsidRDefault="00211DEF" w:rsidP="00211DEF">
            <w:pPr>
              <w:jc w:val="center"/>
              <w:rPr>
                <w:rFonts w:asciiTheme="minorHAnsi" w:eastAsiaTheme="minorHAnsi" w:hAnsiTheme="minorHAnsi" w:cstheme="minorHAnsi"/>
                <w:color w:val="0070C0"/>
                <w:sz w:val="22"/>
                <w:szCs w:val="22"/>
              </w:rPr>
            </w:pPr>
          </w:p>
        </w:tc>
        <w:tc>
          <w:tcPr>
            <w:tcW w:w="3606" w:type="dxa"/>
            <w:gridSpan w:val="2"/>
            <w:tcBorders>
              <w:bottom w:val="single" w:sz="4" w:space="0" w:color="auto"/>
            </w:tcBorders>
          </w:tcPr>
          <w:p w14:paraId="0821F6BA"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Social Condition</w:t>
            </w:r>
          </w:p>
        </w:tc>
        <w:tc>
          <w:tcPr>
            <w:tcW w:w="3607" w:type="dxa"/>
            <w:gridSpan w:val="2"/>
            <w:tcBorders>
              <w:bottom w:val="single" w:sz="4" w:space="0" w:color="auto"/>
            </w:tcBorders>
          </w:tcPr>
          <w:p w14:paraId="1A02FCAA"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Non-Social Condition</w:t>
            </w:r>
          </w:p>
        </w:tc>
      </w:tr>
      <w:tr w:rsidR="00211DEF" w:rsidRPr="00211DEF" w14:paraId="490E5A79" w14:textId="77777777" w:rsidTr="003E7D96">
        <w:tc>
          <w:tcPr>
            <w:tcW w:w="1803" w:type="dxa"/>
          </w:tcPr>
          <w:p w14:paraId="46AFC859" w14:textId="77777777" w:rsidR="00211DEF" w:rsidRPr="00211DEF" w:rsidRDefault="00211DEF" w:rsidP="00211DEF">
            <w:pPr>
              <w:jc w:val="center"/>
              <w:rPr>
                <w:rFonts w:asciiTheme="minorHAnsi" w:eastAsiaTheme="minorHAnsi" w:hAnsiTheme="minorHAnsi" w:cstheme="minorHAnsi"/>
                <w:color w:val="0070C0"/>
                <w:sz w:val="22"/>
                <w:szCs w:val="22"/>
              </w:rPr>
            </w:pPr>
          </w:p>
        </w:tc>
        <w:tc>
          <w:tcPr>
            <w:tcW w:w="1803" w:type="dxa"/>
            <w:tcBorders>
              <w:top w:val="single" w:sz="4" w:space="0" w:color="auto"/>
              <w:bottom w:val="single" w:sz="4" w:space="0" w:color="auto"/>
            </w:tcBorders>
          </w:tcPr>
          <w:p w14:paraId="60A5E043"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Adolescents</w:t>
            </w:r>
          </w:p>
        </w:tc>
        <w:tc>
          <w:tcPr>
            <w:tcW w:w="1803" w:type="dxa"/>
            <w:tcBorders>
              <w:top w:val="single" w:sz="4" w:space="0" w:color="auto"/>
              <w:bottom w:val="single" w:sz="4" w:space="0" w:color="auto"/>
            </w:tcBorders>
          </w:tcPr>
          <w:p w14:paraId="569953B0"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Adults</w:t>
            </w:r>
          </w:p>
        </w:tc>
        <w:tc>
          <w:tcPr>
            <w:tcW w:w="1803" w:type="dxa"/>
            <w:tcBorders>
              <w:top w:val="single" w:sz="4" w:space="0" w:color="auto"/>
              <w:bottom w:val="single" w:sz="4" w:space="0" w:color="auto"/>
            </w:tcBorders>
          </w:tcPr>
          <w:p w14:paraId="532C6F9D"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 xml:space="preserve">Adolescents </w:t>
            </w:r>
          </w:p>
        </w:tc>
        <w:tc>
          <w:tcPr>
            <w:tcW w:w="1804" w:type="dxa"/>
            <w:tcBorders>
              <w:top w:val="single" w:sz="4" w:space="0" w:color="auto"/>
              <w:bottom w:val="single" w:sz="4" w:space="0" w:color="auto"/>
            </w:tcBorders>
          </w:tcPr>
          <w:p w14:paraId="6AC2AA5B"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 xml:space="preserve">Adults </w:t>
            </w:r>
          </w:p>
        </w:tc>
      </w:tr>
      <w:tr w:rsidR="00211DEF" w:rsidRPr="00211DEF" w14:paraId="44A4458C" w14:textId="77777777" w:rsidTr="003E7D96">
        <w:tc>
          <w:tcPr>
            <w:tcW w:w="1803" w:type="dxa"/>
          </w:tcPr>
          <w:p w14:paraId="46B19FA2"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Mean</w:t>
            </w:r>
          </w:p>
        </w:tc>
        <w:tc>
          <w:tcPr>
            <w:tcW w:w="1803" w:type="dxa"/>
            <w:tcBorders>
              <w:top w:val="single" w:sz="4" w:space="0" w:color="auto"/>
            </w:tcBorders>
          </w:tcPr>
          <w:p w14:paraId="2745F53A"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51.04</w:t>
            </w:r>
          </w:p>
        </w:tc>
        <w:tc>
          <w:tcPr>
            <w:tcW w:w="1803" w:type="dxa"/>
            <w:tcBorders>
              <w:top w:val="single" w:sz="4" w:space="0" w:color="auto"/>
            </w:tcBorders>
          </w:tcPr>
          <w:p w14:paraId="41DD70B6"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79.39</w:t>
            </w:r>
          </w:p>
        </w:tc>
        <w:tc>
          <w:tcPr>
            <w:tcW w:w="1803" w:type="dxa"/>
            <w:tcBorders>
              <w:top w:val="single" w:sz="4" w:space="0" w:color="auto"/>
            </w:tcBorders>
          </w:tcPr>
          <w:p w14:paraId="6739CA42"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56.38</w:t>
            </w:r>
          </w:p>
        </w:tc>
        <w:tc>
          <w:tcPr>
            <w:tcW w:w="1804" w:type="dxa"/>
            <w:tcBorders>
              <w:top w:val="single" w:sz="4" w:space="0" w:color="auto"/>
            </w:tcBorders>
          </w:tcPr>
          <w:p w14:paraId="2F114582"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72.09</w:t>
            </w:r>
          </w:p>
        </w:tc>
      </w:tr>
      <w:tr w:rsidR="00211DEF" w:rsidRPr="00211DEF" w14:paraId="5FC81CE4" w14:textId="77777777" w:rsidTr="003E7D96">
        <w:tc>
          <w:tcPr>
            <w:tcW w:w="1803" w:type="dxa"/>
            <w:tcBorders>
              <w:bottom w:val="single" w:sz="4" w:space="0" w:color="auto"/>
            </w:tcBorders>
          </w:tcPr>
          <w:p w14:paraId="6D0CE3F9"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SD</w:t>
            </w:r>
          </w:p>
        </w:tc>
        <w:tc>
          <w:tcPr>
            <w:tcW w:w="1803" w:type="dxa"/>
            <w:tcBorders>
              <w:bottom w:val="single" w:sz="4" w:space="0" w:color="auto"/>
            </w:tcBorders>
          </w:tcPr>
          <w:p w14:paraId="2292B8AD"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68.72</w:t>
            </w:r>
          </w:p>
        </w:tc>
        <w:tc>
          <w:tcPr>
            <w:tcW w:w="1803" w:type="dxa"/>
            <w:tcBorders>
              <w:bottom w:val="single" w:sz="4" w:space="0" w:color="auto"/>
            </w:tcBorders>
          </w:tcPr>
          <w:p w14:paraId="71C38A01"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88.01</w:t>
            </w:r>
          </w:p>
        </w:tc>
        <w:tc>
          <w:tcPr>
            <w:tcW w:w="1803" w:type="dxa"/>
            <w:tcBorders>
              <w:bottom w:val="single" w:sz="4" w:space="0" w:color="auto"/>
            </w:tcBorders>
          </w:tcPr>
          <w:p w14:paraId="75923B4D"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70.06</w:t>
            </w:r>
          </w:p>
        </w:tc>
        <w:tc>
          <w:tcPr>
            <w:tcW w:w="1804" w:type="dxa"/>
            <w:tcBorders>
              <w:bottom w:val="single" w:sz="4" w:space="0" w:color="auto"/>
            </w:tcBorders>
          </w:tcPr>
          <w:p w14:paraId="05F9EB64" w14:textId="77777777" w:rsidR="00211DEF" w:rsidRPr="00211DEF" w:rsidRDefault="00211DEF" w:rsidP="00211DEF">
            <w:pPr>
              <w:jc w:val="cente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101.6</w:t>
            </w:r>
          </w:p>
        </w:tc>
      </w:tr>
      <w:tr w:rsidR="00211DEF" w:rsidRPr="00211DEF" w14:paraId="4A3E060F" w14:textId="77777777" w:rsidTr="003E7D96">
        <w:tc>
          <w:tcPr>
            <w:tcW w:w="9016" w:type="dxa"/>
            <w:gridSpan w:val="5"/>
            <w:tcBorders>
              <w:top w:val="single" w:sz="4" w:space="0" w:color="auto"/>
              <w:bottom w:val="nil"/>
            </w:tcBorders>
          </w:tcPr>
          <w:p w14:paraId="1B092E32" w14:textId="77777777" w:rsidR="00211DEF" w:rsidRPr="00211DEF" w:rsidRDefault="00211DEF" w:rsidP="00211DEF">
            <w:pPr>
              <w:rPr>
                <w:rFonts w:asciiTheme="minorHAnsi" w:eastAsiaTheme="minorHAnsi" w:hAnsiTheme="minorHAnsi" w:cstheme="minorHAnsi"/>
                <w:color w:val="0070C0"/>
                <w:sz w:val="22"/>
                <w:szCs w:val="22"/>
              </w:rPr>
            </w:pPr>
            <w:r w:rsidRPr="00211DEF">
              <w:rPr>
                <w:rFonts w:asciiTheme="minorHAnsi" w:eastAsiaTheme="minorHAnsi" w:hAnsiTheme="minorHAnsi" w:cstheme="minorHAnsi"/>
                <w:color w:val="0070C0"/>
                <w:sz w:val="22"/>
                <w:szCs w:val="22"/>
              </w:rPr>
              <w:t xml:space="preserve">Table S2: Mean and standard deviations of the number of maths problems completes before the first switch from maths to pictures, by condition. </w:t>
            </w:r>
          </w:p>
        </w:tc>
      </w:tr>
    </w:tbl>
    <w:p w14:paraId="487B5BBE" w14:textId="77777777" w:rsidR="007D6541" w:rsidRPr="007D6541" w:rsidRDefault="007D6541" w:rsidP="002A2189">
      <w:pPr>
        <w:tabs>
          <w:tab w:val="left" w:pos="7512"/>
        </w:tabs>
        <w:spacing w:line="480" w:lineRule="auto"/>
        <w:rPr>
          <w:rFonts w:ascii="Cambria" w:hAnsi="Cambria" w:cstheme="minorHAnsi"/>
          <w:color w:val="0070C0"/>
        </w:rPr>
      </w:pPr>
    </w:p>
    <w:p w14:paraId="3F7B7040" w14:textId="64380E06" w:rsidR="007D6541" w:rsidRPr="007D6541" w:rsidRDefault="007D6541" w:rsidP="007D6541">
      <w:pPr>
        <w:spacing w:line="480" w:lineRule="auto"/>
        <w:jc w:val="both"/>
        <w:rPr>
          <w:rFonts w:cstheme="minorHAnsi"/>
          <w:color w:val="0070C0"/>
        </w:rPr>
      </w:pPr>
      <w:r w:rsidRPr="007D6541">
        <w:rPr>
          <w:rFonts w:cstheme="minorHAnsi"/>
          <w:color w:val="0070C0"/>
        </w:rPr>
        <w:t>There was no main effect of condition (</w:t>
      </w:r>
      <w:r w:rsidRPr="007D6541">
        <w:rPr>
          <w:rFonts w:cstheme="minorHAnsi"/>
          <w:i/>
          <w:color w:val="0070C0"/>
        </w:rPr>
        <w:t>F</w:t>
      </w:r>
      <w:r w:rsidRPr="007D6541">
        <w:rPr>
          <w:rFonts w:cstheme="minorHAnsi"/>
          <w:color w:val="0070C0"/>
        </w:rPr>
        <w:t xml:space="preserve">(1,89)=0.01, </w:t>
      </w:r>
      <w:r w:rsidRPr="007D6541">
        <w:rPr>
          <w:rFonts w:cstheme="minorHAnsi"/>
          <w:i/>
          <w:color w:val="0070C0"/>
        </w:rPr>
        <w:t>p</w:t>
      </w:r>
      <w:r w:rsidRPr="007D6541">
        <w:rPr>
          <w:rFonts w:cstheme="minorHAnsi"/>
          <w:color w:val="0070C0"/>
        </w:rPr>
        <w:t xml:space="preserve">=9.20, </w:t>
      </w:r>
      <w:r w:rsidRPr="007D6541">
        <w:rPr>
          <w:rFonts w:ascii="Cambria" w:hAnsi="Cambria" w:cstheme="minorHAnsi"/>
          <w:color w:val="0070C0"/>
        </w:rPr>
        <w:t>η</w:t>
      </w:r>
      <w:r w:rsidRPr="007D6541">
        <w:rPr>
          <w:rFonts w:ascii="Cambria" w:hAnsi="Cambria" w:cstheme="minorHAnsi"/>
          <w:color w:val="0070C0"/>
          <w:vertAlign w:val="superscript"/>
        </w:rPr>
        <w:t>2</w:t>
      </w:r>
      <w:r w:rsidRPr="007D6541">
        <w:rPr>
          <w:rFonts w:ascii="Cambria" w:hAnsi="Cambria" w:cstheme="minorHAnsi"/>
          <w:color w:val="0070C0"/>
        </w:rPr>
        <w:t>= .00</w:t>
      </w:r>
      <w:r w:rsidRPr="007D6541">
        <w:rPr>
          <w:rFonts w:cstheme="minorHAnsi"/>
          <w:color w:val="0070C0"/>
        </w:rPr>
        <w:t>)  or age group (</w:t>
      </w:r>
      <w:r w:rsidRPr="007D6541">
        <w:rPr>
          <w:rFonts w:cstheme="minorHAnsi"/>
          <w:i/>
          <w:color w:val="0070C0"/>
        </w:rPr>
        <w:t>F</w:t>
      </w:r>
      <w:r w:rsidRPr="007D6541">
        <w:rPr>
          <w:rFonts w:cstheme="minorHAnsi"/>
          <w:color w:val="0070C0"/>
        </w:rPr>
        <w:t xml:space="preserve">(1,89)=2.30, </w:t>
      </w:r>
      <w:r w:rsidRPr="007D6541">
        <w:rPr>
          <w:rFonts w:cstheme="minorHAnsi"/>
          <w:i/>
          <w:color w:val="0070C0"/>
        </w:rPr>
        <w:t>p</w:t>
      </w:r>
      <w:r w:rsidRPr="007D6541">
        <w:rPr>
          <w:rFonts w:cstheme="minorHAnsi"/>
          <w:color w:val="0070C0"/>
        </w:rPr>
        <w:t xml:space="preserve">=.133, </w:t>
      </w:r>
      <w:r w:rsidRPr="007D6541">
        <w:rPr>
          <w:rFonts w:ascii="Cambria" w:hAnsi="Cambria" w:cstheme="minorHAnsi"/>
          <w:color w:val="0070C0"/>
        </w:rPr>
        <w:t>η</w:t>
      </w:r>
      <w:r w:rsidRPr="007D6541">
        <w:rPr>
          <w:rFonts w:ascii="Cambria" w:hAnsi="Cambria" w:cstheme="minorHAnsi"/>
          <w:color w:val="0070C0"/>
          <w:vertAlign w:val="superscript"/>
        </w:rPr>
        <w:t>2</w:t>
      </w:r>
      <w:r w:rsidRPr="007D6541">
        <w:rPr>
          <w:rFonts w:ascii="Cambria" w:hAnsi="Cambria" w:cstheme="minorHAnsi"/>
          <w:color w:val="0070C0"/>
        </w:rPr>
        <w:t>= .025</w:t>
      </w:r>
      <w:r w:rsidRPr="007D6541">
        <w:rPr>
          <w:rFonts w:cstheme="minorHAnsi"/>
          <w:color w:val="0070C0"/>
        </w:rPr>
        <w:t xml:space="preserve">) </w:t>
      </w:r>
      <w:r w:rsidRPr="007D6541">
        <w:rPr>
          <w:rFonts w:ascii="Cambria" w:hAnsi="Cambria" w:cstheme="minorHAnsi"/>
          <w:color w:val="0070C0"/>
        </w:rPr>
        <w:t xml:space="preserve">on the number of maths problems completed prior to the </w:t>
      </w:r>
      <w:r w:rsidRPr="007D6541">
        <w:rPr>
          <w:rFonts w:ascii="Cambria" w:hAnsi="Cambria" w:cstheme="minorHAnsi"/>
          <w:color w:val="0070C0"/>
        </w:rPr>
        <w:lastRenderedPageBreak/>
        <w:t>first switch to look at the pictures. There was no interaction between age group or condition (</w:t>
      </w:r>
      <w:r w:rsidRPr="007D6541">
        <w:rPr>
          <w:rFonts w:cstheme="minorHAnsi"/>
          <w:i/>
          <w:color w:val="0070C0"/>
        </w:rPr>
        <w:t>F</w:t>
      </w:r>
      <w:r w:rsidRPr="007D6541">
        <w:rPr>
          <w:rFonts w:cstheme="minorHAnsi"/>
          <w:color w:val="0070C0"/>
        </w:rPr>
        <w:t xml:space="preserve">(1,89)=0.42, </w:t>
      </w:r>
      <w:r w:rsidRPr="007D6541">
        <w:rPr>
          <w:rFonts w:cstheme="minorHAnsi"/>
          <w:i/>
          <w:color w:val="0070C0"/>
        </w:rPr>
        <w:t>p</w:t>
      </w:r>
      <w:r w:rsidRPr="007D6541">
        <w:rPr>
          <w:rFonts w:cstheme="minorHAnsi"/>
          <w:color w:val="0070C0"/>
        </w:rPr>
        <w:t xml:space="preserve">=.52, </w:t>
      </w:r>
      <w:r w:rsidRPr="007D6541">
        <w:rPr>
          <w:rFonts w:ascii="Cambria" w:hAnsi="Cambria" w:cstheme="minorHAnsi"/>
          <w:color w:val="0070C0"/>
        </w:rPr>
        <w:t>η</w:t>
      </w:r>
      <w:r w:rsidRPr="007D6541">
        <w:rPr>
          <w:rFonts w:ascii="Cambria" w:hAnsi="Cambria" w:cstheme="minorHAnsi"/>
          <w:color w:val="0070C0"/>
          <w:vertAlign w:val="superscript"/>
        </w:rPr>
        <w:t>2</w:t>
      </w:r>
      <w:r w:rsidRPr="007D6541">
        <w:rPr>
          <w:rFonts w:ascii="Cambria" w:hAnsi="Cambria" w:cstheme="minorHAnsi"/>
          <w:color w:val="0070C0"/>
        </w:rPr>
        <w:t>= .01</w:t>
      </w:r>
      <w:r w:rsidRPr="007D6541">
        <w:rPr>
          <w:rFonts w:cstheme="minorHAnsi"/>
          <w:color w:val="0070C0"/>
        </w:rPr>
        <w:t>)</w:t>
      </w:r>
      <w:r w:rsidR="0062467F">
        <w:rPr>
          <w:rFonts w:cstheme="minorHAnsi"/>
          <w:color w:val="0070C0"/>
        </w:rPr>
        <w:t xml:space="preserve"> (see table S2 for descriptive statistics</w:t>
      </w:r>
      <w:r w:rsidR="002B079E">
        <w:rPr>
          <w:rFonts w:cstheme="minorHAnsi"/>
          <w:color w:val="0070C0"/>
        </w:rPr>
        <w:t>)</w:t>
      </w:r>
      <w:r w:rsidRPr="007D6541">
        <w:rPr>
          <w:rFonts w:cstheme="minorHAnsi"/>
          <w:color w:val="0070C0"/>
        </w:rPr>
        <w:t xml:space="preserve">. </w:t>
      </w:r>
    </w:p>
    <w:p w14:paraId="4EA6F766" w14:textId="77777777" w:rsidR="00F33C33" w:rsidRDefault="00F33C33" w:rsidP="00A76E34">
      <w:pPr>
        <w:spacing w:line="480" w:lineRule="auto"/>
        <w:jc w:val="both"/>
        <w:rPr>
          <w:rFonts w:ascii="Cambria" w:hAnsi="Cambria" w:cstheme="minorHAnsi"/>
        </w:rPr>
      </w:pPr>
    </w:p>
    <w:p w14:paraId="766DF3EB" w14:textId="77777777" w:rsidR="00F33C33" w:rsidRPr="000A3D61" w:rsidRDefault="00F33C33" w:rsidP="00F33C33">
      <w:pPr>
        <w:spacing w:line="480" w:lineRule="auto"/>
        <w:jc w:val="both"/>
        <w:outlineLvl w:val="0"/>
        <w:rPr>
          <w:rFonts w:ascii="Cambria" w:hAnsi="Cambria" w:cstheme="minorHAnsi"/>
          <w:b/>
        </w:rPr>
      </w:pPr>
      <w:r>
        <w:rPr>
          <w:rFonts w:ascii="Cambria" w:hAnsi="Cambria" w:cstheme="minorHAnsi"/>
          <w:b/>
        </w:rPr>
        <w:t>Enjoyment rating for m</w:t>
      </w:r>
      <w:r w:rsidRPr="000A3D61">
        <w:rPr>
          <w:rFonts w:ascii="Cambria" w:hAnsi="Cambria" w:cstheme="minorHAnsi"/>
          <w:b/>
        </w:rPr>
        <w:t xml:space="preserve">aths </w:t>
      </w:r>
    </w:p>
    <w:p w14:paraId="733385D7" w14:textId="63750453" w:rsidR="00B070C3" w:rsidRDefault="00F33C33" w:rsidP="00B070C3">
      <w:pPr>
        <w:tabs>
          <w:tab w:val="left" w:pos="7512"/>
        </w:tabs>
        <w:spacing w:line="480" w:lineRule="auto"/>
        <w:rPr>
          <w:rFonts w:ascii="Cambria" w:hAnsi="Cambria" w:cstheme="minorHAnsi"/>
        </w:rPr>
      </w:pPr>
      <w:r w:rsidRPr="000A3D61">
        <w:rPr>
          <w:rFonts w:ascii="Cambria" w:hAnsi="Cambria" w:cstheme="minorHAnsi"/>
        </w:rPr>
        <w:t>All 45 adolescent participants provided an enjoyment rating for the maths in both conditions, but 4 of the 46 adult participants did not provide a rating in both conditions and were therefore not entered into the analysis. There was a significant main effect of age group (</w:t>
      </w:r>
      <w:r w:rsidRPr="000A3D61">
        <w:rPr>
          <w:rFonts w:ascii="Cambria" w:hAnsi="Cambria" w:cstheme="minorHAnsi"/>
          <w:i/>
        </w:rPr>
        <w:t>F</w:t>
      </w:r>
      <w:r w:rsidRPr="000A3D61">
        <w:rPr>
          <w:rFonts w:ascii="Cambria" w:hAnsi="Cambria" w:cstheme="minorHAnsi"/>
        </w:rPr>
        <w:t xml:space="preserve">(1,85)= 16.1, </w:t>
      </w:r>
      <w:r w:rsidRPr="000A3D61">
        <w:rPr>
          <w:rFonts w:ascii="Cambria" w:hAnsi="Cambria" w:cstheme="minorHAnsi"/>
          <w:i/>
        </w:rPr>
        <w:t>p</w:t>
      </w:r>
      <w:r>
        <w:rPr>
          <w:rFonts w:ascii="Cambria" w:hAnsi="Cambria" w:cstheme="minorHAnsi"/>
        </w:rPr>
        <w:t>=</w:t>
      </w:r>
      <w:r w:rsidRPr="000A3D61">
        <w:rPr>
          <w:rFonts w:ascii="Cambria" w:hAnsi="Cambria" w:cstheme="minorHAnsi"/>
        </w:rPr>
        <w:t>.001, η</w:t>
      </w:r>
      <w:r w:rsidRPr="000A3D61">
        <w:rPr>
          <w:rFonts w:ascii="Cambria" w:hAnsi="Cambria" w:cstheme="minorHAnsi"/>
          <w:vertAlign w:val="superscript"/>
        </w:rPr>
        <w:t>2</w:t>
      </w:r>
      <w:r>
        <w:rPr>
          <w:rFonts w:ascii="Cambria" w:hAnsi="Cambria" w:cstheme="minorHAnsi"/>
        </w:rPr>
        <w:t>=</w:t>
      </w:r>
      <w:r w:rsidRPr="000A3D61">
        <w:rPr>
          <w:rFonts w:ascii="Cambria" w:hAnsi="Cambria" w:cstheme="minorHAnsi"/>
        </w:rPr>
        <w:t>.159) on maths enjoyment ratings. In the social condition, adolescents reported enjoying the maths significantly less than did the adults (</w:t>
      </w:r>
      <w:r w:rsidRPr="000A3D61">
        <w:rPr>
          <w:rFonts w:ascii="Cambria" w:hAnsi="Cambria" w:cstheme="minorHAnsi"/>
          <w:i/>
        </w:rPr>
        <w:t>t</w:t>
      </w:r>
      <w:r w:rsidRPr="000A3D61">
        <w:rPr>
          <w:rFonts w:ascii="Cambria" w:hAnsi="Cambria" w:cstheme="minorHAnsi"/>
        </w:rPr>
        <w:t xml:space="preserve">(85)= -3.723, </w:t>
      </w:r>
      <w:r w:rsidRPr="000A3D61">
        <w:rPr>
          <w:rFonts w:ascii="Cambria" w:hAnsi="Cambria" w:cstheme="minorHAnsi"/>
          <w:i/>
        </w:rPr>
        <w:t>p</w:t>
      </w:r>
      <w:r>
        <w:rPr>
          <w:rFonts w:ascii="Cambria" w:hAnsi="Cambria" w:cstheme="minorHAnsi"/>
        </w:rPr>
        <w:t>=</w:t>
      </w:r>
      <w:r w:rsidRPr="000A3D61">
        <w:rPr>
          <w:rFonts w:ascii="Cambria" w:hAnsi="Cambria" w:cstheme="minorHAnsi"/>
        </w:rPr>
        <w:t>.004). Similarly, in the non-social condition, adolescents reported enjoying the maths significantly less than did the adults (</w:t>
      </w:r>
      <w:r w:rsidRPr="000A3D61">
        <w:rPr>
          <w:rFonts w:ascii="Cambria" w:hAnsi="Cambria" w:cstheme="minorHAnsi"/>
          <w:i/>
        </w:rPr>
        <w:t>t</w:t>
      </w:r>
      <w:r w:rsidRPr="000A3D61">
        <w:rPr>
          <w:rFonts w:ascii="Cambria" w:hAnsi="Cambria" w:cstheme="minorHAnsi"/>
        </w:rPr>
        <w:t xml:space="preserve">(85)=-3.631, </w:t>
      </w:r>
      <w:r w:rsidRPr="000A3D61">
        <w:rPr>
          <w:rFonts w:ascii="Cambria" w:hAnsi="Cambria" w:cstheme="minorHAnsi"/>
          <w:i/>
        </w:rPr>
        <w:t>p</w:t>
      </w:r>
      <w:r w:rsidRPr="000A3D61">
        <w:rPr>
          <w:rFonts w:ascii="Cambria" w:hAnsi="Cambria" w:cstheme="minorHAnsi"/>
        </w:rPr>
        <w:t>=.004). There was no main effect of condition (</w:t>
      </w:r>
      <w:r w:rsidRPr="000A3D61">
        <w:rPr>
          <w:rFonts w:ascii="Cambria" w:hAnsi="Cambria" w:cstheme="minorHAnsi"/>
          <w:i/>
        </w:rPr>
        <w:t>F</w:t>
      </w:r>
      <w:r w:rsidRPr="000A3D61">
        <w:rPr>
          <w:rFonts w:ascii="Cambria" w:hAnsi="Cambria" w:cstheme="minorHAnsi"/>
        </w:rPr>
        <w:t xml:space="preserve">(1,85)= 0.689, </w:t>
      </w:r>
      <w:r w:rsidRPr="000A3D61">
        <w:rPr>
          <w:rFonts w:ascii="Cambria" w:hAnsi="Cambria" w:cstheme="minorHAnsi"/>
          <w:i/>
        </w:rPr>
        <w:t>p</w:t>
      </w:r>
      <w:r w:rsidRPr="000A3D61">
        <w:rPr>
          <w:rFonts w:ascii="Cambria" w:hAnsi="Cambria" w:cstheme="minorHAnsi"/>
        </w:rPr>
        <w:t>= .409, η</w:t>
      </w:r>
      <w:r w:rsidRPr="000A3D61">
        <w:rPr>
          <w:rFonts w:ascii="Cambria" w:hAnsi="Cambria" w:cstheme="minorHAnsi"/>
          <w:vertAlign w:val="superscript"/>
        </w:rPr>
        <w:t>2</w:t>
      </w:r>
      <w:r w:rsidRPr="000A3D61">
        <w:rPr>
          <w:rFonts w:ascii="Cambria" w:hAnsi="Cambria" w:cstheme="minorHAnsi"/>
        </w:rPr>
        <w:t>= .008) on maths enjoyment ratings, nor was there was a significant interaction between age group and condition (</w:t>
      </w:r>
      <w:r w:rsidRPr="000A3D61">
        <w:rPr>
          <w:rFonts w:ascii="Cambria" w:hAnsi="Cambria" w:cstheme="minorHAnsi"/>
          <w:i/>
        </w:rPr>
        <w:t>F</w:t>
      </w:r>
      <w:r w:rsidRPr="000A3D61">
        <w:rPr>
          <w:rFonts w:ascii="Cambria" w:hAnsi="Cambria" w:cstheme="minorHAnsi"/>
        </w:rPr>
        <w:t xml:space="preserve">(1,85)= 0.03, </w:t>
      </w:r>
      <w:r w:rsidRPr="000A3D61">
        <w:rPr>
          <w:rFonts w:ascii="Cambria" w:hAnsi="Cambria" w:cstheme="minorHAnsi"/>
          <w:i/>
        </w:rPr>
        <w:t>p</w:t>
      </w:r>
      <w:r w:rsidRPr="000A3D61">
        <w:rPr>
          <w:rFonts w:ascii="Cambria" w:hAnsi="Cambria" w:cstheme="minorHAnsi"/>
        </w:rPr>
        <w:t>= .863, η</w:t>
      </w:r>
      <w:r w:rsidRPr="000A3D61">
        <w:rPr>
          <w:rFonts w:ascii="Cambria" w:hAnsi="Cambria" w:cstheme="minorHAnsi"/>
          <w:vertAlign w:val="superscript"/>
        </w:rPr>
        <w:t>2</w:t>
      </w:r>
      <w:r w:rsidRPr="000A3D61">
        <w:rPr>
          <w:rFonts w:ascii="Cambria" w:hAnsi="Cambria" w:cstheme="minorHAnsi"/>
        </w:rPr>
        <w:t>= .001) (</w:t>
      </w:r>
      <w:r w:rsidR="00C17DC3">
        <w:rPr>
          <w:rFonts w:ascii="Cambria" w:hAnsi="Cambria" w:cstheme="minorHAnsi"/>
        </w:rPr>
        <w:t>Figure S1</w:t>
      </w:r>
      <w:r>
        <w:rPr>
          <w:rFonts w:ascii="Cambria" w:hAnsi="Cambria" w:cstheme="minorHAnsi"/>
        </w:rPr>
        <w:t>;</w:t>
      </w:r>
      <w:r w:rsidRPr="000A3D61">
        <w:rPr>
          <w:rFonts w:ascii="Cambria" w:hAnsi="Cambria" w:cstheme="minorHAnsi"/>
        </w:rPr>
        <w:t xml:space="preserve"> </w:t>
      </w:r>
      <w:r w:rsidR="00C17DC3">
        <w:rPr>
          <w:rFonts w:ascii="Cambria" w:hAnsi="Cambria" w:cstheme="minorHAnsi"/>
        </w:rPr>
        <w:t>Table S1</w:t>
      </w:r>
      <w:r>
        <w:rPr>
          <w:rFonts w:ascii="Cambria" w:hAnsi="Cambria" w:cstheme="minorHAnsi"/>
        </w:rPr>
        <w:t xml:space="preserve"> for means and standard error)</w:t>
      </w:r>
      <w:r w:rsidRPr="000A3D61">
        <w:rPr>
          <w:rFonts w:ascii="Cambria" w:hAnsi="Cambria" w:cstheme="minorHAnsi"/>
        </w:rPr>
        <w:t xml:space="preserve">. </w:t>
      </w:r>
      <w:r w:rsidR="00B070C3" w:rsidRPr="007D6541">
        <w:rPr>
          <w:rFonts w:ascii="Cambria" w:hAnsi="Cambria" w:cstheme="minorHAnsi"/>
          <w:color w:val="0070C0"/>
        </w:rPr>
        <w:t xml:space="preserve">Controlling for autistic traits, social reward and grit did not affect the significance of these findings. In each case there was a significant main effect of age (p&lt;.05) and all </w:t>
      </w:r>
      <w:r w:rsidR="002865D5" w:rsidRPr="007D6541">
        <w:rPr>
          <w:rFonts w:ascii="Cambria" w:hAnsi="Cambria" w:cstheme="minorHAnsi"/>
          <w:color w:val="0070C0"/>
        </w:rPr>
        <w:t xml:space="preserve">other </w:t>
      </w:r>
      <w:r w:rsidR="00B070C3" w:rsidRPr="007D6541">
        <w:rPr>
          <w:rFonts w:ascii="Cambria" w:hAnsi="Cambria" w:cstheme="minorHAnsi"/>
          <w:color w:val="0070C0"/>
        </w:rPr>
        <w:t xml:space="preserve">effects were non-significant (p&gt;.05). </w:t>
      </w:r>
    </w:p>
    <w:p w14:paraId="1AA27288" w14:textId="77777777" w:rsidR="009E4E1D" w:rsidRDefault="009E4E1D" w:rsidP="00F33C33">
      <w:pPr>
        <w:tabs>
          <w:tab w:val="left" w:pos="7512"/>
        </w:tabs>
        <w:spacing w:line="480" w:lineRule="auto"/>
        <w:rPr>
          <w:rFonts w:ascii="Cambria" w:hAnsi="Cambria" w:cstheme="minorHAnsi"/>
        </w:rPr>
      </w:pPr>
    </w:p>
    <w:p w14:paraId="651094C2" w14:textId="77777777" w:rsidR="009E4E1D" w:rsidRDefault="009E4E1D" w:rsidP="00C31915">
      <w:pPr>
        <w:spacing w:line="480" w:lineRule="auto"/>
        <w:jc w:val="both"/>
        <w:outlineLvl w:val="0"/>
        <w:rPr>
          <w:rFonts w:ascii="Cambria" w:hAnsi="Cambria" w:cstheme="minorHAnsi"/>
          <w:b/>
        </w:rPr>
      </w:pPr>
      <w:r>
        <w:rPr>
          <w:rFonts w:ascii="Cambria" w:hAnsi="Cambria" w:cstheme="minorHAnsi"/>
          <w:b/>
          <w:noProof/>
          <w:lang w:eastAsia="en-GB"/>
        </w:rPr>
        <w:lastRenderedPageBreak/>
        <w:drawing>
          <wp:inline distT="0" distB="0" distL="0" distR="0" wp14:anchorId="44B550C6" wp14:editId="7AE891CC">
            <wp:extent cx="5486400"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848100"/>
                    </a:xfrm>
                    <a:prstGeom prst="rect">
                      <a:avLst/>
                    </a:prstGeom>
                  </pic:spPr>
                </pic:pic>
              </a:graphicData>
            </a:graphic>
          </wp:inline>
        </w:drawing>
      </w:r>
    </w:p>
    <w:p w14:paraId="4827D003" w14:textId="77777777" w:rsidR="009E4E1D" w:rsidRPr="00C31915" w:rsidRDefault="009E4E1D" w:rsidP="00C31915">
      <w:pPr>
        <w:spacing w:line="480" w:lineRule="auto"/>
        <w:jc w:val="both"/>
        <w:outlineLvl w:val="0"/>
        <w:rPr>
          <w:rFonts w:ascii="Cambria" w:hAnsi="Cambria" w:cstheme="minorHAnsi"/>
          <w:b/>
        </w:rPr>
      </w:pPr>
    </w:p>
    <w:p w14:paraId="3A63CE65" w14:textId="77777777" w:rsidR="00C815E8" w:rsidRPr="007A5CE7" w:rsidRDefault="00C815E8" w:rsidP="00C815E8">
      <w:pPr>
        <w:tabs>
          <w:tab w:val="left" w:pos="7512"/>
        </w:tabs>
        <w:spacing w:line="480" w:lineRule="auto"/>
        <w:rPr>
          <w:rFonts w:ascii="Cambria" w:hAnsi="Cambria" w:cstheme="minorHAnsi"/>
        </w:rPr>
      </w:pPr>
      <w:r>
        <w:rPr>
          <w:rFonts w:ascii="Cambria" w:hAnsi="Cambria" w:cstheme="minorHAnsi"/>
          <w:b/>
        </w:rPr>
        <w:t>Figure S1</w:t>
      </w:r>
      <w:r w:rsidRPr="00F421EC">
        <w:rPr>
          <w:rFonts w:ascii="Cambria" w:hAnsi="Cambria" w:cstheme="minorHAnsi"/>
          <w:b/>
        </w:rPr>
        <w:t>:</w:t>
      </w:r>
      <w:r w:rsidRPr="007A5CE7">
        <w:rPr>
          <w:rFonts w:ascii="Cambria" w:hAnsi="Cambria" w:cstheme="minorHAnsi"/>
        </w:rPr>
        <w:t xml:space="preserve"> Enjoyment ratings</w:t>
      </w:r>
    </w:p>
    <w:p w14:paraId="21F1C139" w14:textId="77777777" w:rsidR="00DA6FDB" w:rsidRDefault="00C815E8" w:rsidP="009E4E1D">
      <w:pPr>
        <w:tabs>
          <w:tab w:val="left" w:pos="7512"/>
        </w:tabs>
        <w:spacing w:line="480" w:lineRule="auto"/>
        <w:rPr>
          <w:rFonts w:ascii="Cambria" w:hAnsi="Cambria" w:cstheme="minorHAnsi"/>
        </w:rPr>
      </w:pPr>
      <w:r w:rsidRPr="007A5CE7">
        <w:rPr>
          <w:rFonts w:ascii="Cambria" w:hAnsi="Cambria" w:cstheme="minorHAnsi"/>
        </w:rPr>
        <w:t>Mean enjoyment ratings for the maths in each condition, for adole</w:t>
      </w:r>
      <w:r>
        <w:rPr>
          <w:rFonts w:ascii="Cambria" w:hAnsi="Cambria" w:cstheme="minorHAnsi"/>
        </w:rPr>
        <w:t>scents and adults.  Asterisks in</w:t>
      </w:r>
      <w:r w:rsidRPr="007A5CE7">
        <w:rPr>
          <w:rFonts w:ascii="Cambria" w:hAnsi="Cambria" w:cstheme="minorHAnsi"/>
        </w:rPr>
        <w:t>dicate Bonferroni corrected P values.</w:t>
      </w:r>
    </w:p>
    <w:p w14:paraId="528E7AF4" w14:textId="77777777" w:rsidR="00CC02AF" w:rsidRDefault="00CC02AF" w:rsidP="009E4E1D">
      <w:pPr>
        <w:tabs>
          <w:tab w:val="left" w:pos="7512"/>
        </w:tabs>
        <w:spacing w:line="480" w:lineRule="auto"/>
        <w:rPr>
          <w:rFonts w:ascii="Cambria" w:hAnsi="Cambria" w:cstheme="minorHAnsi"/>
        </w:rPr>
      </w:pPr>
    </w:p>
    <w:p w14:paraId="39541EFF" w14:textId="77777777" w:rsidR="00E111FB" w:rsidRDefault="00E111FB" w:rsidP="004607CC">
      <w:pPr>
        <w:tabs>
          <w:tab w:val="left" w:pos="7512"/>
        </w:tabs>
        <w:spacing w:line="480" w:lineRule="auto"/>
        <w:rPr>
          <w:rFonts w:ascii="Cambria" w:hAnsi="Cambria" w:cstheme="minorHAnsi"/>
          <w:b/>
          <w:color w:val="0070C0"/>
        </w:rPr>
      </w:pPr>
    </w:p>
    <w:p w14:paraId="0E438EC2" w14:textId="77777777" w:rsidR="00E111FB" w:rsidRDefault="00E111FB" w:rsidP="004607CC">
      <w:pPr>
        <w:tabs>
          <w:tab w:val="left" w:pos="7512"/>
        </w:tabs>
        <w:spacing w:line="480" w:lineRule="auto"/>
        <w:rPr>
          <w:rFonts w:ascii="Cambria" w:hAnsi="Cambria" w:cstheme="minorHAnsi"/>
          <w:b/>
          <w:color w:val="0070C0"/>
        </w:rPr>
      </w:pPr>
    </w:p>
    <w:p w14:paraId="30E6F80A" w14:textId="77777777" w:rsidR="00E111FB" w:rsidRDefault="00E111FB" w:rsidP="004607CC">
      <w:pPr>
        <w:tabs>
          <w:tab w:val="left" w:pos="7512"/>
        </w:tabs>
        <w:spacing w:line="480" w:lineRule="auto"/>
        <w:rPr>
          <w:rFonts w:ascii="Cambria" w:hAnsi="Cambria" w:cstheme="minorHAnsi"/>
          <w:b/>
          <w:color w:val="0070C0"/>
        </w:rPr>
      </w:pPr>
    </w:p>
    <w:p w14:paraId="00895CD3" w14:textId="77777777" w:rsidR="00E111FB" w:rsidRDefault="00E111FB" w:rsidP="004607CC">
      <w:pPr>
        <w:tabs>
          <w:tab w:val="left" w:pos="7512"/>
        </w:tabs>
        <w:spacing w:line="480" w:lineRule="auto"/>
        <w:rPr>
          <w:rFonts w:ascii="Cambria" w:hAnsi="Cambria" w:cstheme="minorHAnsi"/>
          <w:b/>
          <w:color w:val="0070C0"/>
        </w:rPr>
      </w:pPr>
    </w:p>
    <w:p w14:paraId="0972AEC4" w14:textId="77777777" w:rsidR="00E111FB" w:rsidRDefault="00E111FB" w:rsidP="004607CC">
      <w:pPr>
        <w:tabs>
          <w:tab w:val="left" w:pos="7512"/>
        </w:tabs>
        <w:spacing w:line="480" w:lineRule="auto"/>
        <w:rPr>
          <w:rFonts w:ascii="Cambria" w:hAnsi="Cambria" w:cstheme="minorHAnsi"/>
          <w:b/>
          <w:color w:val="0070C0"/>
        </w:rPr>
      </w:pPr>
    </w:p>
    <w:p w14:paraId="1F4A2092" w14:textId="77777777" w:rsidR="00E111FB" w:rsidRDefault="00E111FB" w:rsidP="004607CC">
      <w:pPr>
        <w:tabs>
          <w:tab w:val="left" w:pos="7512"/>
        </w:tabs>
        <w:spacing w:line="480" w:lineRule="auto"/>
        <w:rPr>
          <w:rFonts w:ascii="Cambria" w:hAnsi="Cambria" w:cstheme="minorHAnsi"/>
          <w:b/>
          <w:color w:val="0070C0"/>
        </w:rPr>
      </w:pPr>
    </w:p>
    <w:p w14:paraId="46A4A938" w14:textId="77777777" w:rsidR="00E111FB" w:rsidRDefault="00E111FB" w:rsidP="004607CC">
      <w:pPr>
        <w:tabs>
          <w:tab w:val="left" w:pos="7512"/>
        </w:tabs>
        <w:spacing w:line="480" w:lineRule="auto"/>
        <w:rPr>
          <w:rFonts w:ascii="Cambria" w:hAnsi="Cambria" w:cstheme="minorHAnsi"/>
          <w:b/>
          <w:color w:val="0070C0"/>
        </w:rPr>
      </w:pPr>
    </w:p>
    <w:p w14:paraId="397D0331" w14:textId="77777777" w:rsidR="00E111FB" w:rsidRDefault="00E111FB" w:rsidP="004607CC">
      <w:pPr>
        <w:tabs>
          <w:tab w:val="left" w:pos="7512"/>
        </w:tabs>
        <w:spacing w:line="480" w:lineRule="auto"/>
        <w:rPr>
          <w:rFonts w:ascii="Cambria" w:hAnsi="Cambria" w:cstheme="minorHAnsi"/>
          <w:b/>
          <w:color w:val="0070C0"/>
        </w:rPr>
      </w:pPr>
    </w:p>
    <w:p w14:paraId="1D7E3D7A" w14:textId="77777777" w:rsidR="00E111FB" w:rsidRDefault="00E111FB" w:rsidP="004607CC">
      <w:pPr>
        <w:tabs>
          <w:tab w:val="left" w:pos="7512"/>
        </w:tabs>
        <w:spacing w:line="480" w:lineRule="auto"/>
        <w:rPr>
          <w:rFonts w:ascii="Cambria" w:hAnsi="Cambria" w:cstheme="minorHAnsi"/>
          <w:b/>
          <w:color w:val="0070C0"/>
        </w:rPr>
      </w:pPr>
    </w:p>
    <w:p w14:paraId="589C396B" w14:textId="495AE051" w:rsidR="00CC02AF" w:rsidRPr="007D6541" w:rsidRDefault="004C18BD" w:rsidP="008762BA">
      <w:pPr>
        <w:tabs>
          <w:tab w:val="left" w:pos="7512"/>
        </w:tabs>
        <w:spacing w:line="480" w:lineRule="auto"/>
        <w:rPr>
          <w:b/>
          <w:bCs/>
          <w:color w:val="0070C0"/>
          <w:lang w:eastAsia="en-GB"/>
        </w:rPr>
      </w:pPr>
      <w:r w:rsidRPr="00EC04AF">
        <w:rPr>
          <w:rFonts w:ascii="Cambria" w:hAnsi="Cambria" w:cstheme="minorHAnsi"/>
          <w:b/>
          <w:color w:val="0070C0"/>
        </w:rPr>
        <w:lastRenderedPageBreak/>
        <w:t>Distributions of time spent looking at the pictures</w:t>
      </w:r>
    </w:p>
    <w:p w14:paraId="7C53917D" w14:textId="7A9A107A" w:rsidR="00CC02AF" w:rsidRPr="00EC04AF" w:rsidRDefault="00D2132F" w:rsidP="00CC02AF">
      <w:pPr>
        <w:spacing w:before="100" w:beforeAutospacing="1" w:after="100" w:afterAutospacing="1"/>
        <w:outlineLvl w:val="4"/>
        <w:rPr>
          <w:rFonts w:ascii="Cambria" w:hAnsi="Cambria"/>
          <w:bCs/>
          <w:color w:val="0070C0"/>
          <w:lang w:eastAsia="en-GB"/>
        </w:rPr>
      </w:pPr>
      <w:r>
        <w:rPr>
          <w:rFonts w:ascii="Cambria" w:hAnsi="Cambria"/>
          <w:bCs/>
          <w:color w:val="0070C0"/>
          <w:lang w:eastAsia="en-GB"/>
        </w:rPr>
        <w:t xml:space="preserve">Figure </w:t>
      </w:r>
      <w:r w:rsidR="00152DD8">
        <w:rPr>
          <w:rFonts w:ascii="Cambria" w:hAnsi="Cambria"/>
          <w:bCs/>
          <w:color w:val="0070C0"/>
          <w:lang w:eastAsia="en-GB"/>
        </w:rPr>
        <w:t xml:space="preserve">S2: </w:t>
      </w:r>
      <w:r w:rsidR="00CC02AF" w:rsidRPr="00EC04AF">
        <w:rPr>
          <w:rFonts w:ascii="Cambria" w:hAnsi="Cambria"/>
          <w:bCs/>
          <w:color w:val="0070C0"/>
          <w:lang w:eastAsia="en-GB"/>
        </w:rPr>
        <w:t>Distribution of time spent looking at non</w:t>
      </w:r>
      <w:r w:rsidR="00152DD8">
        <w:rPr>
          <w:rFonts w:ascii="Cambria" w:hAnsi="Cambria"/>
          <w:bCs/>
          <w:color w:val="0070C0"/>
          <w:lang w:eastAsia="en-GB"/>
        </w:rPr>
        <w:t>-</w:t>
      </w:r>
      <w:r w:rsidR="00CC02AF" w:rsidRPr="00EC04AF">
        <w:rPr>
          <w:rFonts w:ascii="Cambria" w:hAnsi="Cambria"/>
          <w:bCs/>
          <w:color w:val="0070C0"/>
          <w:lang w:eastAsia="en-GB"/>
        </w:rPr>
        <w:t xml:space="preserve">social pictures </w:t>
      </w:r>
      <w:r w:rsidR="008762BA">
        <w:rPr>
          <w:rFonts w:ascii="Cambria" w:hAnsi="Cambria"/>
          <w:bCs/>
          <w:color w:val="0070C0"/>
          <w:lang w:eastAsia="en-GB"/>
        </w:rPr>
        <w:t>in the non-social ADT</w:t>
      </w:r>
    </w:p>
    <w:p w14:paraId="286DB3ED" w14:textId="0DB87CD3" w:rsidR="00CC02AF" w:rsidRPr="007D6541" w:rsidRDefault="00152DD8" w:rsidP="00CC02AF">
      <w:pPr>
        <w:spacing w:after="108"/>
        <w:rPr>
          <w:color w:val="0070C0"/>
          <w:lang w:eastAsia="en-GB"/>
        </w:rPr>
      </w:pPr>
      <w:r>
        <w:rPr>
          <w:noProof/>
          <w:color w:val="0070C0"/>
          <w:lang w:eastAsia="en-GB"/>
        </w:rPr>
        <w:drawing>
          <wp:inline distT="0" distB="0" distL="0" distR="0" wp14:anchorId="79996013" wp14:editId="2BDDE2E9">
            <wp:extent cx="4961849" cy="323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t_non_social.png"/>
                    <pic:cNvPicPr/>
                  </pic:nvPicPr>
                  <pic:blipFill rotWithShape="1">
                    <a:blip r:embed="rId7">
                      <a:extLst>
                        <a:ext uri="{28A0092B-C50C-407E-A947-70E740481C1C}">
                          <a14:useLocalDpi xmlns:a14="http://schemas.microsoft.com/office/drawing/2010/main" val="0"/>
                        </a:ext>
                      </a:extLst>
                    </a:blip>
                    <a:srcRect t="24143"/>
                    <a:stretch/>
                  </pic:blipFill>
                  <pic:spPr bwMode="auto">
                    <a:xfrm>
                      <a:off x="0" y="0"/>
                      <a:ext cx="4962574" cy="3232623"/>
                    </a:xfrm>
                    <a:prstGeom prst="rect">
                      <a:avLst/>
                    </a:prstGeom>
                    <a:ln>
                      <a:noFill/>
                    </a:ln>
                    <a:extLst>
                      <a:ext uri="{53640926-AAD7-44D8-BBD7-CCE9431645EC}">
                        <a14:shadowObscured xmlns:a14="http://schemas.microsoft.com/office/drawing/2010/main"/>
                      </a:ext>
                    </a:extLst>
                  </pic:spPr>
                </pic:pic>
              </a:graphicData>
            </a:graphic>
          </wp:inline>
        </w:drawing>
      </w:r>
    </w:p>
    <w:p w14:paraId="139C4133" w14:textId="77777777" w:rsidR="00CC02AF" w:rsidRPr="007D6541" w:rsidRDefault="00CC02AF" w:rsidP="00CC02AF">
      <w:pPr>
        <w:spacing w:after="108"/>
        <w:rPr>
          <w:color w:val="0070C0"/>
          <w:lang w:eastAsia="en-GB"/>
        </w:rPr>
      </w:pPr>
    </w:p>
    <w:p w14:paraId="22DF49AC" w14:textId="77777777" w:rsidR="00D2132F" w:rsidRDefault="00D2132F" w:rsidP="00AC5ECC">
      <w:pPr>
        <w:spacing w:before="100" w:beforeAutospacing="1" w:after="100" w:afterAutospacing="1"/>
        <w:outlineLvl w:val="4"/>
        <w:rPr>
          <w:rFonts w:ascii="Cambria" w:hAnsi="Cambria"/>
          <w:bCs/>
          <w:color w:val="0070C0"/>
          <w:lang w:eastAsia="en-GB"/>
        </w:rPr>
      </w:pPr>
    </w:p>
    <w:p w14:paraId="03DAFCD3" w14:textId="760B806F" w:rsidR="00CC02AF" w:rsidRDefault="00D2132F" w:rsidP="00CC02AF">
      <w:r>
        <w:rPr>
          <w:rFonts w:ascii="Cambria" w:hAnsi="Cambria"/>
          <w:bCs/>
          <w:color w:val="0070C0"/>
          <w:lang w:eastAsia="en-GB"/>
        </w:rPr>
        <w:t xml:space="preserve">Figure </w:t>
      </w:r>
      <w:r w:rsidR="00152DD8">
        <w:rPr>
          <w:rFonts w:ascii="Cambria" w:hAnsi="Cambria"/>
          <w:bCs/>
          <w:color w:val="0070C0"/>
          <w:lang w:eastAsia="en-GB"/>
        </w:rPr>
        <w:t>S3</w:t>
      </w:r>
      <w:r>
        <w:rPr>
          <w:rFonts w:ascii="Cambria" w:hAnsi="Cambria"/>
          <w:bCs/>
          <w:color w:val="0070C0"/>
          <w:lang w:eastAsia="en-GB"/>
        </w:rPr>
        <w:t xml:space="preserve"> </w:t>
      </w:r>
      <w:r w:rsidR="00CC02AF" w:rsidRPr="00EC04AF">
        <w:rPr>
          <w:rFonts w:ascii="Cambria" w:hAnsi="Cambria"/>
          <w:bCs/>
          <w:color w:val="0070C0"/>
          <w:lang w:eastAsia="en-GB"/>
        </w:rPr>
        <w:t xml:space="preserve">Distribution of time spent looking at social pictures </w:t>
      </w:r>
      <w:r w:rsidR="00EF0346">
        <w:rPr>
          <w:rFonts w:ascii="Cambria" w:hAnsi="Cambria"/>
          <w:bCs/>
          <w:color w:val="0070C0"/>
          <w:lang w:eastAsia="en-GB"/>
        </w:rPr>
        <w:t xml:space="preserve">in the social ADT </w:t>
      </w:r>
    </w:p>
    <w:p w14:paraId="0321DA03" w14:textId="44F882CC" w:rsidR="00CC02AF" w:rsidRPr="009E4E1D" w:rsidRDefault="00152DD8" w:rsidP="009E4E1D">
      <w:pPr>
        <w:tabs>
          <w:tab w:val="left" w:pos="7512"/>
        </w:tabs>
        <w:spacing w:line="480" w:lineRule="auto"/>
        <w:rPr>
          <w:rFonts w:ascii="Cambria" w:hAnsi="Cambria" w:cstheme="minorHAnsi"/>
        </w:rPr>
      </w:pPr>
      <w:r>
        <w:rPr>
          <w:rFonts w:ascii="Cambria" w:hAnsi="Cambria" w:cstheme="minorHAnsi"/>
          <w:noProof/>
          <w:lang w:eastAsia="en-GB"/>
        </w:rPr>
        <w:drawing>
          <wp:inline distT="0" distB="0" distL="0" distR="0" wp14:anchorId="0CBEA427" wp14:editId="3B1EB9FD">
            <wp:extent cx="5193665" cy="30936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_social.png"/>
                    <pic:cNvPicPr/>
                  </pic:nvPicPr>
                  <pic:blipFill rotWithShape="1">
                    <a:blip r:embed="rId8">
                      <a:extLst>
                        <a:ext uri="{28A0092B-C50C-407E-A947-70E740481C1C}">
                          <a14:useLocalDpi xmlns:a14="http://schemas.microsoft.com/office/drawing/2010/main" val="0"/>
                        </a:ext>
                      </a:extLst>
                    </a:blip>
                    <a:srcRect t="26979"/>
                    <a:stretch/>
                  </pic:blipFill>
                  <pic:spPr bwMode="auto">
                    <a:xfrm>
                      <a:off x="0" y="0"/>
                      <a:ext cx="5194242" cy="3093960"/>
                    </a:xfrm>
                    <a:prstGeom prst="rect">
                      <a:avLst/>
                    </a:prstGeom>
                    <a:ln>
                      <a:noFill/>
                    </a:ln>
                    <a:extLst>
                      <a:ext uri="{53640926-AAD7-44D8-BBD7-CCE9431645EC}">
                        <a14:shadowObscured xmlns:a14="http://schemas.microsoft.com/office/drawing/2010/main"/>
                      </a:ext>
                    </a:extLst>
                  </pic:spPr>
                </pic:pic>
              </a:graphicData>
            </a:graphic>
          </wp:inline>
        </w:drawing>
      </w:r>
    </w:p>
    <w:sectPr w:rsidR="00CC02AF" w:rsidRPr="009E4E1D">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C0892" w16cid:durableId="20F47C1D"/>
  <w16cid:commentId w16cid:paraId="2D96AD59" w16cid:durableId="20F47C50"/>
  <w16cid:commentId w16cid:paraId="2FE12C90" w16cid:durableId="20F47C70"/>
  <w16cid:commentId w16cid:paraId="363F027E" w16cid:durableId="20F47C9B"/>
  <w16cid:commentId w16cid:paraId="6BD33894" w16cid:durableId="20F47CE9"/>
  <w16cid:commentId w16cid:paraId="018E56F1" w16cid:durableId="20F47C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8306" w14:textId="77777777" w:rsidR="00085DC3" w:rsidRDefault="00085DC3" w:rsidP="003D3FD6">
      <w:r>
        <w:separator/>
      </w:r>
    </w:p>
  </w:endnote>
  <w:endnote w:type="continuationSeparator" w:id="0">
    <w:p w14:paraId="43AE1D2D" w14:textId="77777777" w:rsidR="00085DC3" w:rsidRDefault="00085DC3" w:rsidP="003D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36750"/>
      <w:docPartObj>
        <w:docPartGallery w:val="Page Numbers (Bottom of Page)"/>
        <w:docPartUnique/>
      </w:docPartObj>
    </w:sdtPr>
    <w:sdtEndPr>
      <w:rPr>
        <w:noProof/>
      </w:rPr>
    </w:sdtEndPr>
    <w:sdtContent>
      <w:p w14:paraId="2995DB5D" w14:textId="1B9A8770" w:rsidR="002B079E" w:rsidRDefault="002B079E">
        <w:pPr>
          <w:pStyle w:val="Footer"/>
          <w:jc w:val="right"/>
        </w:pPr>
        <w:r>
          <w:fldChar w:fldCharType="begin"/>
        </w:r>
        <w:r>
          <w:instrText xml:space="preserve"> PAGE   \* MERGEFORMAT </w:instrText>
        </w:r>
        <w:r>
          <w:fldChar w:fldCharType="separate"/>
        </w:r>
        <w:r w:rsidR="003102AF">
          <w:rPr>
            <w:noProof/>
          </w:rPr>
          <w:t>1</w:t>
        </w:r>
        <w:r>
          <w:rPr>
            <w:noProof/>
          </w:rPr>
          <w:fldChar w:fldCharType="end"/>
        </w:r>
      </w:p>
    </w:sdtContent>
  </w:sdt>
  <w:p w14:paraId="750D4690" w14:textId="77777777" w:rsidR="002B079E" w:rsidRDefault="002B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DA6B" w14:textId="77777777" w:rsidR="00085DC3" w:rsidRDefault="00085DC3" w:rsidP="003D3FD6">
      <w:r>
        <w:separator/>
      </w:r>
    </w:p>
  </w:footnote>
  <w:footnote w:type="continuationSeparator" w:id="0">
    <w:p w14:paraId="5261D30D" w14:textId="77777777" w:rsidR="00085DC3" w:rsidRDefault="00085DC3" w:rsidP="003D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515B" w14:textId="77777777" w:rsidR="003D3FD6" w:rsidRPr="003D3FD6" w:rsidRDefault="003D3FD6" w:rsidP="003D3FD6">
    <w:pPr>
      <w:pStyle w:val="Header"/>
      <w:jc w:val="center"/>
      <w:rPr>
        <w:rFonts w:ascii="Cambria" w:hAnsi="Cambria"/>
      </w:rPr>
    </w:pPr>
    <w:r w:rsidRPr="003D3FD6">
      <w:rPr>
        <w:rFonts w:ascii="Cambria" w:hAnsi="Cambria"/>
      </w:rPr>
      <w:t xml:space="preserve">SOCIAL PREFERENCE IN ADOLESCENCE </w:t>
    </w:r>
  </w:p>
  <w:p w14:paraId="76A5ED7E" w14:textId="77777777" w:rsidR="003D3FD6" w:rsidRDefault="003D3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33"/>
    <w:rsid w:val="000141E8"/>
    <w:rsid w:val="000266FD"/>
    <w:rsid w:val="00060518"/>
    <w:rsid w:val="000611EF"/>
    <w:rsid w:val="00072134"/>
    <w:rsid w:val="00085DC3"/>
    <w:rsid w:val="001455CD"/>
    <w:rsid w:val="00152DD8"/>
    <w:rsid w:val="00161801"/>
    <w:rsid w:val="001736D4"/>
    <w:rsid w:val="001B1311"/>
    <w:rsid w:val="001D0BEE"/>
    <w:rsid w:val="001D5BB2"/>
    <w:rsid w:val="001F4A80"/>
    <w:rsid w:val="00211DEF"/>
    <w:rsid w:val="0026210F"/>
    <w:rsid w:val="002865D5"/>
    <w:rsid w:val="002A2189"/>
    <w:rsid w:val="002B079E"/>
    <w:rsid w:val="002C7414"/>
    <w:rsid w:val="003102AF"/>
    <w:rsid w:val="00350BCF"/>
    <w:rsid w:val="0036715C"/>
    <w:rsid w:val="00373BA0"/>
    <w:rsid w:val="003B1AA4"/>
    <w:rsid w:val="003D3FD6"/>
    <w:rsid w:val="004607CC"/>
    <w:rsid w:val="004A0EFF"/>
    <w:rsid w:val="004C18BD"/>
    <w:rsid w:val="00523DE7"/>
    <w:rsid w:val="00593BBD"/>
    <w:rsid w:val="005B71A6"/>
    <w:rsid w:val="005E350F"/>
    <w:rsid w:val="00604368"/>
    <w:rsid w:val="0062467F"/>
    <w:rsid w:val="006818CC"/>
    <w:rsid w:val="00705601"/>
    <w:rsid w:val="0073189A"/>
    <w:rsid w:val="007635CE"/>
    <w:rsid w:val="00770BB8"/>
    <w:rsid w:val="007835EA"/>
    <w:rsid w:val="007A3C00"/>
    <w:rsid w:val="007D6541"/>
    <w:rsid w:val="007E4FCA"/>
    <w:rsid w:val="0081770F"/>
    <w:rsid w:val="008348F0"/>
    <w:rsid w:val="00857B1E"/>
    <w:rsid w:val="00863355"/>
    <w:rsid w:val="008762BA"/>
    <w:rsid w:val="0088228B"/>
    <w:rsid w:val="0089123E"/>
    <w:rsid w:val="008C2B2C"/>
    <w:rsid w:val="008E0F69"/>
    <w:rsid w:val="009A7731"/>
    <w:rsid w:val="009B3331"/>
    <w:rsid w:val="009C758C"/>
    <w:rsid w:val="009E4E1D"/>
    <w:rsid w:val="00A02A99"/>
    <w:rsid w:val="00A54B9A"/>
    <w:rsid w:val="00A62C80"/>
    <w:rsid w:val="00A76E34"/>
    <w:rsid w:val="00AC5ECC"/>
    <w:rsid w:val="00AC6BFE"/>
    <w:rsid w:val="00AE7329"/>
    <w:rsid w:val="00B060A1"/>
    <w:rsid w:val="00B070C3"/>
    <w:rsid w:val="00B10D72"/>
    <w:rsid w:val="00B12B6C"/>
    <w:rsid w:val="00B226D5"/>
    <w:rsid w:val="00B34E38"/>
    <w:rsid w:val="00B54121"/>
    <w:rsid w:val="00BA0FE8"/>
    <w:rsid w:val="00BC274F"/>
    <w:rsid w:val="00BC5412"/>
    <w:rsid w:val="00C172D3"/>
    <w:rsid w:val="00C17DC3"/>
    <w:rsid w:val="00C23395"/>
    <w:rsid w:val="00C31915"/>
    <w:rsid w:val="00C55669"/>
    <w:rsid w:val="00C77D97"/>
    <w:rsid w:val="00C815E8"/>
    <w:rsid w:val="00C87381"/>
    <w:rsid w:val="00CB74D0"/>
    <w:rsid w:val="00CC02AF"/>
    <w:rsid w:val="00CF7617"/>
    <w:rsid w:val="00D140F8"/>
    <w:rsid w:val="00D167FF"/>
    <w:rsid w:val="00D2132F"/>
    <w:rsid w:val="00D64177"/>
    <w:rsid w:val="00D7070E"/>
    <w:rsid w:val="00D74DBA"/>
    <w:rsid w:val="00D84DC9"/>
    <w:rsid w:val="00DF1B68"/>
    <w:rsid w:val="00E111FB"/>
    <w:rsid w:val="00E25FC1"/>
    <w:rsid w:val="00E5018E"/>
    <w:rsid w:val="00E54E78"/>
    <w:rsid w:val="00E963B3"/>
    <w:rsid w:val="00EC04AF"/>
    <w:rsid w:val="00EF0346"/>
    <w:rsid w:val="00F123AF"/>
    <w:rsid w:val="00F33C33"/>
    <w:rsid w:val="00F7469A"/>
    <w:rsid w:val="00F76842"/>
    <w:rsid w:val="00FA0E5E"/>
    <w:rsid w:val="00FB104A"/>
    <w:rsid w:val="00FB213B"/>
    <w:rsid w:val="00FD0E22"/>
    <w:rsid w:val="00FF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B34A"/>
  <w15:chartTrackingRefBased/>
  <w15:docId w15:val="{02EFCB54-9529-476A-9A70-3660E0C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D6"/>
    <w:pPr>
      <w:tabs>
        <w:tab w:val="center" w:pos="4513"/>
        <w:tab w:val="right" w:pos="9026"/>
      </w:tabs>
    </w:pPr>
  </w:style>
  <w:style w:type="character" w:customStyle="1" w:styleId="HeaderChar">
    <w:name w:val="Header Char"/>
    <w:basedOn w:val="DefaultParagraphFont"/>
    <w:link w:val="Header"/>
    <w:uiPriority w:val="99"/>
    <w:rsid w:val="003D3F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FD6"/>
    <w:pPr>
      <w:tabs>
        <w:tab w:val="center" w:pos="4513"/>
        <w:tab w:val="right" w:pos="9026"/>
      </w:tabs>
    </w:pPr>
  </w:style>
  <w:style w:type="character" w:customStyle="1" w:styleId="FooterChar">
    <w:name w:val="Footer Char"/>
    <w:basedOn w:val="DefaultParagraphFont"/>
    <w:link w:val="Footer"/>
    <w:uiPriority w:val="99"/>
    <w:rsid w:val="003D3FD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2C80"/>
    <w:rPr>
      <w:color w:val="0563C1" w:themeColor="hyperlink"/>
      <w:u w:val="single"/>
    </w:rPr>
  </w:style>
  <w:style w:type="character" w:customStyle="1" w:styleId="UnresolvedMention1">
    <w:name w:val="Unresolved Mention1"/>
    <w:basedOn w:val="DefaultParagraphFont"/>
    <w:uiPriority w:val="99"/>
    <w:semiHidden/>
    <w:unhideWhenUsed/>
    <w:rsid w:val="00A62C80"/>
    <w:rPr>
      <w:color w:val="808080"/>
      <w:shd w:val="clear" w:color="auto" w:fill="E6E6E6"/>
    </w:rPr>
  </w:style>
  <w:style w:type="character" w:styleId="FollowedHyperlink">
    <w:name w:val="FollowedHyperlink"/>
    <w:basedOn w:val="DefaultParagraphFont"/>
    <w:uiPriority w:val="99"/>
    <w:semiHidden/>
    <w:unhideWhenUsed/>
    <w:rsid w:val="00FD0E22"/>
    <w:rPr>
      <w:color w:val="954F72" w:themeColor="followedHyperlink"/>
      <w:u w:val="single"/>
    </w:rPr>
  </w:style>
  <w:style w:type="paragraph" w:styleId="BalloonText">
    <w:name w:val="Balloon Text"/>
    <w:basedOn w:val="Normal"/>
    <w:link w:val="BalloonTextChar"/>
    <w:uiPriority w:val="99"/>
    <w:semiHidden/>
    <w:unhideWhenUsed/>
    <w:rsid w:val="00A76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34"/>
    <w:rPr>
      <w:rFonts w:ascii="Segoe UI" w:eastAsia="Times New Roman" w:hAnsi="Segoe UI" w:cs="Segoe UI"/>
      <w:sz w:val="18"/>
      <w:szCs w:val="18"/>
    </w:rPr>
  </w:style>
  <w:style w:type="table" w:styleId="TableGrid">
    <w:name w:val="Table Grid"/>
    <w:basedOn w:val="TableNormal"/>
    <w:uiPriority w:val="39"/>
    <w:rsid w:val="00AC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48E3"/>
    <w:rPr>
      <w:sz w:val="16"/>
      <w:szCs w:val="16"/>
    </w:rPr>
  </w:style>
  <w:style w:type="paragraph" w:styleId="CommentText">
    <w:name w:val="annotation text"/>
    <w:basedOn w:val="Normal"/>
    <w:link w:val="CommentTextChar"/>
    <w:uiPriority w:val="99"/>
    <w:semiHidden/>
    <w:unhideWhenUsed/>
    <w:rsid w:val="00FF48E3"/>
    <w:rPr>
      <w:sz w:val="20"/>
      <w:szCs w:val="20"/>
    </w:rPr>
  </w:style>
  <w:style w:type="character" w:customStyle="1" w:styleId="CommentTextChar">
    <w:name w:val="Comment Text Char"/>
    <w:basedOn w:val="DefaultParagraphFont"/>
    <w:link w:val="CommentText"/>
    <w:uiPriority w:val="99"/>
    <w:semiHidden/>
    <w:rsid w:val="00FF4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8E3"/>
    <w:rPr>
      <w:b/>
      <w:bCs/>
    </w:rPr>
  </w:style>
  <w:style w:type="character" w:customStyle="1" w:styleId="CommentSubjectChar">
    <w:name w:val="Comment Subject Char"/>
    <w:basedOn w:val="CommentTextChar"/>
    <w:link w:val="CommentSubject"/>
    <w:uiPriority w:val="99"/>
    <w:semiHidden/>
    <w:rsid w:val="00FF48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Andrews</dc:creator>
  <cp:keywords/>
  <dc:description/>
  <cp:lastModifiedBy>Jack Andrews</cp:lastModifiedBy>
  <cp:revision>2</cp:revision>
  <dcterms:created xsi:type="dcterms:W3CDTF">2019-08-07T15:30:00Z</dcterms:created>
  <dcterms:modified xsi:type="dcterms:W3CDTF">2019-08-07T15:30:00Z</dcterms:modified>
</cp:coreProperties>
</file>