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FA397" w14:textId="5D2A34FA" w:rsidR="005C44F0" w:rsidRPr="004C6B04" w:rsidRDefault="005C44F0" w:rsidP="005C44F0">
      <w:pPr>
        <w:spacing w:line="360" w:lineRule="auto"/>
        <w:jc w:val="both"/>
        <w:rPr>
          <w:b/>
          <w:color w:val="000000" w:themeColor="text1"/>
          <w:sz w:val="28"/>
          <w:szCs w:val="28"/>
          <w:lang w:val="en-GB"/>
        </w:rPr>
      </w:pPr>
      <w:r w:rsidRPr="004C6B04">
        <w:rPr>
          <w:b/>
          <w:color w:val="000000" w:themeColor="text1"/>
          <w:sz w:val="28"/>
          <w:szCs w:val="28"/>
          <w:lang w:val="en-GB"/>
        </w:rPr>
        <w:t>Supplementary material</w:t>
      </w:r>
      <w:r w:rsidR="003E2239" w:rsidRPr="004C6B04">
        <w:rPr>
          <w:b/>
          <w:color w:val="000000" w:themeColor="text1"/>
          <w:sz w:val="28"/>
          <w:szCs w:val="28"/>
          <w:lang w:val="en-GB"/>
        </w:rPr>
        <w:t xml:space="preserve"> and methods</w:t>
      </w:r>
      <w:r w:rsidR="00BF2D4E" w:rsidRPr="004C6B04">
        <w:rPr>
          <w:b/>
          <w:color w:val="000000" w:themeColor="text1"/>
          <w:sz w:val="28"/>
          <w:szCs w:val="28"/>
          <w:lang w:val="en-GB"/>
        </w:rPr>
        <w:t xml:space="preserve"> for:</w:t>
      </w:r>
    </w:p>
    <w:p w14:paraId="3B46049E" w14:textId="082BF998" w:rsidR="00BF2D4E" w:rsidRPr="004C6B04" w:rsidRDefault="00BF2D4E" w:rsidP="005C44F0">
      <w:pPr>
        <w:spacing w:line="360" w:lineRule="auto"/>
        <w:jc w:val="both"/>
        <w:rPr>
          <w:b/>
          <w:color w:val="000000" w:themeColor="text1"/>
          <w:lang w:val="en-GB"/>
        </w:rPr>
      </w:pPr>
    </w:p>
    <w:p w14:paraId="624EBF2C" w14:textId="676D207C" w:rsidR="00BF2D4E" w:rsidRPr="004C6B04" w:rsidRDefault="00BF2D4E" w:rsidP="00BF2D4E">
      <w:pPr>
        <w:spacing w:line="360" w:lineRule="auto"/>
        <w:jc w:val="both"/>
        <w:rPr>
          <w:color w:val="000000" w:themeColor="text1"/>
          <w:sz w:val="28"/>
          <w:szCs w:val="28"/>
          <w:lang w:val="en-GB"/>
        </w:rPr>
      </w:pPr>
      <w:r w:rsidRPr="004C6B04">
        <w:rPr>
          <w:color w:val="000000" w:themeColor="text1"/>
          <w:sz w:val="28"/>
          <w:szCs w:val="28"/>
          <w:lang w:val="en-GB"/>
        </w:rPr>
        <w:t>Complete genomes of two extinct New Zealand avian passerines show sensitivity to climate fluctuations but no evidence for gen</w:t>
      </w:r>
      <w:r w:rsidR="00C8752E" w:rsidRPr="004C6B04">
        <w:rPr>
          <w:color w:val="000000" w:themeColor="text1"/>
          <w:sz w:val="28"/>
          <w:szCs w:val="28"/>
          <w:lang w:val="en-GB"/>
        </w:rPr>
        <w:t>omic</w:t>
      </w:r>
      <w:r w:rsidRPr="004C6B04">
        <w:rPr>
          <w:color w:val="000000" w:themeColor="text1"/>
          <w:sz w:val="28"/>
          <w:szCs w:val="28"/>
          <w:lang w:val="en-GB"/>
        </w:rPr>
        <w:t xml:space="preserve"> erosion prior to extinction </w:t>
      </w:r>
    </w:p>
    <w:p w14:paraId="0208E756" w14:textId="77777777" w:rsidR="00BF2D4E" w:rsidRPr="004C6B04" w:rsidRDefault="00BF2D4E" w:rsidP="00BF2D4E">
      <w:pPr>
        <w:spacing w:line="360" w:lineRule="auto"/>
        <w:jc w:val="both"/>
        <w:rPr>
          <w:color w:val="000000" w:themeColor="text1"/>
          <w:lang w:val="en-GB"/>
        </w:rPr>
      </w:pPr>
    </w:p>
    <w:p w14:paraId="2A9F7462" w14:textId="77777777" w:rsidR="00BF2D4E" w:rsidRPr="004C6B04" w:rsidRDefault="00BF2D4E" w:rsidP="00BF2D4E">
      <w:pPr>
        <w:spacing w:line="360" w:lineRule="auto"/>
        <w:jc w:val="both"/>
        <w:rPr>
          <w:color w:val="000000" w:themeColor="text1"/>
          <w:sz w:val="22"/>
          <w:szCs w:val="22"/>
          <w:vertAlign w:val="superscript"/>
          <w:lang w:val="en-GB"/>
        </w:rPr>
      </w:pPr>
      <w:r w:rsidRPr="004C6B04">
        <w:rPr>
          <w:color w:val="000000" w:themeColor="text1"/>
          <w:sz w:val="22"/>
          <w:szCs w:val="22"/>
          <w:lang w:val="en-GB"/>
        </w:rPr>
        <w:t>Nicolas Dussex</w:t>
      </w:r>
      <w:r w:rsidRPr="004C6B04">
        <w:rPr>
          <w:color w:val="000000" w:themeColor="text1"/>
          <w:sz w:val="22"/>
          <w:szCs w:val="22"/>
          <w:vertAlign w:val="superscript"/>
          <w:lang w:val="en-GB"/>
        </w:rPr>
        <w:t>1,2</w:t>
      </w:r>
      <w:r w:rsidRPr="004C6B04">
        <w:rPr>
          <w:color w:val="000000" w:themeColor="text1"/>
          <w:sz w:val="22"/>
          <w:szCs w:val="22"/>
          <w:lang w:val="en-GB"/>
        </w:rPr>
        <w:t>, Johanna von Seth</w:t>
      </w:r>
      <w:r w:rsidRPr="004C6B04">
        <w:rPr>
          <w:color w:val="000000" w:themeColor="text1"/>
          <w:sz w:val="22"/>
          <w:szCs w:val="22"/>
          <w:vertAlign w:val="superscript"/>
          <w:lang w:val="en-GB"/>
        </w:rPr>
        <w:t>1,3</w:t>
      </w:r>
      <w:r w:rsidRPr="004C6B04">
        <w:rPr>
          <w:color w:val="000000" w:themeColor="text1"/>
          <w:sz w:val="22"/>
          <w:szCs w:val="22"/>
          <w:lang w:val="en-GB"/>
        </w:rPr>
        <w:t>, Michael Knapp</w:t>
      </w:r>
      <w:r w:rsidRPr="004C6B04">
        <w:rPr>
          <w:color w:val="000000" w:themeColor="text1"/>
          <w:sz w:val="22"/>
          <w:szCs w:val="22"/>
          <w:vertAlign w:val="superscript"/>
          <w:lang w:val="en-GB"/>
        </w:rPr>
        <w:t>2</w:t>
      </w:r>
      <w:r w:rsidRPr="004C6B04">
        <w:rPr>
          <w:color w:val="000000" w:themeColor="text1"/>
          <w:sz w:val="22"/>
          <w:szCs w:val="22"/>
          <w:lang w:val="en-GB"/>
        </w:rPr>
        <w:t>, Olga Kardyalski</w:t>
      </w:r>
      <w:r w:rsidRPr="004C6B04">
        <w:rPr>
          <w:color w:val="000000" w:themeColor="text1"/>
          <w:sz w:val="22"/>
          <w:szCs w:val="22"/>
          <w:vertAlign w:val="superscript"/>
          <w:lang w:val="en-GB"/>
        </w:rPr>
        <w:t>2</w:t>
      </w:r>
      <w:r w:rsidRPr="004C6B04">
        <w:rPr>
          <w:color w:val="000000" w:themeColor="text1"/>
          <w:sz w:val="22"/>
          <w:szCs w:val="22"/>
          <w:lang w:val="en-GB"/>
        </w:rPr>
        <w:t>, Bruce C. Robertson</w:t>
      </w:r>
      <w:r w:rsidRPr="004C6B04">
        <w:rPr>
          <w:color w:val="000000" w:themeColor="text1"/>
          <w:sz w:val="22"/>
          <w:szCs w:val="22"/>
          <w:vertAlign w:val="superscript"/>
          <w:lang w:val="en-GB"/>
        </w:rPr>
        <w:t>4</w:t>
      </w:r>
      <w:r w:rsidRPr="004C6B04">
        <w:rPr>
          <w:color w:val="000000" w:themeColor="text1"/>
          <w:sz w:val="22"/>
          <w:szCs w:val="22"/>
          <w:lang w:val="en-GB"/>
        </w:rPr>
        <w:t>, Love Dalén</w:t>
      </w:r>
      <w:r w:rsidRPr="004C6B04">
        <w:rPr>
          <w:color w:val="000000" w:themeColor="text1"/>
          <w:sz w:val="22"/>
          <w:szCs w:val="22"/>
          <w:vertAlign w:val="superscript"/>
          <w:lang w:val="en-GB"/>
        </w:rPr>
        <w:t>1</w:t>
      </w:r>
    </w:p>
    <w:p w14:paraId="4240988A" w14:textId="77777777" w:rsidR="00BF2D4E" w:rsidRPr="004C6B04" w:rsidRDefault="00BF2D4E" w:rsidP="00BF2D4E">
      <w:pPr>
        <w:spacing w:line="360" w:lineRule="auto"/>
        <w:jc w:val="both"/>
        <w:rPr>
          <w:color w:val="000000" w:themeColor="text1"/>
          <w:sz w:val="22"/>
          <w:szCs w:val="22"/>
          <w:lang w:val="en-GB"/>
        </w:rPr>
      </w:pPr>
      <w:r w:rsidRPr="004C6B04">
        <w:rPr>
          <w:color w:val="000000" w:themeColor="text1"/>
          <w:sz w:val="22"/>
          <w:szCs w:val="22"/>
          <w:vertAlign w:val="superscript"/>
          <w:lang w:val="en-GB"/>
        </w:rPr>
        <w:t>1</w:t>
      </w:r>
      <w:r w:rsidRPr="004C6B04">
        <w:rPr>
          <w:color w:val="000000" w:themeColor="text1"/>
          <w:sz w:val="22"/>
          <w:szCs w:val="22"/>
          <w:lang w:val="en-GB"/>
        </w:rPr>
        <w:t xml:space="preserve"> Department of Bioinformatics and Genetics, Swedish Museum of Natural History, Box 50007, Stockholm 10405, Sweden</w:t>
      </w:r>
    </w:p>
    <w:p w14:paraId="4328B4CF" w14:textId="77777777" w:rsidR="00BF2D4E" w:rsidRPr="004C6B04" w:rsidRDefault="00BF2D4E" w:rsidP="00BF2D4E">
      <w:pPr>
        <w:spacing w:line="360" w:lineRule="auto"/>
        <w:jc w:val="both"/>
        <w:rPr>
          <w:color w:val="000000" w:themeColor="text1"/>
          <w:sz w:val="22"/>
          <w:szCs w:val="22"/>
          <w:lang w:val="en-GB"/>
        </w:rPr>
      </w:pPr>
      <w:r w:rsidRPr="004C6B04">
        <w:rPr>
          <w:color w:val="000000" w:themeColor="text1"/>
          <w:sz w:val="22"/>
          <w:szCs w:val="22"/>
          <w:vertAlign w:val="superscript"/>
          <w:lang w:val="en-GB"/>
        </w:rPr>
        <w:t>2</w:t>
      </w:r>
      <w:r w:rsidRPr="004C6B04">
        <w:rPr>
          <w:color w:val="000000" w:themeColor="text1"/>
          <w:sz w:val="22"/>
          <w:szCs w:val="22"/>
          <w:lang w:val="en-GB"/>
        </w:rPr>
        <w:t xml:space="preserve"> Department of Anatomy, University of Otago, PO Box 913, Dunedin 9016, New Zealand</w:t>
      </w:r>
    </w:p>
    <w:p w14:paraId="0BAD3867" w14:textId="77777777" w:rsidR="00BF2D4E" w:rsidRPr="004C6B04" w:rsidRDefault="00BF2D4E" w:rsidP="00BF2D4E">
      <w:pPr>
        <w:spacing w:line="360" w:lineRule="auto"/>
        <w:jc w:val="both"/>
        <w:outlineLvl w:val="0"/>
        <w:rPr>
          <w:color w:val="000000" w:themeColor="text1"/>
          <w:sz w:val="22"/>
          <w:szCs w:val="22"/>
          <w:lang w:val="en-GB"/>
        </w:rPr>
      </w:pPr>
      <w:r w:rsidRPr="004C6B04">
        <w:rPr>
          <w:color w:val="000000" w:themeColor="text1"/>
          <w:sz w:val="22"/>
          <w:szCs w:val="22"/>
          <w:vertAlign w:val="superscript"/>
          <w:lang w:val="en-GB"/>
        </w:rPr>
        <w:t>3</w:t>
      </w:r>
      <w:r w:rsidRPr="004C6B04">
        <w:rPr>
          <w:color w:val="000000" w:themeColor="text1"/>
          <w:sz w:val="22"/>
          <w:szCs w:val="22"/>
          <w:lang w:val="en-GB"/>
        </w:rPr>
        <w:t xml:space="preserve"> Department of Zoology, Stockholm University, Stockholm 10691, Sweden </w:t>
      </w:r>
    </w:p>
    <w:p w14:paraId="0F597AAC" w14:textId="77777777" w:rsidR="00BF2D4E" w:rsidRPr="004C6B04" w:rsidRDefault="00BF2D4E" w:rsidP="00BF2D4E">
      <w:pPr>
        <w:spacing w:line="360" w:lineRule="auto"/>
        <w:jc w:val="both"/>
        <w:rPr>
          <w:color w:val="000000" w:themeColor="text1"/>
          <w:sz w:val="22"/>
          <w:szCs w:val="22"/>
          <w:lang w:val="en-GB"/>
        </w:rPr>
      </w:pPr>
      <w:r w:rsidRPr="004C6B04">
        <w:rPr>
          <w:color w:val="000000" w:themeColor="text1"/>
          <w:sz w:val="22"/>
          <w:szCs w:val="22"/>
          <w:vertAlign w:val="superscript"/>
          <w:lang w:val="en-GB"/>
        </w:rPr>
        <w:t xml:space="preserve">4 </w:t>
      </w:r>
      <w:r w:rsidRPr="004C6B04">
        <w:rPr>
          <w:color w:val="000000" w:themeColor="text1"/>
          <w:sz w:val="22"/>
          <w:szCs w:val="22"/>
          <w:lang w:val="en-GB"/>
        </w:rPr>
        <w:t>Department of Zoology, University of Otago, PO Box 56, Dunedin 9016, New Zealand</w:t>
      </w:r>
    </w:p>
    <w:p w14:paraId="1A12E7AE" w14:textId="77777777" w:rsidR="00BF2D4E" w:rsidRPr="004C6B04" w:rsidRDefault="00BF2D4E" w:rsidP="005C44F0">
      <w:pPr>
        <w:spacing w:line="360" w:lineRule="auto"/>
        <w:jc w:val="both"/>
        <w:rPr>
          <w:b/>
          <w:color w:val="000000" w:themeColor="text1"/>
          <w:lang w:val="en-GB"/>
        </w:rPr>
      </w:pPr>
    </w:p>
    <w:p w14:paraId="4C16B273" w14:textId="77777777" w:rsidR="005C44F0" w:rsidRPr="004C6B04" w:rsidRDefault="005C44F0" w:rsidP="005C44F0">
      <w:pPr>
        <w:spacing w:line="360" w:lineRule="auto"/>
        <w:jc w:val="both"/>
        <w:rPr>
          <w:b/>
          <w:color w:val="000000" w:themeColor="text1"/>
          <w:lang w:val="en-GB"/>
        </w:rPr>
      </w:pPr>
    </w:p>
    <w:p w14:paraId="18A6DC29" w14:textId="3D3A09F6" w:rsidR="005C44F0" w:rsidRPr="004C6B04" w:rsidRDefault="00E25907" w:rsidP="005C44F0">
      <w:pPr>
        <w:spacing w:line="360" w:lineRule="auto"/>
        <w:jc w:val="both"/>
        <w:rPr>
          <w:b/>
          <w:color w:val="000000" w:themeColor="text1"/>
          <w:lang w:val="en-GB"/>
        </w:rPr>
      </w:pPr>
      <w:r w:rsidRPr="004C6B04">
        <w:rPr>
          <w:b/>
          <w:color w:val="000000" w:themeColor="text1"/>
          <w:lang w:val="en-GB"/>
        </w:rPr>
        <w:t xml:space="preserve">Materials and </w:t>
      </w:r>
      <w:r w:rsidR="005C44F0" w:rsidRPr="004C6B04">
        <w:rPr>
          <w:b/>
          <w:color w:val="000000" w:themeColor="text1"/>
          <w:lang w:val="en-GB"/>
        </w:rPr>
        <w:t>Methods</w:t>
      </w:r>
    </w:p>
    <w:p w14:paraId="5458C4AB" w14:textId="77777777" w:rsidR="005C44F0" w:rsidRPr="004C6B04" w:rsidRDefault="005C44F0" w:rsidP="005C44F0">
      <w:pPr>
        <w:spacing w:line="360" w:lineRule="auto"/>
        <w:jc w:val="both"/>
        <w:rPr>
          <w:i/>
          <w:color w:val="000000" w:themeColor="text1"/>
          <w:lang w:val="en-GB"/>
        </w:rPr>
      </w:pPr>
      <w:r w:rsidRPr="004C6B04">
        <w:rPr>
          <w:i/>
          <w:color w:val="000000" w:themeColor="text1"/>
          <w:lang w:val="en-GB"/>
        </w:rPr>
        <w:t>Sample collection, DNA extraction, library preparation and sequencing</w:t>
      </w:r>
    </w:p>
    <w:p w14:paraId="6C7DC1AA" w14:textId="71D88BDA" w:rsidR="005C44F0" w:rsidRPr="004C6B04" w:rsidRDefault="005C44F0" w:rsidP="005C44F0">
      <w:pPr>
        <w:spacing w:line="360" w:lineRule="auto"/>
        <w:jc w:val="both"/>
        <w:rPr>
          <w:color w:val="000000" w:themeColor="text1"/>
          <w:lang w:val="en-GB"/>
        </w:rPr>
      </w:pPr>
      <w:r w:rsidRPr="004C6B04">
        <w:rPr>
          <w:color w:val="000000" w:themeColor="text1"/>
          <w:lang w:val="en-GB"/>
        </w:rPr>
        <w:t>We extracted DNA from historical toepads for one Huia (</w:t>
      </w:r>
      <w:r w:rsidRPr="004C6B04">
        <w:rPr>
          <w:i/>
          <w:color w:val="000000" w:themeColor="text1"/>
          <w:lang w:val="en-GB"/>
        </w:rPr>
        <w:t>Heteralocha acutirostris</w:t>
      </w:r>
      <w:r w:rsidRPr="004C6B04">
        <w:rPr>
          <w:color w:val="000000" w:themeColor="text1"/>
          <w:lang w:val="en-GB"/>
        </w:rPr>
        <w:t>) and one South Island k</w:t>
      </w:r>
      <w:r w:rsidRPr="004C6B04">
        <w:rPr>
          <w:iCs/>
          <w:color w:val="000000" w:themeColor="text1"/>
          <w:lang w:val="en-GB"/>
        </w:rPr>
        <w:t>ō</w:t>
      </w:r>
      <w:r w:rsidRPr="004C6B04">
        <w:rPr>
          <w:color w:val="000000" w:themeColor="text1"/>
          <w:lang w:val="en-GB"/>
        </w:rPr>
        <w:t>kako (</w:t>
      </w:r>
      <w:r w:rsidRPr="004C6B04">
        <w:rPr>
          <w:i/>
          <w:color w:val="000000" w:themeColor="text1"/>
          <w:lang w:val="en-GB"/>
        </w:rPr>
        <w:t>Callaeas cinereus</w:t>
      </w:r>
      <w:r w:rsidRPr="004C6B04">
        <w:rPr>
          <w:color w:val="000000" w:themeColor="text1"/>
          <w:lang w:val="en-GB"/>
        </w:rPr>
        <w:t xml:space="preserve">) collected in 1886 and 1849, respectively (Table S1) using a DNeasy Blood &amp; Tissue Kit (Qiagen, Hilden, Germany). These samples were selected based on high endogenous DNA content (i.e. 75.9 and 85.9%) which was estimated with a screening sequencing step of four specimen of each species </w:t>
      </w:r>
      <w:r w:rsidR="00FF4055" w:rsidRPr="004C6B04">
        <w:rPr>
          <w:color w:val="000000" w:themeColor="text1"/>
          <w:lang w:val="en-GB"/>
        </w:rPr>
        <w:t xml:space="preserve">and </w:t>
      </w:r>
      <w:r w:rsidRPr="004C6B04">
        <w:rPr>
          <w:color w:val="000000" w:themeColor="text1"/>
          <w:lang w:val="en-GB"/>
        </w:rPr>
        <w:t>where sequencing reads were mapped to the North Island k</w:t>
      </w:r>
      <w:r w:rsidRPr="004C6B04">
        <w:rPr>
          <w:iCs/>
          <w:color w:val="000000" w:themeColor="text1"/>
          <w:lang w:val="en-GB"/>
        </w:rPr>
        <w:t>ō</w:t>
      </w:r>
      <w:r w:rsidRPr="004C6B04">
        <w:rPr>
          <w:color w:val="000000" w:themeColor="text1"/>
          <w:lang w:val="en-GB"/>
        </w:rPr>
        <w:t xml:space="preserve">kako genome (see below). </w:t>
      </w:r>
      <w:r w:rsidR="00DD36A6" w:rsidRPr="004C6B04">
        <w:rPr>
          <w:color w:val="000000" w:themeColor="text1"/>
          <w:lang w:val="en-GB"/>
        </w:rPr>
        <w:t xml:space="preserve"> </w:t>
      </w:r>
    </w:p>
    <w:p w14:paraId="2F7B8607" w14:textId="32601F13" w:rsidR="005C44F0" w:rsidRPr="004C6B04" w:rsidRDefault="005C44F0" w:rsidP="005C44F0">
      <w:pPr>
        <w:spacing w:line="360" w:lineRule="auto"/>
        <w:ind w:firstLine="720"/>
        <w:jc w:val="both"/>
        <w:rPr>
          <w:color w:val="000000" w:themeColor="text1"/>
          <w:lang w:val="en-GB"/>
        </w:rPr>
      </w:pPr>
      <w:r w:rsidRPr="004C6B04">
        <w:rPr>
          <w:color w:val="000000" w:themeColor="text1"/>
          <w:lang w:val="en-GB"/>
        </w:rPr>
        <w:t xml:space="preserve">We then built double stranded Illumina libraries according to Meyer &amp; Kircher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{"citationItems":[{"id":"ITEM-1","itemData":{"DOI":"10.1101/pdb.prot5448","ISBN":"1559-6095 (Electronic)\\r1559-6095 (Linking)","ISSN":"15596095","PMID":"20516186","abstract":"The large amount of DNA sequence data generated by high-throughput sequencing technologies often allows multiple samples to be sequenced in parallel on a single sequencing run. This is particularly true if subsets of the genome are studied rather than complete genomes. In recent years, target capture from sequencing libraries has largely replaced polymerase chain reaction (PCR) as the preferred method of target enrichment. Parallelizing target capture and sequencing for multiple samples requires the incorporation of sample-specific barcodes into sequencing libraries, which is necessary to trace back the sample source of each sequence. This protocol describes a fast and reliable method for the preparation of barcoded (\"indexed\") sequencing libraries for Illumina's Genome Analyzer platform. The protocol avoids expensive commercial library preparation kits and can be performed in a 96-well plate setup using multi-channel pipettes, requiring not more than two or three days of lab work. Libraries can be prepared from any type of double-stranded DNA, even if present in subnanogram quantity.","author":[{"dropping-particle":"","family":"Meyer","given":"Matthias","non-dropping-particle":"","parse-names":false,"suffix":""},{"dropping-particle":"","family":"Kircher","given":"Martin","non-dropping-particle":"","parse-names":false,"suffix":""}],"container-title":"Cold Spring Harbor Protocols","id":"ITEM-1","issue":"6","issued":{"date-parts":[["2010"]]},"title":"Illumina sequencing library preparation for highly multiplexed target capture and sequencing","type":"article-journal","volume":"5"},"uris":["http://www.mendeley.com/documents/?uuid=614e05b8-b48d-42e0-afae-33b660158e3f"]}],"mendeley":{"formattedCitation":"[1]","plainTextFormattedCitation":"[1]","previouslyFormattedCitation":"[1]"},"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w:t>
      </w:r>
      <w:r w:rsidRPr="004C6B04">
        <w:rPr>
          <w:color w:val="000000" w:themeColor="text1"/>
          <w:lang w:val="en-GB"/>
        </w:rPr>
        <w:fldChar w:fldCharType="end"/>
      </w:r>
      <w:r w:rsidRPr="004C6B04">
        <w:rPr>
          <w:color w:val="000000" w:themeColor="text1"/>
          <w:lang w:val="en-GB"/>
        </w:rPr>
        <w:t xml:space="preserve">. We used 20 μl of DNA extract in a 40 μl blunt-end repair reaction with the following final concentration: 1× buffer Tango, 100 μM of each dNTP, 1 mM ATP, 25 U T4 polynucleotide kinase (Thermo Scientific) and 3U USER enzyme (New England Biolabs). Treatment with USER enzyme was performed to excise uracil residues resulting from post-mortem damage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{"citationItems":[{"id":"ITEM-1","itemData":{"DOI":"10.1093/nar/gkp1163","ISBN":"1362-4962 (Electronic)\\r0305-1048 (Linking)","ISSN":"13624962","PMID":"20028723","abstract":"DNA sequences determined from ancient organisms have high error rates, primarily due to uracil bases created by cytosine deamination. We use synthetic oligonucleotides, as well as DNA extracted from mammoth and Neandertal remains, to show that treatment with uracil-DNA-glycosylase and endonuclease VIII removes uracil residues from ancient DNA and repairs most of the resulting abasic sites, leaving undamaged parts of the DNA fragments intact. Neandertal DNA sequences determined with this protocol have greatly increased accuracy. In addition, our results demonstrate that Neandertal DNA retains in vivo patterns of CpG methylation, potentially allowing future studies of gene inactivation and imprinting in ancient organisms.","author":[{"dropping-particle":"","family":"Briggs","given":"Adrian W.","non-dropping-particle":"","parse-names":false,"suffix":""},{"dropping-particle":"","family":"Stenzel","given":"Udo","non-dropping-particle":"","parse-names":false,"suffix":""},{"dropping-particle":"","family":"Meyer","given":"Matthias","non-dropping-particle":"","parse-names":false,"suffix":""},{"dropping-particle":"","family":"Krause","given":"Johannes","non-dropping-particle":"","parse-names":false,"suffix":""},{"dropping-particle":"","family":"Kircher","given":"Martin","non-dropping-particle":"","parse-names":false,"suffix":""},{"dropping-particle":"","family":"Pääbo","given":"Svante","non-dropping-particle":"","parse-names":false,"suffix":""}],"container-title":"Nucleic acids research","id":"ITEM-1","issue":"6","issued":{"date-parts":[["2010"]]},"note":"NULL","page":"1-12","title":"Removal of deaminated cytosines and detection of in vivo methylation in ancient DNA.","type":"article-journal","volume":"38"},"uris":["http://www.mendeley.com/documents/?uuid=b78e03f0-eefe-4a56-9a8b-825a75df0839"]},{"id":"ITEM-2","itemData":{"DOI":"10.1093/nar/gkr771","ISBN":"1362-4962 (Electronic)\\r0305-1048 (Linking)","ISSN":"03051048","PMID":"22021376","abstract":"Due to the increasing throughput of current DNA sequencing instruments, sample multiplexing is necessary for making economical use of available sequencing capacities. A widely used multiplexing strategy for the Illumina Genome Analyzer utilizes sample-specific indexes, which are embedded in one of the library adapters. However, this and similar multiplex approaches come with a risk of sample misidentification. By introducing indexes into both library adapters (double indexing), we have developed a method that reveals the rate of sample misidentification within current multiplex sequencing experiments. With ~0.3% these rates are orders of magnitude higher than expected and may severely confound applications in cancer genomics and other fields requiring accurate detection of rare variants. We identified the occurrence of mixed clusters on the flow as the predominant source of error. The accuracy of sample identification is further impaired if indexed oligonucleotides are cross-contaminated or if indexed libraries are amplified in bulk. Double-indexing eliminates these problems and increases both the scope and accuracy of multiplex sequencing on the Illumina platform.","author":[{"dropping-particle":"","family":"Kircher","given":"Martin","non-dropping-particle":"","parse-names":false,"suffix":""},{"dropping-particle":"","family":"Sawyer","given":"Susanna","non-dropping-particle":"","parse-names":false,"suffix":""},{"dropping-particle":"","family":"Meyer","given":"Matthias","non-dropping-particle":"","parse-names":false,"suffix":""}],"container-title":"Nucleic Acids Research","id":"ITEM-2","issue":"1","issued":{"date-parts":[["2012"]]},"title":"Double indexing overcomes inaccuracies in multiplex sequencing on the Illumina platform","type":"article-journal","volume":"40"},"uris":["http://www.mendeley.com/documents/?uuid=d1a0180f-58b7-48fd-b457-20829cd7b4a6"]}],"mendeley":{"formattedCitation":"[2,3]","plainTextFormattedCitation":"[2,3]","previouslyFormattedCitation":"[2,3]"},"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[2,3]</w:t>
      </w:r>
      <w:r w:rsidRPr="004C6B04">
        <w:rPr>
          <w:color w:val="000000" w:themeColor="text1"/>
          <w:lang w:val="en-GB"/>
        </w:rPr>
        <w:fldChar w:fldCharType="end"/>
      </w:r>
      <w:r w:rsidRPr="004C6B04">
        <w:rPr>
          <w:color w:val="000000" w:themeColor="text1"/>
          <w:lang w:val="en-GB"/>
        </w:rPr>
        <w:t xml:space="preserve">. Samples were incubated for 3 h at 37°C, followed by the addition of 1 μl T4 DNA polymerase (Thermo Scientific) and incubation at 25°C for 15 min and 12°C for 5 min. The samples were then cleaned using MinElute spin columns following the manufacturer's protocol and eluted in 20ul EB Buffer. Next, we performed an adapter ligation step where DNA fragments within each library were ligated to a combination of incomplete, partially double-stranded P5- and P7-adapters (10 μM each). This reaction was performed in a 40 μl reaction volume using 20 μl of blunted DNA from the clean-up step and 1 μl P5-P7 adapter mix per </w:t>
      </w:r>
      <w:r w:rsidRPr="004C6B04">
        <w:rPr>
          <w:color w:val="000000" w:themeColor="text1"/>
          <w:lang w:val="en-GB"/>
        </w:rPr>
        <w:lastRenderedPageBreak/>
        <w:t xml:space="preserve">sample with a final concentration of 1× T4 DNA ligase buffer, 5% PEG-4000, 5U T4 DNA ligase (Thermo Scientific). Samples were incubated for 30 minutes at room temperature and cleaned using MinElute spin columns as described above. Next, we performed an adapter fill-in reaction in 40 μl final volume using 20 μl adapter ligated DNA with a final concentration of 1× Thermopol Reaction Buffer, 250 μM of each dNTP, 8U </w:t>
      </w:r>
      <w:r w:rsidRPr="004C6B04">
        <w:rPr>
          <w:i/>
          <w:color w:val="000000" w:themeColor="text1"/>
          <w:lang w:val="en-GB"/>
        </w:rPr>
        <w:t>Bst</w:t>
      </w:r>
      <w:r w:rsidRPr="004C6B04">
        <w:rPr>
          <w:color w:val="000000" w:themeColor="text1"/>
          <w:lang w:val="en-GB"/>
        </w:rPr>
        <w:t xml:space="preserve"> Polymerase, Long Fragments. The libraries were incubated at 37°C for 20 minutes, heat-inactivated at 80°C for 20 minutes. These libraries were then used as stock for indexing PCR amplification. </w:t>
      </w:r>
    </w:p>
    <w:p w14:paraId="30D18A58" w14:textId="136F6D85" w:rsidR="005C44F0" w:rsidRPr="004C6B04" w:rsidRDefault="005C44F0" w:rsidP="005C44F0">
      <w:pPr>
        <w:spacing w:line="360" w:lineRule="auto"/>
        <w:ind w:firstLine="720"/>
        <w:jc w:val="both"/>
        <w:rPr>
          <w:color w:val="000000" w:themeColor="text1"/>
          <w:lang w:val="en-GB"/>
        </w:rPr>
      </w:pPr>
      <w:r w:rsidRPr="004C6B04">
        <w:rPr>
          <w:color w:val="000000" w:themeColor="text1"/>
          <w:lang w:val="en-GB"/>
        </w:rPr>
        <w:t xml:space="preserve">In order to increase library complexity six indexing PCR amplification were performed for each library using </w:t>
      </w:r>
      <w:r w:rsidR="003473F3" w:rsidRPr="004C6B04">
        <w:rPr>
          <w:color w:val="000000" w:themeColor="text1"/>
          <w:lang w:val="en-GB"/>
        </w:rPr>
        <w:t xml:space="preserve">six </w:t>
      </w:r>
      <w:r w:rsidRPr="004C6B04">
        <w:rPr>
          <w:color w:val="000000" w:themeColor="text1"/>
          <w:lang w:val="en-GB"/>
        </w:rPr>
        <w:t xml:space="preserve">different P7 indexing primers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{"citationItems":[{"id":"ITEM-1","itemData":{"DOI":"10.1101/pdb.prot5448","ISBN":"1559-6095 (Electronic)\\r1559-6095 (Linking)","ISSN":"15596095","PMID":"20516186","abstract":"The large amount of DNA sequence data generated by high-throughput sequencing technologies often allows multiple samples to be sequenced in parallel on a single sequencing run. This is particularly true if subsets of the genome are studied rather than complete genomes. In recent years, target capture from sequencing libraries has largely replaced polymerase chain reaction (PCR) as the preferred method of target enrichment. Parallelizing target capture and sequencing for multiple samples requires the incorporation of sample-specific barcodes into sequencing libraries, which is necessary to trace back the sample source of each sequence. This protocol describes a fast and reliable method for the preparation of barcoded (\"indexed\") sequencing libraries for Illumina's Genome Analyzer platform. The protocol avoids expensive commercial library preparation kits and can be performed in a 96-well plate setup using multi-channel pipettes, requiring not more than two or three days of lab work. Libraries can be prepared from any type of double-stranded DNA, even if present in subnanogram quantity.","author":[{"dropping-particle":"","family":"Meyer","given":"Matthias","non-dropping-particle":"","parse-names":false,"suffix":""},{"dropping-particle":"","family":"Kircher","given":"Martin","non-dropping-particle":"","parse-names":false,"suffix":""}],"container-title":"Cold Spring Harbor Protocols","id":"ITEM-1","issue":"6","issued":{"date-parts":[["2010"]]},"title":"Illumina sequencing library preparation for highly multiplexed target capture and sequencing","type":"article-journal","volume":"5"},"uris":["http://www.mendeley.com/documents/?uuid=614e05b8-b48d-42e0-afae-33b660158e3f"]}],"mendeley":{"formattedCitation":"[1]","plainTextFormattedCitation":"[1]","previouslyFormattedCitation":"[1]"},"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w:t>
      </w:r>
      <w:r w:rsidRPr="004C6B04">
        <w:rPr>
          <w:color w:val="000000" w:themeColor="text1"/>
          <w:lang w:val="en-GB"/>
        </w:rPr>
        <w:fldChar w:fldCharType="end"/>
      </w:r>
      <w:r w:rsidRPr="004C6B04">
        <w:rPr>
          <w:color w:val="000000" w:themeColor="text1"/>
          <w:lang w:val="en-GB"/>
        </w:rPr>
        <w:t>. Amplifications were performed in 25 μl volumes with 3μl of adapter-ligated library as template, with the following final concentrations: 1x AccuPrime reaction mix, 0.3μM IS4 amplification primer, 0.3μM P7 indexing primer, 7 U AccuPrime Pfx (Thermo Scientific) and the following cycling protocol: 95°C for 2 min, 12 cycles at 95°C for 30 s, 55°C for 30 s and 72°C for 1 min and a final extension at 72°C for 5 minutes.</w:t>
      </w:r>
    </w:p>
    <w:p w14:paraId="71B5169A" w14:textId="268326F8" w:rsidR="005C44F0" w:rsidRPr="004C6B04" w:rsidRDefault="005C44F0" w:rsidP="005C44F0">
      <w:pPr>
        <w:spacing w:line="360" w:lineRule="auto"/>
        <w:ind w:firstLine="720"/>
        <w:jc w:val="both"/>
        <w:rPr>
          <w:color w:val="000000" w:themeColor="text1"/>
          <w:lang w:val="en-GB"/>
        </w:rPr>
      </w:pPr>
      <w:r w:rsidRPr="004C6B04">
        <w:rPr>
          <w:color w:val="000000" w:themeColor="text1"/>
          <w:lang w:val="en-GB"/>
        </w:rPr>
        <w:t xml:space="preserve">Purification and size selection of libraries was then performed using Agencourt AMPure XP beads (Beckman Coulter, Brea, CA, USA), first using 0.5X bead:DNA ratio and secondly 1.8X to remove long and short (i.e. adapter dimers) fragments, respectively. Library concentration was measured with a high-sensitivity DNAchip on a Bioanalyzer 2100 (Agilent, Santa Clara, CA, USA). Finally, multiplexed libraries (i.e. 6 indexed libraries) were pooled into a single pool in equimolar concentrations </w:t>
      </w:r>
      <w:r w:rsidR="006761B8" w:rsidRPr="004C6B04">
        <w:rPr>
          <w:color w:val="000000" w:themeColor="text1"/>
          <w:lang w:val="en-GB"/>
        </w:rPr>
        <w:t xml:space="preserve">and sequenced </w:t>
      </w:r>
      <w:r w:rsidR="00346A8E">
        <w:rPr>
          <w:color w:val="000000" w:themeColor="text1"/>
          <w:lang w:val="en-GB"/>
        </w:rPr>
        <w:t xml:space="preserve">each of </w:t>
      </w:r>
      <w:r w:rsidR="006761B8" w:rsidRPr="004C6B04">
        <w:rPr>
          <w:color w:val="000000" w:themeColor="text1"/>
          <w:lang w:val="en-GB"/>
        </w:rPr>
        <w:t>them on a</w:t>
      </w:r>
      <w:r w:rsidR="00FF4F6F" w:rsidRPr="004C6B04">
        <w:rPr>
          <w:color w:val="000000" w:themeColor="text1"/>
          <w:lang w:val="en-GB"/>
        </w:rPr>
        <w:t>n</w:t>
      </w:r>
      <w:r w:rsidR="006761B8" w:rsidRPr="004C6B04">
        <w:rPr>
          <w:color w:val="000000" w:themeColor="text1"/>
          <w:lang w:val="en-GB"/>
        </w:rPr>
        <w:t xml:space="preserve"> Illumina HiSeqX platform with a 2 × 150 bp setup in the High Output mode at the SciLifeLab sequencing facility in Stockholm</w:t>
      </w:r>
      <w:r w:rsidRPr="004C6B04">
        <w:rPr>
          <w:color w:val="000000" w:themeColor="text1"/>
          <w:lang w:val="en-GB"/>
        </w:rPr>
        <w:t>.</w:t>
      </w:r>
    </w:p>
    <w:p w14:paraId="7040012F" w14:textId="24CD33EB" w:rsidR="00DD36A6" w:rsidRPr="004C6B04" w:rsidRDefault="00DD36A6" w:rsidP="00FF4055">
      <w:pPr>
        <w:spacing w:line="360" w:lineRule="auto"/>
        <w:ind w:firstLine="720"/>
        <w:jc w:val="both"/>
        <w:rPr>
          <w:color w:val="000000" w:themeColor="text1"/>
          <w:lang w:val="en-GB"/>
        </w:rPr>
      </w:pPr>
      <w:r w:rsidRPr="004C6B04">
        <w:rPr>
          <w:color w:val="000000" w:themeColor="text1"/>
          <w:lang w:val="en-GB"/>
        </w:rPr>
        <w:t xml:space="preserve">Extractions and library preparation were conducted in a separate state-of-the-art </w:t>
      </w:r>
      <w:bookmarkStart w:id="0" w:name="_GoBack"/>
      <w:bookmarkEnd w:id="0"/>
      <w:r w:rsidR="00131140">
        <w:rPr>
          <w:color w:val="000000" w:themeColor="text1"/>
          <w:lang w:val="en-GB"/>
        </w:rPr>
        <w:t>historical</w:t>
      </w:r>
      <w:r w:rsidRPr="004C6B04">
        <w:rPr>
          <w:color w:val="000000" w:themeColor="text1"/>
          <w:lang w:val="en-GB"/>
        </w:rPr>
        <w:t xml:space="preserve"> DNA lab and appropriate precautions were taken to minimize the risk of contamination in historical samples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{"citationItems":[{"id":"ITEM-1","itemData":{"DOI":"10.1016/j.aanat.2011.03.008","ISBN":"1618-0402 (Electronic) 0940-9602 (Linking)","ISSN":"09409602","PMID":"21514120","abstract":"With the introduction of next generation high throughput sequencing in 2005 and the resulting revolution in genetics, ancient DNA research has rapidly developed from an interesting but marginal field within evolutionary biology into one that can contribute significantly to our understanding of evolution in general and the development of our own species in particular. While the amount of sequence data available from ancient human, other animal and plant remains has increased dramatically over the past five years, some key limitations of ancient DNA research remain. Most notably, reduction of contamination and the authentication of results are of utmost importance. A number of studies have addressed different aspects of sampling, DNA extraction and DNA manipulation in order to establish protocols that most efficiently generate reproducible and authentic results. As increasing numbers of researchers from different backgrounds become interested in using ancient DNA technology to address key questions, the need for practical guidelines on how to construct and use an ancient DNA facility arises. The aim of this article is therefore to provide practical tips for building a state-of-the-art ancient DNA facility. It is intended to help researchers new to the field of ancient DNA research generally, and those considering the application of next generation sequencing, in their planning process. ?? 2011 Elsevier GmbH.","author":[{"dropping-particle":"","family":"Knapp","given":"Michael","non-dropping-particle":"","parse-names":false,"suffix":""},{"dropping-particle":"","family":"Clarke","given":"Andrew C.","non-dropping-particle":"","parse-names":false,"suffix":""},{"dropping-particle":"","family":"Horsburgh","given":"K. Ann","non-dropping-particle":"","parse-names":false,"suffix":""},{"dropping-particle":"","family":"Matisoo-Smith","given":"Elizabeth A","non-dropping-particle":"","parse-names":false,"suffix":""}],"container-title":"Annals of Anatomy","id":"ITEM-1","issue":"1","issued":{"date-parts":[["2012"]]},"page":"3-6","publisher":"Elsevier GmbH.","title":"Setting the stage - Building and working in an ancient DNA laboratory","type":"article-journal","volume":"194"},"uris":["http://www.mendeley.com/documents/?uuid=518c58e3-e364-46a0-842a-202e53d48ec9"]}],"mendeley":{"formattedCitation":"[4]","plainTextFormattedCitation":"[4]","previouslyFormattedCitation":"[4]"},"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[4]</w:t>
      </w:r>
      <w:r w:rsidRPr="004C6B04">
        <w:rPr>
          <w:color w:val="000000" w:themeColor="text1"/>
          <w:lang w:val="en-GB"/>
        </w:rPr>
        <w:fldChar w:fldCharType="end"/>
      </w:r>
      <w:r w:rsidRPr="004C6B04">
        <w:rPr>
          <w:color w:val="000000" w:themeColor="text1"/>
          <w:lang w:val="en-GB"/>
        </w:rPr>
        <w:t xml:space="preserve">. </w:t>
      </w:r>
    </w:p>
    <w:p w14:paraId="4B30FA78" w14:textId="77777777" w:rsidR="005C44F0" w:rsidRPr="004C6B04" w:rsidRDefault="005C44F0" w:rsidP="005C44F0">
      <w:pPr>
        <w:spacing w:line="360" w:lineRule="auto"/>
        <w:jc w:val="both"/>
        <w:rPr>
          <w:color w:val="000000" w:themeColor="text1"/>
          <w:lang w:val="en-GB"/>
        </w:rPr>
      </w:pPr>
    </w:p>
    <w:p w14:paraId="3105B66B" w14:textId="77777777" w:rsidR="005C44F0" w:rsidRPr="004C6B04" w:rsidRDefault="005C44F0" w:rsidP="005C44F0">
      <w:pPr>
        <w:spacing w:line="360" w:lineRule="auto"/>
        <w:jc w:val="both"/>
        <w:rPr>
          <w:color w:val="000000" w:themeColor="text1"/>
          <w:lang w:val="en-GB"/>
        </w:rPr>
      </w:pPr>
      <w:r w:rsidRPr="004C6B04">
        <w:rPr>
          <w:i/>
          <w:color w:val="000000" w:themeColor="text1"/>
          <w:lang w:val="en-GB"/>
        </w:rPr>
        <w:t>Bioinformatics</w:t>
      </w:r>
    </w:p>
    <w:p w14:paraId="43340522" w14:textId="3418AABF" w:rsidR="005C44F0" w:rsidRPr="004C6B04" w:rsidRDefault="005C44F0" w:rsidP="005C44F0">
      <w:pPr>
        <w:spacing w:line="360" w:lineRule="auto"/>
        <w:jc w:val="both"/>
        <w:rPr>
          <w:color w:val="000000" w:themeColor="text1"/>
          <w:lang w:val="en-GB"/>
        </w:rPr>
      </w:pPr>
      <w:r w:rsidRPr="004C6B04">
        <w:rPr>
          <w:i/>
          <w:iCs/>
          <w:color w:val="000000" w:themeColor="text1"/>
          <w:lang w:val="en-GB"/>
        </w:rPr>
        <w:t>Reference genome</w:t>
      </w:r>
      <w:r w:rsidRPr="004C6B04">
        <w:rPr>
          <w:iCs/>
          <w:color w:val="000000" w:themeColor="text1"/>
          <w:lang w:val="en-GB"/>
        </w:rPr>
        <w:t>: I order to map genomic data for the two historical specimen, we used a</w:t>
      </w:r>
      <w:r w:rsidRPr="004C6B04">
        <w:rPr>
          <w:i/>
          <w:iCs/>
          <w:color w:val="000000" w:themeColor="text1"/>
          <w:lang w:val="en-GB"/>
        </w:rPr>
        <w:t xml:space="preserve"> de novo</w:t>
      </w:r>
      <w:r w:rsidRPr="004C6B04">
        <w:rPr>
          <w:color w:val="000000" w:themeColor="text1"/>
          <w:lang w:val="en-GB"/>
        </w:rPr>
        <w:t xml:space="preserve"> genome for the North Island k</w:t>
      </w:r>
      <w:r w:rsidRPr="004C6B04">
        <w:rPr>
          <w:iCs/>
          <w:color w:val="000000" w:themeColor="text1"/>
          <w:lang w:val="en-GB"/>
        </w:rPr>
        <w:t>ō</w:t>
      </w:r>
      <w:r w:rsidRPr="004C6B04">
        <w:rPr>
          <w:color w:val="000000" w:themeColor="text1"/>
          <w:lang w:val="en-GB"/>
        </w:rPr>
        <w:t>kako (</w:t>
      </w:r>
      <w:r w:rsidRPr="004C6B04">
        <w:rPr>
          <w:i/>
          <w:color w:val="000000" w:themeColor="text1"/>
          <w:lang w:val="en-GB"/>
        </w:rPr>
        <w:t xml:space="preserve">Callaeas wilsoni; </w:t>
      </w:r>
      <w:r w:rsidRPr="004C6B04">
        <w:rPr>
          <w:rStyle w:val="Hyperlink"/>
          <w:color w:val="000000" w:themeColor="text1"/>
          <w:u w:val="none"/>
          <w:lang w:val="en-GB"/>
        </w:rPr>
        <w:t>https://b10k.genomics.cn/</w:t>
      </w:r>
      <w:r w:rsidRPr="004C6B04">
        <w:rPr>
          <w:color w:val="000000" w:themeColor="text1"/>
          <w:lang w:val="en-GB"/>
        </w:rPr>
        <w:t>) consisting of 154,271 scaffolds with an N50 size of 303,331 kb, an average scaffold length of 6,893 Mb and a total scaffold length of 1.06 Gb. We identified Z-linked scaffolds and a mtDNA scaffold from the assembled genome by blasting all scaffolds against the Z-chromosomes of zebra finch v. 3.2.4 (</w:t>
      </w:r>
      <w:r w:rsidRPr="004C6B04">
        <w:rPr>
          <w:i/>
          <w:color w:val="000000" w:themeColor="text1"/>
          <w:lang w:val="en-GB"/>
        </w:rPr>
        <w:t>Taeniopygia guttata</w:t>
      </w:r>
      <w:r w:rsidRPr="004C6B04">
        <w:rPr>
          <w:color w:val="000000" w:themeColor="text1"/>
          <w:lang w:val="en-GB"/>
        </w:rPr>
        <w:t xml:space="preserve">; GenBank: GCA_000151805.2) and the mitogenome of </w:t>
      </w:r>
      <w:r w:rsidRPr="004C6B04">
        <w:rPr>
          <w:i/>
          <w:color w:val="000000" w:themeColor="text1"/>
          <w:lang w:val="en-GB"/>
        </w:rPr>
        <w:t>C. cinereus</w:t>
      </w:r>
      <w:r w:rsidRPr="004C6B04">
        <w:rPr>
          <w:color w:val="000000" w:themeColor="text1"/>
          <w:lang w:val="en-GB"/>
        </w:rPr>
        <w:t xml:space="preserve"> (GenBank: KU158191.1) using BLAST+ 2.5.0 </w:t>
      </w:r>
      <w:r w:rsidRPr="004C6B04">
        <w:rPr>
          <w:color w:val="000000" w:themeColor="text1"/>
          <w:lang w:val="en-GB"/>
        </w:rPr>
        <w:fldChar w:fldCharType="begin" w:fldLock="1"/>
      </w:r>
      <w:r w:rsidR="00FF4055" w:rsidRPr="004C6B04">
        <w:rPr>
          <w:color w:val="000000" w:themeColor="text1"/>
          <w:lang w:val="en-GB"/>
        </w:rPr>
        <w:instrText>ADDIN CSL_CITATION {"citationItems":[{"id":"ITEM-1","itemData":{"DOI":"10.1186/1471-2105-10-421","ISBN":"1471210510","author":[{"dropping-particle":"","family":"Camacho","given":"Christiam","non-dropping-particle":"","parse-names":false,"suffix":""},{"dropping-particle":"","family":"Coulouris","given":"George","non-dropping-particle":"","parse-names":false,"suffix":""},{"dropping-particle":"","family":"Avagyan","given":"Vahram","non-dropping-particle":"","parse-names":false,"suffix":""},{"dropping-particle":"","family":"Ma","given":"Ning","non-dropping-particle":"","parse-names":false,"suffix":""},{"dropping-particle":"","family":"Papadopoulos","given":"Jason","non-dropping-particle":"","parse-names":false,"suffix":""},{"dropping-particle":"","family":"Bealer","given":"Kevin","non-dropping-particle":"","parse-names":false,"suffix":""},{"dropping-particle":"","family":"Madden","given":"Thomas L","non-dropping-particle":"","parse-names":false,"suffix":""}],"container-title":"BMC Bioinformatics","id":"ITEM-1","issued":{"date-parts":[["2009"]]},"page":"421","title":"BLAST + : architecture and applications","type":"article-journal","volume":"10"},"uris":["http://www.mendeley.com/documents/?uuid=872cd605-0618-401f-8895-bc67bdf6cdf4"]}],"mendeley":{"formattedCitation":"[5]","plainTextFormattedCitation":"[5]","previouslyFormattedCitation":"[5]"},"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[5]</w:t>
      </w:r>
      <w:r w:rsidRPr="004C6B04">
        <w:rPr>
          <w:color w:val="000000" w:themeColor="text1"/>
          <w:lang w:val="en-GB"/>
        </w:rPr>
        <w:fldChar w:fldCharType="end"/>
      </w:r>
      <w:r w:rsidRPr="004C6B04">
        <w:rPr>
          <w:color w:val="000000" w:themeColor="text1"/>
          <w:lang w:val="en-GB"/>
        </w:rPr>
        <w:t xml:space="preserve">. The BLAST+ parameters </w:t>
      </w:r>
      <w:r w:rsidRPr="004C6B04">
        <w:rPr>
          <w:color w:val="000000" w:themeColor="text1"/>
          <w:lang w:val="en-GB"/>
        </w:rPr>
        <w:lastRenderedPageBreak/>
        <w:t xml:space="preserve">were set as: -evalue=1e-10; -word_size=15; -max_target_seqs=10. We excluded sex chromosome-linked scaffolds (n=10; total 1.9Mb) with </w:t>
      </w:r>
      <m:oMath>
        <m:r>
          <w:rPr>
            <w:rFonts w:ascii="Cambria Math" w:hAnsi="Cambria Math"/>
            <w:color w:val="000000" w:themeColor="text1"/>
            <w:lang w:val="en-GB"/>
          </w:rPr>
          <m:t>≥</m:t>
        </m:r>
      </m:oMath>
      <w:r w:rsidRPr="004C6B04">
        <w:rPr>
          <w:color w:val="000000" w:themeColor="text1"/>
          <w:lang w:val="en-GB"/>
        </w:rPr>
        <w:t xml:space="preserve">1000bp and </w:t>
      </w:r>
      <m:oMath>
        <m:r>
          <w:rPr>
            <w:rFonts w:ascii="Cambria Math" w:hAnsi="Cambria Math"/>
            <w:color w:val="000000" w:themeColor="text1"/>
            <w:lang w:val="en-GB"/>
          </w:rPr>
          <m:t>≥</m:t>
        </m:r>
      </m:oMath>
      <w:r w:rsidRPr="004C6B04">
        <w:rPr>
          <w:color w:val="000000" w:themeColor="text1"/>
          <w:lang w:val="en-GB"/>
        </w:rPr>
        <w:t xml:space="preserve">80% identity with the zebra finch Z-chromosomes from the assembled genome for all downstream analyses. </w:t>
      </w:r>
      <w:r w:rsidRPr="004C6B04">
        <w:rPr>
          <w:iCs/>
          <w:color w:val="000000" w:themeColor="text1"/>
          <w:lang w:val="en-GB"/>
        </w:rPr>
        <w:t xml:space="preserve">Finally, we identified </w:t>
      </w:r>
      <w:r w:rsidRPr="004C6B04">
        <w:rPr>
          <w:color w:val="000000" w:themeColor="text1"/>
          <w:lang w:val="en-GB"/>
        </w:rPr>
        <w:t xml:space="preserve">repetitive elements in the genome assembly using RepeatMasker (http://repeatmasker.org) </w:t>
      </w:r>
      <w:r w:rsidRPr="004C6B04">
        <w:rPr>
          <w:color w:val="000000" w:themeColor="text1"/>
          <w:lang w:val="en-GB"/>
        </w:rPr>
        <w:fldChar w:fldCharType="begin" w:fldLock="1"/>
      </w:r>
      <w:r w:rsidR="00FF4055" w:rsidRPr="004C6B04">
        <w:rPr>
          <w:color w:val="000000" w:themeColor="text1"/>
          <w:lang w:val="en-GB"/>
        </w:rPr>
        <w:instrText>ADDIN CSL_CITATION {"citationItems":[{"id":"ITEM-1","itemData":{"abstract":"Smit, AFA, Hubley, R &amp; Green, P. RepeatMasker Open-3.0.\\r\\n1996-2010 &lt;http://www.repeatmasker.org&gt;.","author":[{"dropping-particle":"","family":"Smit","given":"A F A","non-dropping-particle":"","parse-names":false,"suffix":""},{"dropping-particle":"","family":"Hubley","given":"R","non-dropping-particle":"","parse-names":false,"suffix":""},{"dropping-particle":"","family":"Green","given":"P","non-dropping-particle":"","parse-names":false,"suffix":""}],"container-title":"Institute for Systems Biology","id":"ITEM-1","issued":{"date-parts":[["2010"]]},"title":"RepeatMasker Open-3.0. 1996-2010","type":"article-journal"},"uris":["http://www.mendeley.com/documents/?uuid=34125390-47a9-4426-94ef-6d617da34a64"]}],"mendeley":{"formattedCitation":"[6]","plainTextFormattedCitation":"[6]","previouslyFormattedCitation":"[6]"},"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[6]</w:t>
      </w:r>
      <w:r w:rsidRPr="004C6B04">
        <w:rPr>
          <w:color w:val="000000" w:themeColor="text1"/>
          <w:lang w:val="en-GB"/>
        </w:rPr>
        <w:fldChar w:fldCharType="end"/>
      </w:r>
      <w:r w:rsidRPr="004C6B04">
        <w:rPr>
          <w:color w:val="000000" w:themeColor="text1"/>
          <w:lang w:val="en-GB"/>
        </w:rPr>
        <w:t xml:space="preserve"> applying the repeat element library of the aves database</w:t>
      </w:r>
      <w:r w:rsidR="001F64FF" w:rsidRPr="004C6B04">
        <w:rPr>
          <w:color w:val="000000" w:themeColor="text1"/>
          <w:lang w:val="en-GB"/>
        </w:rPr>
        <w:t xml:space="preserve">. We also identified </w:t>
      </w:r>
      <w:r w:rsidRPr="004C6B04">
        <w:rPr>
          <w:color w:val="000000" w:themeColor="text1"/>
          <w:lang w:val="en-GB"/>
        </w:rPr>
        <w:t xml:space="preserve">CpG sites using a custom script.  </w:t>
      </w:r>
    </w:p>
    <w:p w14:paraId="3DB5B029" w14:textId="24DB14D7" w:rsidR="005C44F0" w:rsidRPr="004C6B04" w:rsidRDefault="005C44F0" w:rsidP="005C44F0">
      <w:pPr>
        <w:spacing w:line="360" w:lineRule="auto"/>
        <w:jc w:val="both"/>
        <w:rPr>
          <w:color w:val="000000" w:themeColor="text1"/>
          <w:lang w:val="en-GB"/>
        </w:rPr>
      </w:pPr>
      <w:r w:rsidRPr="004C6B04">
        <w:rPr>
          <w:color w:val="000000" w:themeColor="text1"/>
          <w:lang w:val="en-GB"/>
        </w:rPr>
        <w:tab/>
      </w:r>
    </w:p>
    <w:p w14:paraId="2757EB1F" w14:textId="4E27201E" w:rsidR="005C44F0" w:rsidRPr="004C6B04" w:rsidRDefault="005C44F0" w:rsidP="005C44F0">
      <w:pPr>
        <w:spacing w:line="360" w:lineRule="auto"/>
        <w:jc w:val="both"/>
        <w:rPr>
          <w:color w:val="000000" w:themeColor="text1"/>
          <w:lang w:val="en-GB"/>
        </w:rPr>
      </w:pPr>
      <w:r w:rsidRPr="004C6B04">
        <w:rPr>
          <w:i/>
          <w:color w:val="000000" w:themeColor="text1"/>
          <w:lang w:val="en-GB"/>
        </w:rPr>
        <w:t xml:space="preserve">Mapping of historical data: </w:t>
      </w:r>
      <w:r w:rsidRPr="004C6B04">
        <w:rPr>
          <w:color w:val="000000" w:themeColor="text1"/>
          <w:lang w:val="en-GB"/>
        </w:rPr>
        <w:t xml:space="preserve">Raw historical sequence data was demultiplexed using bcl2Fastq v2.17.1 with default settings (Illumina Inc.). SeqPrep 1.1 </w:t>
      </w:r>
      <w:r w:rsidRPr="004C6B04">
        <w:rPr>
          <w:color w:val="000000" w:themeColor="text1"/>
          <w:lang w:val="en-GB"/>
        </w:rPr>
        <w:fldChar w:fldCharType="begin" w:fldLock="1"/>
      </w:r>
      <w:r w:rsidR="00FF4055" w:rsidRPr="004C6B04">
        <w:rPr>
          <w:color w:val="000000" w:themeColor="text1"/>
          <w:lang w:val="en-GB"/>
        </w:rPr>
        <w:instrText>ADDIN CSL_CITATION {"citationItems":[{"id":"ITEM-1","itemData":{"author":[{"dropping-particle":"","family":"John JS","given":"","non-dropping-particle":"","parse-names":false,"suffix":""}],"container-title":"https://github.com/jstjohn/ SeqPrep.","id":"ITEM-1","issued":{"date-parts":[["2011"]]},"title":"SeqPrep 1.1","type":"article-journal"},"uris":["http://www.mendeley.com/documents/?uuid=9ebce873-dbf4-47a7-9e12-34a033a934bc"]}],"mendeley":{"formattedCitation":"[7]","plainTextFormattedCitation":"[7]","previouslyFormattedCitation":"[7]"},"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[7]</w:t>
      </w:r>
      <w:r w:rsidRPr="004C6B04">
        <w:rPr>
          <w:color w:val="000000" w:themeColor="text1"/>
          <w:lang w:val="en-GB"/>
        </w:rPr>
        <w:fldChar w:fldCharType="end"/>
      </w:r>
      <w:r w:rsidRPr="004C6B04">
        <w:rPr>
          <w:color w:val="000000" w:themeColor="text1"/>
          <w:lang w:val="en-GB"/>
        </w:rPr>
        <w:t xml:space="preserve"> was then used to trim adapters and merge paired-end reads, using default settings but with a minor modification in the source code, allowing us to choose the best quality scores of bases in the merged region instead of aggregating the scores following Palkopoulou </w:t>
      </w:r>
      <w:r w:rsidRPr="004C6B04">
        <w:rPr>
          <w:i/>
          <w:color w:val="000000" w:themeColor="text1"/>
          <w:lang w:val="en-GB"/>
        </w:rPr>
        <w:t>et al.</w:t>
      </w:r>
      <w:r w:rsidRPr="004C6B04">
        <w:rPr>
          <w:color w:val="000000" w:themeColor="text1"/>
          <w:lang w:val="en-GB"/>
        </w:rPr>
        <w:t xml:space="preserve"> </w:t>
      </w:r>
      <w:r w:rsidRPr="004C6B04">
        <w:rPr>
          <w:color w:val="000000" w:themeColor="text1"/>
          <w:lang w:val="en-GB"/>
        </w:rPr>
        <w:fldChar w:fldCharType="begin" w:fldLock="1"/>
      </w:r>
      <w:r w:rsidR="00FF4055" w:rsidRPr="004C6B04">
        <w:rPr>
          <w:color w:val="000000" w:themeColor="text1"/>
          <w:lang w:val="en-GB"/>
        </w:rPr>
        <w:instrText xml:space="preserve">ADDIN CSL_CITATION {"citationItems":[{"id":"ITEM-1","itemData":{"DOI":"10.1016/j.cub.2015.04.007","ISBN":"1545-7885 (Electronic)\\r1544-9173 (Linking)","ISSN":"09609822","PMID":"25913407","abstract":"The processes leading up to species extinctions are typically characterized by prolonged declines in population size and geographic distribution, followed by a phase in which populations are very small and may be subject to intrinsic threats, including loss of genetic diversity and inbreeding [1]. However, whether such genetic factors have had an impact on species prior to their extinction is unclear [2, 3]; examining this would require a detailed reconstruction of a species' demographic history as well as changes in genome-wide diversity leading up to its extinction. Here, we present high-quality complete genome sequences from two woolly mammoths (Mammuthus primigenius). The first mammoth was sequenced at 17.1-fold coverage and dates to </w:instrText>
      </w:r>
      <w:r w:rsidR="00FF4055" w:rsidRPr="004C6B04">
        <w:rPr>
          <w:rFonts w:ascii="Cambria Math" w:hAnsi="Cambria Math" w:cs="Cambria Math"/>
          <w:color w:val="000000" w:themeColor="text1"/>
          <w:lang w:val="en-GB"/>
        </w:rPr>
        <w:instrText>∼</w:instrText>
      </w:r>
      <w:r w:rsidR="00FF4055" w:rsidRPr="004C6B04">
        <w:rPr>
          <w:color w:val="000000" w:themeColor="text1"/>
          <w:lang w:val="en-GB"/>
        </w:rPr>
        <w:instrText xml:space="preserve">4,300 years before present, representing one of the last surviving individuals on Wrangel Island. The second mammoth, sequenced at 11.2-fold coverage, was obtained from an </w:instrText>
      </w:r>
      <w:r w:rsidR="00FF4055" w:rsidRPr="004C6B04">
        <w:rPr>
          <w:rFonts w:ascii="Cambria Math" w:hAnsi="Cambria Math" w:cs="Cambria Math"/>
          <w:color w:val="000000" w:themeColor="text1"/>
          <w:lang w:val="en-GB"/>
        </w:rPr>
        <w:instrText>∼</w:instrText>
      </w:r>
      <w:r w:rsidR="00FF4055" w:rsidRPr="004C6B04">
        <w:rPr>
          <w:color w:val="000000" w:themeColor="text1"/>
          <w:lang w:val="en-GB"/>
        </w:rPr>
        <w:instrText>44,800-year-old specimen from the Late Pleistocene population in northeastern Siberia. The demographic trajectories inferred from the two genomes are qualitatively similar and reveal a population bottleneck during the Middle or Early Pleistocene, and a more recent severe decline in the ancestors of the Wrangel mammoth at the end of the last glaciation. A comparison of the two genomes shows that the Wrangel mammoth has a 20% reduction in heterozygosity as well as a 28-fold increase in the fraction of the genome that comprises runs of homozygosity. We conclude that the population on Wrangel Island, which was the last surviving woolly mammoth population, was subject to reduced genetic diversity shortly before it became extinct.","author":[{"dropping-particle":"","family":"Palkopoulou","given":"Eleftheria","non-dropping-particle":"","parse-names":false,"suffix":""},{"dropping-particle":"","family":"Mallick","given":"Swapan","non-dropping-particle":"","parse-names":false,"suffix":""},{"dropping-particle":"","family":"Skoglund","given":"Pontus","non-dropping-particle":"","parse-names":false,"suffix":""},{"dropping-particle":"","family":"Enk","given":"Jacob","non-dropping-particle":"","parse-names":false,"suffix":""},{"dropping-particle":"","family":"Rohland","given":"Nadin","non-dropping-particle":"","parse-names":false,"suffix":""},{"dropping-particle":"","family":"Li","given":"Heng","non-dropping-particle":"","parse-names":false,"suffix":""},{"dropping-particle":"","family":"Omrak","given":"Ayça","non-dropping-particle":"","parse-names":false,"suffix":""},{"dropping-particle":"","family":"Vartanyan","given":"Sergey","non-dropping-particle":"","parse-names":false,"suffix":""},{"dropping-particle":"","family":"Poinar","given":"Hendrik","non-dropping-particle":"","parse-names":false,"suffix":""},{"dropping-particle":"","family":"Götherström","given":"Anders","non-dropping-particle":"","parse-names":false,"suffix":""},{"dropping-particle":"","family":"Reich","given":"David","non-dropping-particle":"","parse-names":false,"suffix":""},{"dropping-particle":"","family":"Dalén","given":"Love","non-dropping-particle":"","parse-names":false,"suffix":""}],"container-title":"Current Biology","id":"ITEM-1","issue":"10","issued":{"date-parts":[["2015"]]},"page":"1395-1400","title":"Complete genomes reveal signatures of demographic and genetic declines in the woolly mammoth","type":"article-journal","volume":"25"},"uris":["http://www.mendeley.com/documents/?uuid=6fad065a-f289-4b7d-b097-1bc6829024fb"]}],"mendeley":{"formattedCitation":"[8]","plainTextFormattedCitation":"[8]","previouslyFormattedCitation":"[8]"},"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[8]</w:t>
      </w:r>
      <w:r w:rsidRPr="004C6B04">
        <w:rPr>
          <w:color w:val="000000" w:themeColor="text1"/>
          <w:lang w:val="en-GB"/>
        </w:rPr>
        <w:fldChar w:fldCharType="end"/>
      </w:r>
      <w:r w:rsidRPr="004C6B04">
        <w:rPr>
          <w:color w:val="000000" w:themeColor="text1"/>
          <w:lang w:val="en-GB"/>
        </w:rPr>
        <w:t xml:space="preserve">. As recommended for historical and ancient DNA short reads, we merged sequencing reads and mapped them against the reference genome using the BWA 0.7.13 aln algorithm </w:t>
      </w:r>
      <w:r w:rsidRPr="004C6B04">
        <w:rPr>
          <w:color w:val="000000" w:themeColor="text1"/>
          <w:lang w:val="en-GB"/>
        </w:rPr>
        <w:fldChar w:fldCharType="begin" w:fldLock="1"/>
      </w:r>
      <w:r w:rsidR="00FF4055" w:rsidRPr="004C6B04">
        <w:rPr>
          <w:color w:val="000000" w:themeColor="text1"/>
          <w:lang w:val="en-GB"/>
        </w:rPr>
        <w:instrText>ADDIN CSL_CITATION {"citationItems":[{"id":"ITEM-1","itemData":{"DOI":"10.1093/bioinformatics/btp698","ISBN":"1367-4811 (Electronic)\\r1367-4803 (Linking)","ISSN":"13674803","PMID":"19451168","abstract":"MOTIVATION: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individuals.\\n\\nRESULTS: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approximately 10-20x faster than MAQ, while achieving similar accuracy. In addition, BWA outputs alignment in the new standard SAM (Sequence Alignment/Map) format. Variant calling and other downstream analyses after the alignment can be achieved with the open source SAMtools software package.\\n\\nAVAILABILITY: http://maq.sourceforge.net.","author":[{"dropping-particle":"","family":"Li","given":"Heng","non-dropping-particle":"","parse-names":false,"suffix":""},{"dropping-particle":"","family":"Durbin","given":"Richard","non-dropping-particle":"","parse-names":false,"suffix":""}],"container-title":"Bioinformatics","id":"ITEM-1","issue":"5","issued":{"date-parts":[["2010"]]},"page":"589-595","title":"Fast and accurate long-read alignment with Burrows-Wheeler transform","type":"article-journal","volume":"26"},"uris":["http://www.mendeley.com/documents/?uuid=ada3d99d-7065-47af-b270-96a854d9059c"]}],"mendeley":{"formattedCitation":"[9]","plainTextFormattedCitation":"[9]","previouslyFormattedCitation":"[9]"},"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[9]</w:t>
      </w:r>
      <w:r w:rsidRPr="004C6B04">
        <w:rPr>
          <w:color w:val="000000" w:themeColor="text1"/>
          <w:lang w:val="en-GB"/>
        </w:rPr>
        <w:fldChar w:fldCharType="end"/>
      </w:r>
      <w:r w:rsidRPr="004C6B04">
        <w:rPr>
          <w:color w:val="000000" w:themeColor="text1"/>
          <w:lang w:val="en-GB"/>
        </w:rPr>
        <w:t xml:space="preserve"> and slightly modified default settings with deactivated seeding (-l 16,500), allowing more substitutions (-n 0.01) and allowing up to two gaps (-o 2). The BWA samse command was then used to generate alignments in SAM format. The resulting reads were then processed in SAMtools and converted to BAM format, as well as coordinate sorted and indexed. We removed duplicates from the alignments using a custom python script to avoid inflation of length distribution for loci with deep coverage </w:t>
      </w:r>
      <w:r w:rsidRPr="004C6B04">
        <w:rPr>
          <w:color w:val="000000" w:themeColor="text1"/>
          <w:lang w:val="en-GB"/>
        </w:rPr>
        <w:fldChar w:fldCharType="begin" w:fldLock="1"/>
      </w:r>
      <w:r w:rsidR="00FF4055" w:rsidRPr="004C6B04">
        <w:rPr>
          <w:color w:val="000000" w:themeColor="text1"/>
          <w:lang w:val="en-GB"/>
        </w:rPr>
        <w:instrText xml:space="preserve">ADDIN CSL_CITATION {"citationItems":[{"id":"ITEM-1","itemData":{"DOI":"10.1016/j.cub.2015.04.007","ISBN":"1545-7885 (Electronic)\\r1544-9173 (Linking)","ISSN":"09609822","PMID":"25913407","abstract":"The processes leading up to species extinctions are typically characterized by prolonged declines in population size and geographic distribution, followed by a phase in which populations are very small and may be subject to intrinsic threats, including loss of genetic diversity and inbreeding [1]. However, whether such genetic factors have had an impact on species prior to their extinction is unclear [2, 3]; examining this would require a detailed reconstruction of a species' demographic history as well as changes in genome-wide diversity leading up to its extinction. Here, we present high-quality complete genome sequences from two woolly mammoths (Mammuthus primigenius). The first mammoth was sequenced at 17.1-fold coverage and dates to </w:instrText>
      </w:r>
      <w:r w:rsidR="00FF4055" w:rsidRPr="004C6B04">
        <w:rPr>
          <w:rFonts w:ascii="Cambria Math" w:hAnsi="Cambria Math" w:cs="Cambria Math"/>
          <w:color w:val="000000" w:themeColor="text1"/>
          <w:lang w:val="en-GB"/>
        </w:rPr>
        <w:instrText>∼</w:instrText>
      </w:r>
      <w:r w:rsidR="00FF4055" w:rsidRPr="004C6B04">
        <w:rPr>
          <w:color w:val="000000" w:themeColor="text1"/>
          <w:lang w:val="en-GB"/>
        </w:rPr>
        <w:instrText xml:space="preserve">4,300 years before present, representing one of the last surviving individuals on Wrangel Island. The second mammoth, sequenced at 11.2-fold coverage, was obtained from an </w:instrText>
      </w:r>
      <w:r w:rsidR="00FF4055" w:rsidRPr="004C6B04">
        <w:rPr>
          <w:rFonts w:ascii="Cambria Math" w:hAnsi="Cambria Math" w:cs="Cambria Math"/>
          <w:color w:val="000000" w:themeColor="text1"/>
          <w:lang w:val="en-GB"/>
        </w:rPr>
        <w:instrText>∼</w:instrText>
      </w:r>
      <w:r w:rsidR="00FF4055" w:rsidRPr="004C6B04">
        <w:rPr>
          <w:color w:val="000000" w:themeColor="text1"/>
          <w:lang w:val="en-GB"/>
        </w:rPr>
        <w:instrText>44,800-year-old specimen from the Late Pleistocene population in northeastern Siberia. The demographic trajectories inferred from the two genomes are qualitatively similar and reveal a population bottleneck during the Middle or Early Pleistocene, and a more recent severe decline in the ancestors of the Wrangel mammoth at the end of the last glaciation. A comparison of the two genomes shows that the Wrangel mammoth has a 20% reduction in heterozygosity as well as a 28-fold increase in the fraction of the genome that comprises runs of homozygosity. We conclude that the population on Wrangel Island, which was the last surviving woolly mammoth population, was subject to reduced genetic diversity shortly before it became extinct.","author":[{"dropping-particle":"","family":"Palkopoulou","given":"Eleftheria","non-dropping-particle":"","parse-names":false,"suffix":""},{"dropping-particle":"","family":"Mallick","given":"Swapan","non-dropping-particle":"","parse-names":false,"suffix":""},{"dropping-particle":"","family":"Skoglund","given":"Pontus","non-dropping-particle":"","parse-names":false,"suffix":""},{"dropping-particle":"","family":"Enk","given":"Jacob","non-dropping-particle":"","parse-names":false,"suffix":""},{"dropping-particle":"","family":"Rohland","given":"Nadin","non-dropping-particle":"","parse-names":false,"suffix":""},{"dropping-particle":"","family":"Li","given":"Heng","non-dropping-particle":"","parse-names":false,"suffix":""},{"dropping-particle":"","family":"Omrak","given":"Ayça","non-dropping-particle":"","parse-names":false,"suffix":""},{"dropping-particle":"","family":"Vartanyan","given":"Sergey","non-dropping-particle":"","parse-names":false,"suffix":""},{"dropping-particle":"","family":"Poinar","given":"Hendrik","non-dropping-particle":"","parse-names":false,"suffix":""},{"dropping-particle":"","family":"Götherström","given":"Anders","non-dropping-particle":"","parse-names":false,"suffix":""},{"dropping-particle":"","family":"Reich","given":"David","non-dropping-particle":"","parse-names":false,"suffix":""},{"dropping-particle":"","family":"Dalén","given":"Love","non-dropping-particle":"","parse-names":false,"suffix":""}],"container-title":"Current Biology","id":"ITEM-1","issue":"10","issued":{"date-parts":[["2015"]]},"page":"1395-1400","title":"Complete genomes reveal signatures of demographic and genetic declines in the woolly mammoth","type":"article-journal","volume":"25"},"uris":["http://www.mendeley.com/documents/?uuid=6fad065a-f289-4b7d-b097-1bc6829024fb"]}],"mendeley":{"formattedCitation":"[8]","plainTextFormattedCitation":"[8]","previouslyFormattedCitation":"[8]"},"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[8]</w:t>
      </w:r>
      <w:r w:rsidRPr="004C6B04">
        <w:rPr>
          <w:color w:val="000000" w:themeColor="text1"/>
          <w:lang w:val="en-GB"/>
        </w:rPr>
        <w:fldChar w:fldCharType="end"/>
      </w:r>
      <w:r w:rsidRPr="004C6B04">
        <w:rPr>
          <w:color w:val="000000" w:themeColor="text1"/>
          <w:lang w:val="en-GB"/>
        </w:rPr>
        <w:t xml:space="preserve">. Next, </w:t>
      </w:r>
      <w:r w:rsidR="000E0E60" w:rsidRPr="004C6B04">
        <w:rPr>
          <w:color w:val="000000" w:themeColor="text1"/>
          <w:lang w:val="en-GB"/>
        </w:rPr>
        <w:t>w</w:t>
      </w:r>
      <w:r w:rsidRPr="004C6B04">
        <w:rPr>
          <w:color w:val="000000" w:themeColor="text1"/>
          <w:lang w:val="en-GB"/>
        </w:rPr>
        <w:t xml:space="preserve">e used Picard v. 1.141 (http://broadinstitute.github.io/picard) to assign read group information including library, lane and sample identity to each bam file. Reads were then re-aligned around indels using GATK 3.4.0 </w:t>
      </w:r>
      <w:r w:rsidRPr="004C6B04">
        <w:rPr>
          <w:color w:val="000000" w:themeColor="text1"/>
          <w:lang w:val="en-GB"/>
        </w:rPr>
        <w:fldChar w:fldCharType="begin" w:fldLock="1"/>
      </w:r>
      <w:r w:rsidR="00FF4055" w:rsidRPr="004C6B04">
        <w:rPr>
          <w:color w:val="000000" w:themeColor="text1"/>
          <w:lang w:val="en-GB"/>
        </w:rPr>
        <w:instrText>ADDIN CSL_CITATION {"citationItems":[{"id":"ITEM-1","itemData":{"DOI":"10.1101/gr.107524.110.20","abstract":"The concept of absorptive capacity was introduced by Cohen and Levinthal in 1989. Since then it has been enhanced through reconceptualizations and extended by various empirical studies. Despite the growing interest in absorptive capacity it is unclear what this large stream of papers has collectively accomplished. The used definitions, antecedents, components and outcomes of the construct are extremely heterogeneous. Due to this heterogeneity, the empirical study of the construct remains difficult. There is no standard measure and no standard method of measurement, which can be used in empirical research. To bring more clarity into this research area, this paper provides a critical review of previous empirical treatments of absorptive capacity. For this purpose, different methods of measurement are classified in the following way: within quantitative methods proxy indicators and perceptive instruments are differentiated. Proxy indicators use single firm-level data for measuring absorptive capacity and can be input-oriented (R&amp;D efforts, R&amp;D human capital) or output-oriented (R&amp;D patents, R&amp;D publications). Perceptive instruments imply that researchers develop single questions or a set of questions, which reflect absorptive capacity or parts of it at the operational level. The main weakness of both proxy indicators and perceptive instruments is that they don't meet the complexity and emergence of the construct. Only few qualitative studies have started to adopt a new perspective, recognizing the process and practice-based character of absorptive capacity. In summary, the critical review prints out the necessity of advancing research in this area. For this reason, we set out to develop an alternative approach to capture absorptive capacity. It is a practice-oriented approach that allows studying actual absorptive practices in real world situations and enables researchers to capture the complex, embedded, and context-dependent patterns of acting.","author":[{"dropping-particle":"","family":"McKenna","given":"Aaron","non-dropping-particle":"","parse-names":false,"suffix":""},{"dropping-particle":"","family":"Hanna","given":"Matthew","non-dropping-particle":"","parse-names":false,"suffix":""},{"dropping-particle":"","family":"Banks","given":"Eric","non-dropping-particle":"","parse-names":false,"suffix":""},{"dropping-particle":"","family":"Sivachenko","given":"Andrey","non-dropping-particle":"","parse-names":false,"suffix":""},{"dropping-particle":"","family":"Cibulskis","given":"Kristian","non-dropping-particle":"","parse-names":false,"suffix":""},{"dropping-particle":"","family":"Kernytsky","given":"Andrew","non-dropping-particle":"","parse-names":false,"suffix":""},{"dropping-particle":"","family":"Garimella","given":"Kiran","non-dropping-particle":"","parse-names":false,"suffix":""},{"dropping-particle":"","family":"Altshuler","given":"David","non-dropping-particle":"","parse-names":false,"suffix":""},{"dropping-particle":"","family":"Gabriel","given":"Stacey","non-dropping-particle":"","parse-names":false,"suffix":""},{"dropping-particle":"","family":"Daly","given":"Mark","non-dropping-particle":"","parse-names":false,"suffix":""},{"dropping-particle":"","family":"DePristo","given":"Mark A.","non-dropping-particle":"","parse-names":false,"suffix":""}],"container-title":"Genome Research","id":"ITEM-1","issued":{"date-parts":[["2010"]]},"page":"1297-1303","title":"The Genome Analysis Toolkit: A MapReduce framework for analyzing next-generation DNA sequencing data","type":"article-journal","volume":"20"},"uris":["http://www.mendeley.com/documents/?uuid=42bf81a3-c6a6-43d5-b9c6-b738ba7775e7"]}],"mendeley":{"formattedCitation":"[10]","plainTextFormattedCitation":"[10]","previouslyFormattedCitation":"[10]"},"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[10]</w:t>
      </w:r>
      <w:r w:rsidRPr="004C6B04">
        <w:rPr>
          <w:color w:val="000000" w:themeColor="text1"/>
          <w:lang w:val="en-GB"/>
        </w:rPr>
        <w:fldChar w:fldCharType="end"/>
      </w:r>
      <w:r w:rsidRPr="004C6B04">
        <w:rPr>
          <w:color w:val="000000" w:themeColor="text1"/>
          <w:lang w:val="en-GB"/>
        </w:rPr>
        <w:t>. Only reads/alignments with mapping quality</w:t>
      </w:r>
      <w:r w:rsidR="003D252C" w:rsidRPr="004C6B04">
        <w:rPr>
          <w:color w:val="000000" w:themeColor="text1"/>
          <w:lang w:val="en-GB"/>
        </w:rPr>
        <w:t xml:space="preserve"> </w:t>
      </w:r>
      <m:oMath>
        <m:r>
          <w:rPr>
            <w:rFonts w:ascii="Cambria Math" w:hAnsi="Cambria Math"/>
            <w:color w:val="000000" w:themeColor="text1"/>
            <w:lang w:val="en-GB"/>
          </w:rPr>
          <m:t>≥</m:t>
        </m:r>
      </m:oMath>
      <w:r w:rsidRPr="004C6B04">
        <w:rPr>
          <w:color w:val="000000" w:themeColor="text1"/>
          <w:lang w:val="en-GB"/>
        </w:rPr>
        <w:t xml:space="preserve">30 were kept for subsequent analysis. </w:t>
      </w:r>
    </w:p>
    <w:p w14:paraId="264E90D9" w14:textId="336EC07B" w:rsidR="005C44F0" w:rsidRPr="004C6B04" w:rsidRDefault="005C44F0" w:rsidP="005C44F0">
      <w:pPr>
        <w:spacing w:line="360" w:lineRule="auto"/>
        <w:jc w:val="both"/>
        <w:rPr>
          <w:color w:val="000000" w:themeColor="text1"/>
          <w:lang w:val="en-GB"/>
        </w:rPr>
      </w:pPr>
      <w:r w:rsidRPr="004C6B04">
        <w:rPr>
          <w:color w:val="000000" w:themeColor="text1"/>
          <w:lang w:val="en-GB"/>
        </w:rPr>
        <w:tab/>
      </w:r>
      <w:r w:rsidR="0064462C" w:rsidRPr="004C6B04">
        <w:rPr>
          <w:color w:val="000000" w:themeColor="text1"/>
          <w:lang w:val="en-GB"/>
        </w:rPr>
        <w:t>We then masked repeats and CpG sites</w:t>
      </w:r>
      <w:r w:rsidR="00486198" w:rsidRPr="004C6B04">
        <w:rPr>
          <w:color w:val="000000" w:themeColor="text1"/>
          <w:lang w:val="en-GB"/>
        </w:rPr>
        <w:t xml:space="preserve"> </w:t>
      </w:r>
      <w:r w:rsidR="00486198" w:rsidRPr="004C6B04">
        <w:rPr>
          <w:rFonts w:ascii="Courier New" w:hAnsi="Courier New" w:cs="Courier New"/>
          <w:color w:val="000000" w:themeColor="text1"/>
          <w:lang w:val="en-GB"/>
        </w:rPr>
        <w:t>﻿</w:t>
      </w:r>
      <w:r w:rsidR="00486198" w:rsidRPr="004C6B04">
        <w:rPr>
          <w:color w:val="000000" w:themeColor="text1"/>
          <w:lang w:val="en-GB"/>
        </w:rPr>
        <w:t>to limit possible biases from DNA damage</w:t>
      </w:r>
      <w:r w:rsidR="0064462C" w:rsidRPr="004C6B04">
        <w:rPr>
          <w:color w:val="000000" w:themeColor="text1"/>
          <w:lang w:val="en-GB"/>
        </w:rPr>
        <w:t xml:space="preserve"> using the bed files created above and BEDtools </w:t>
      </w:r>
      <w:r w:rsidR="0064462C" w:rsidRPr="004C6B04">
        <w:rPr>
          <w:color w:val="000000" w:themeColor="text1"/>
          <w:lang w:val="en-GB"/>
        </w:rPr>
        <w:fldChar w:fldCharType="begin" w:fldLock="1"/>
      </w:r>
      <w:r w:rsidR="00FF4055" w:rsidRPr="004C6B04">
        <w:rPr>
          <w:color w:val="000000" w:themeColor="text1"/>
          <w:lang w:val="en-GB"/>
        </w:rPr>
        <w:instrText>ADDIN CSL_CITATION {"citationItems":[{"id":"ITEM-1","itemData":{"DOI":"10.1093/bioinformatics/btq033","ISBN":"1367-4811 (Electronic)\\n1367-4803 (Linking)","ISSN":"13674803","PMID":"20110278","abstract":"MOTIVATION: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manner.\\n\\nRESULTS: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datasets.\\n\\nAVAILABILITY AND IMPLEMENTATION: BEDTools was written in C++. Source code and a comprehensive user manual are freely available at http://code.google.com/p/bedtools\\n\\nCONTACT: aaronquinlan@gmail.com; imh4y@virginia.edu\\n\\nSUPPLEMENTARY INFORMATION: Supplementary data are available at Bioinformatics online.","author":[{"dropping-particle":"","family":"Quinlan","given":"Aaron R.","non-dropping-particle":"","parse-names":false,"suffix":""},{"dropping-particle":"","family":"Hall","given":"Ira M.","non-dropping-particle":"","parse-names":false,"suffix":""}],"container-title":"Bioinformatics","id":"ITEM-1","issue":"6","issued":{"date-parts":[["2010"]]},"page":"841-842","title":"BEDTools: A flexible suite of utilities for comparing genomic features","type":"article-journal","volume":"26"},"uris":["http://www.mendeley.com/documents/?uuid=bb43fb55-83be-447c-8409-d7d7c92303d7"]}],"mendeley":{"formattedCitation":"[11]","plainTextFormattedCitation":"[11]","previouslyFormattedCitation":"[11]"},"properties":{"noteIndex":0},"schema":"https://github.com/citation-style-language/schema/raw/master/csl-citation.json"}</w:instrText>
      </w:r>
      <w:r w:rsidR="0064462C" w:rsidRPr="004C6B04">
        <w:rPr>
          <w:color w:val="000000" w:themeColor="text1"/>
          <w:lang w:val="en-GB"/>
        </w:rPr>
        <w:fldChar w:fldCharType="separate"/>
      </w:r>
      <w:r w:rsidR="000562E9" w:rsidRPr="004C6B04">
        <w:rPr>
          <w:noProof/>
          <w:color w:val="000000" w:themeColor="text1"/>
          <w:lang w:val="en-GB"/>
        </w:rPr>
        <w:t>[11]</w:t>
      </w:r>
      <w:r w:rsidR="0064462C" w:rsidRPr="004C6B04">
        <w:rPr>
          <w:color w:val="000000" w:themeColor="text1"/>
          <w:lang w:val="en-GB"/>
        </w:rPr>
        <w:fldChar w:fldCharType="end"/>
      </w:r>
      <w:r w:rsidR="0064462C" w:rsidRPr="004C6B04">
        <w:rPr>
          <w:color w:val="000000" w:themeColor="text1"/>
          <w:lang w:val="en-GB"/>
        </w:rPr>
        <w:t xml:space="preserve">. Finally, we estimated the depth of genome coverage for each sample was estimated using Qualimap 2.2.1 </w:t>
      </w:r>
      <w:r w:rsidR="0064462C" w:rsidRPr="004C6B04">
        <w:rPr>
          <w:color w:val="000000" w:themeColor="text1"/>
          <w:lang w:val="en-GB"/>
        </w:rPr>
        <w:fldChar w:fldCharType="begin" w:fldLock="1"/>
      </w:r>
      <w:r w:rsidR="00FF4055" w:rsidRPr="004C6B04">
        <w:rPr>
          <w:color w:val="000000" w:themeColor="text1"/>
          <w:lang w:val="en-GB"/>
        </w:rPr>
        <w:instrText>ADDIN CSL_CITATION {"citationItems":[{"id":"ITEM-1","itemData":{"DOI":"10.1093/bioinformatics/btv566","ISBN":"1367-4811 (Electronic)\\r1367-4803 (Linking)","ISSN":"14602059","PMID":"26428292","abstract":"MOTIVATION: Detection of random errors and systematic biases is a crucial step of a robust pipeline for processing high-throughput sequencing (HTS) data. Bioinformatics software tools capable of performing this task are available, either for general analysis of HTS data or targeted to a specific sequencing technology. However, most of the existing QC instruments only allow processing of one sample at a time.\\n\\nRESULTS: Qualimap 2 represents a next step in the QC analysis of HTS data. Along with comprehensive single-sample analysis of alignment data, it includes new modes that allow simultaneous processing and comparison of multiple samples. As with the first version, the new features are available via both graphical and command line interface. Additionally, it includes a large number of improvements proposed by the user community.\\n\\nAVAILABILITY: The implementation of the software along with documentation is freely available at http://www.qualimap.org.","author":[{"dropping-particle":"","family":"Okonechnikov","given":"Konstantin","non-dropping-particle":"","parse-names":false,"suffix":""},{"dropping-particle":"","family":"Conesa","given":"Ana","non-dropping-particle":"","parse-names":false,"suffix":""},{"dropping-particle":"","family":"García-Alcalde","given":"Fernando","non-dropping-particle":"","parse-names":false,"suffix":""}],"container-title":"Bioinformatics","id":"ITEM-1","issue":"2","issued":{"date-parts":[["2015"]]},"page":"292-294","title":"Qualimap 2: Advanced multi-sample quality control for high-throughput sequencing data","type":"article-journal","volume":"32"},"uris":["http://www.mendeley.com/documents/?uuid=9951cef8-08fb-4ee0-9fc3-819a1828584e"]}],"mendeley":{"formattedCitation":"[12]","plainTextFormattedCitation":"[12]","previouslyFormattedCitation":"[12]"},"properties":{"noteIndex":0},"schema":"https://github.com/citation-style-language/schema/raw/master/csl-citation.json"}</w:instrText>
      </w:r>
      <w:r w:rsidR="0064462C" w:rsidRPr="004C6B04">
        <w:rPr>
          <w:color w:val="000000" w:themeColor="text1"/>
          <w:lang w:val="en-GB"/>
        </w:rPr>
        <w:fldChar w:fldCharType="separate"/>
      </w:r>
      <w:r w:rsidR="000562E9" w:rsidRPr="004C6B04">
        <w:rPr>
          <w:noProof/>
          <w:color w:val="000000" w:themeColor="text1"/>
          <w:lang w:val="en-GB"/>
        </w:rPr>
        <w:t>[12]</w:t>
      </w:r>
      <w:r w:rsidR="0064462C" w:rsidRPr="004C6B04">
        <w:rPr>
          <w:color w:val="000000" w:themeColor="text1"/>
          <w:lang w:val="en-GB"/>
        </w:rPr>
        <w:fldChar w:fldCharType="end"/>
      </w:r>
      <w:r w:rsidR="0064462C" w:rsidRPr="004C6B04">
        <w:rPr>
          <w:color w:val="000000" w:themeColor="text1"/>
          <w:lang w:val="en-GB"/>
        </w:rPr>
        <w:t xml:space="preserve">. </w:t>
      </w:r>
      <w:r w:rsidRPr="004C6B04">
        <w:rPr>
          <w:color w:val="000000" w:themeColor="text1"/>
          <w:lang w:val="en-GB"/>
        </w:rPr>
        <w:t>Average genome coverage was of 10 (</w:t>
      </w:r>
      <w:r w:rsidR="00337F1F" w:rsidRPr="004C6B04">
        <w:rPr>
          <w:color w:val="000000" w:themeColor="text1"/>
          <w:lang w:val="en-GB"/>
        </w:rPr>
        <w:t>m</w:t>
      </w:r>
      <w:r w:rsidRPr="004C6B04">
        <w:rPr>
          <w:color w:val="000000" w:themeColor="text1"/>
          <w:lang w:val="en-GB"/>
        </w:rPr>
        <w:t xml:space="preserve">in=3, </w:t>
      </w:r>
      <w:r w:rsidR="00337F1F" w:rsidRPr="004C6B04">
        <w:rPr>
          <w:color w:val="000000" w:themeColor="text1"/>
          <w:lang w:val="en-GB"/>
        </w:rPr>
        <w:t>m</w:t>
      </w:r>
      <w:r w:rsidRPr="004C6B04">
        <w:rPr>
          <w:color w:val="000000" w:themeColor="text1"/>
          <w:lang w:val="en-GB"/>
        </w:rPr>
        <w:t>ax=20) and 14 (</w:t>
      </w:r>
      <w:r w:rsidR="00337F1F" w:rsidRPr="004C6B04">
        <w:rPr>
          <w:color w:val="000000" w:themeColor="text1"/>
          <w:lang w:val="en-GB"/>
        </w:rPr>
        <w:t>m</w:t>
      </w:r>
      <w:r w:rsidRPr="004C6B04">
        <w:rPr>
          <w:color w:val="000000" w:themeColor="text1"/>
          <w:lang w:val="en-GB"/>
        </w:rPr>
        <w:t xml:space="preserve">in=5, </w:t>
      </w:r>
      <w:r w:rsidR="00337F1F" w:rsidRPr="004C6B04">
        <w:rPr>
          <w:color w:val="000000" w:themeColor="text1"/>
          <w:lang w:val="en-GB"/>
        </w:rPr>
        <w:t>m</w:t>
      </w:r>
      <w:r w:rsidRPr="004C6B04">
        <w:rPr>
          <w:color w:val="000000" w:themeColor="text1"/>
          <w:lang w:val="en-GB"/>
        </w:rPr>
        <w:t>ax=29) for Huia and South Island k</w:t>
      </w:r>
      <w:r w:rsidRPr="004C6B04">
        <w:rPr>
          <w:iCs/>
          <w:color w:val="000000" w:themeColor="text1"/>
          <w:lang w:val="en-GB"/>
        </w:rPr>
        <w:t>ō</w:t>
      </w:r>
      <w:r w:rsidRPr="004C6B04">
        <w:rPr>
          <w:color w:val="000000" w:themeColor="text1"/>
          <w:lang w:val="en-GB"/>
        </w:rPr>
        <w:t>kako, respectively (</w:t>
      </w:r>
      <w:r w:rsidR="00F22E00" w:rsidRPr="004C6B04">
        <w:rPr>
          <w:color w:val="000000" w:themeColor="text1"/>
          <w:lang w:val="en-GB"/>
        </w:rPr>
        <w:t xml:space="preserve">Fig. S1, </w:t>
      </w:r>
      <w:r w:rsidRPr="004C6B04">
        <w:rPr>
          <w:color w:val="000000" w:themeColor="text1"/>
          <w:lang w:val="en-GB"/>
        </w:rPr>
        <w:t>Table S1).</w:t>
      </w:r>
      <w:r w:rsidR="00DC7CFF" w:rsidRPr="004C6B04">
        <w:rPr>
          <w:color w:val="000000" w:themeColor="text1"/>
          <w:lang w:val="en-GB"/>
        </w:rPr>
        <w:t xml:space="preserve"> Finally, we estimated </w:t>
      </w:r>
      <w:r w:rsidR="003D252C" w:rsidRPr="004C6B04">
        <w:rPr>
          <w:color w:val="000000" w:themeColor="text1"/>
          <w:lang w:val="en-GB"/>
        </w:rPr>
        <w:t xml:space="preserve">the proportion of </w:t>
      </w:r>
      <w:r w:rsidR="00DC7CFF" w:rsidRPr="004C6B04">
        <w:rPr>
          <w:color w:val="000000" w:themeColor="text1"/>
          <w:lang w:val="en-GB"/>
        </w:rPr>
        <w:t>missing dat</w:t>
      </w:r>
      <w:r w:rsidR="003D252C" w:rsidRPr="004C6B04">
        <w:rPr>
          <w:color w:val="000000" w:themeColor="text1"/>
          <w:lang w:val="en-GB"/>
        </w:rPr>
        <w:t xml:space="preserve">a as </w:t>
      </w:r>
      <w:r w:rsidR="008A7DE1" w:rsidRPr="004C6B04">
        <w:rPr>
          <w:color w:val="000000" w:themeColor="text1"/>
          <w:lang w:val="en-GB"/>
        </w:rPr>
        <w:t>the proportion of sites with a</w:t>
      </w:r>
      <w:r w:rsidR="003D252C" w:rsidRPr="004C6B04">
        <w:rPr>
          <w:color w:val="000000" w:themeColor="text1"/>
          <w:lang w:val="en-GB"/>
        </w:rPr>
        <w:t xml:space="preserve"> root-mean-squared mapping quality of reads covering the site below 30</w:t>
      </w:r>
      <w:r w:rsidR="008A7DE1" w:rsidRPr="004C6B04">
        <w:rPr>
          <w:color w:val="000000" w:themeColor="text1"/>
          <w:lang w:val="en-GB"/>
        </w:rPr>
        <w:t>.</w:t>
      </w:r>
      <w:r w:rsidR="004B5576" w:rsidRPr="004C6B04">
        <w:rPr>
          <w:color w:val="000000" w:themeColor="text1"/>
          <w:lang w:val="en-GB"/>
        </w:rPr>
        <w:t xml:space="preserve"> Missing data was estimated at </w:t>
      </w:r>
      <w:r w:rsidR="00E370DB" w:rsidRPr="004C6B04">
        <w:rPr>
          <w:color w:val="000000" w:themeColor="text1"/>
          <w:lang w:val="en-GB"/>
        </w:rPr>
        <w:t>5.5</w:t>
      </w:r>
      <w:r w:rsidR="00742591" w:rsidRPr="004C6B04">
        <w:rPr>
          <w:color w:val="000000" w:themeColor="text1"/>
          <w:lang w:val="en-GB"/>
        </w:rPr>
        <w:t>%</w:t>
      </w:r>
      <w:r w:rsidR="004B5576" w:rsidRPr="004C6B04">
        <w:rPr>
          <w:color w:val="000000" w:themeColor="text1"/>
          <w:lang w:val="en-GB"/>
        </w:rPr>
        <w:t xml:space="preserve"> and </w:t>
      </w:r>
      <w:r w:rsidR="00062D5C" w:rsidRPr="004C6B04">
        <w:rPr>
          <w:color w:val="000000" w:themeColor="text1"/>
          <w:lang w:val="en-GB"/>
        </w:rPr>
        <w:t>4</w:t>
      </w:r>
      <w:r w:rsidR="00E370DB" w:rsidRPr="004C6B04">
        <w:rPr>
          <w:color w:val="000000" w:themeColor="text1"/>
          <w:lang w:val="en-GB"/>
        </w:rPr>
        <w:t>.1</w:t>
      </w:r>
      <w:r w:rsidR="004B5576" w:rsidRPr="004C6B04">
        <w:rPr>
          <w:color w:val="000000" w:themeColor="text1"/>
          <w:lang w:val="en-GB"/>
        </w:rPr>
        <w:t>% for Huia and South Island k</w:t>
      </w:r>
      <w:r w:rsidR="004B5576" w:rsidRPr="004C6B04">
        <w:rPr>
          <w:iCs/>
          <w:color w:val="000000" w:themeColor="text1"/>
          <w:lang w:val="en-GB"/>
        </w:rPr>
        <w:t>ō</w:t>
      </w:r>
      <w:r w:rsidR="004B5576" w:rsidRPr="004C6B04">
        <w:rPr>
          <w:color w:val="000000" w:themeColor="text1"/>
          <w:lang w:val="en-GB"/>
        </w:rPr>
        <w:t>kako, respectively.</w:t>
      </w:r>
    </w:p>
    <w:p w14:paraId="411FCD27" w14:textId="226033FA" w:rsidR="000562E9" w:rsidRPr="004C6B04" w:rsidRDefault="000562E9" w:rsidP="005C44F0">
      <w:pPr>
        <w:spacing w:line="360" w:lineRule="auto"/>
        <w:jc w:val="both"/>
        <w:rPr>
          <w:color w:val="000000" w:themeColor="text1"/>
          <w:lang w:val="en-GB"/>
        </w:rPr>
      </w:pPr>
    </w:p>
    <w:p w14:paraId="0129EA99" w14:textId="5F21FBD0" w:rsidR="002A7C52" w:rsidRPr="004C6B04" w:rsidRDefault="005C44F0" w:rsidP="005C44F0">
      <w:pPr>
        <w:spacing w:line="360" w:lineRule="auto"/>
        <w:jc w:val="both"/>
        <w:rPr>
          <w:color w:val="000000" w:themeColor="text1"/>
          <w:lang w:val="en-GB"/>
        </w:rPr>
      </w:pPr>
      <w:r w:rsidRPr="004C6B04">
        <w:rPr>
          <w:i/>
          <w:color w:val="000000" w:themeColor="text1"/>
          <w:lang w:val="en-GB"/>
        </w:rPr>
        <w:t>Variant calling</w:t>
      </w:r>
      <w:r w:rsidRPr="004C6B04">
        <w:rPr>
          <w:color w:val="000000" w:themeColor="text1"/>
          <w:lang w:val="en-GB"/>
        </w:rPr>
        <w:t>:</w:t>
      </w:r>
      <w:r w:rsidRPr="004C6B04">
        <w:rPr>
          <w:b/>
          <w:color w:val="000000" w:themeColor="text1"/>
          <w:lang w:val="en-GB"/>
        </w:rPr>
        <w:t xml:space="preserve"> </w:t>
      </w:r>
      <w:r w:rsidRPr="004C6B04">
        <w:rPr>
          <w:color w:val="000000" w:themeColor="text1"/>
          <w:lang w:val="en-GB"/>
        </w:rPr>
        <w:t>We called variants in historical huia South Island kōkako genomes as well as in the North Island kōkako using bcftools mpileup (v. 1.3)  </w:t>
      </w:r>
      <w:r w:rsidRPr="004C6B04">
        <w:rPr>
          <w:color w:val="000000" w:themeColor="text1"/>
          <w:lang w:val="en-GB"/>
        </w:rPr>
        <w:fldChar w:fldCharType="begin" w:fldLock="1"/>
      </w:r>
      <w:r w:rsidR="00FF4055" w:rsidRPr="004C6B04">
        <w:rPr>
          <w:color w:val="000000" w:themeColor="text1"/>
          <w:lang w:val="en-GB"/>
        </w:rPr>
        <w:instrText>ADDIN CSL_CITATION {"citationItems":[{"id":"ITEM-1","itemData":{"DOI":"10.1093/bioinformatics/btp352","ISBN":"1367-4803\\r1460-2059","ISSN":"13674803","PMID":"19505943","abstract":"SUMMARY: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16","issued":{"date-parts":[["2009"]]},"page":"2078-2079","title":"The Sequence Alignment/Map format and SAMtools","type":"article-journal","volume":"25"},"uris":["http://www.mendeley.com/documents/?uuid=e3869fe4-739b-42fa-812b-ac704df6624c"]}],"mendeley":{"formattedCitation":"[13]","plainTextFormattedCitation":"[13]","previouslyFormattedCitation":"[13]"},"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[13]</w:t>
      </w:r>
      <w:r w:rsidRPr="004C6B04">
        <w:rPr>
          <w:color w:val="000000" w:themeColor="text1"/>
          <w:lang w:val="en-GB"/>
        </w:rPr>
        <w:fldChar w:fldCharType="end"/>
      </w:r>
      <w:r w:rsidRPr="004C6B04">
        <w:rPr>
          <w:color w:val="000000" w:themeColor="text1"/>
          <w:lang w:val="en-GB"/>
        </w:rPr>
        <w:t xml:space="preserve"> and bcftools (v. 1.3) using a </w:t>
      </w:r>
      <w:r w:rsidRPr="004C6B04">
        <w:rPr>
          <w:color w:val="000000" w:themeColor="text1"/>
          <w:lang w:val="en-GB"/>
        </w:rPr>
        <w:lastRenderedPageBreak/>
        <w:t xml:space="preserve">minimum depth of coverage of 1/3X of the average coverage, base quality </w:t>
      </w:r>
      <m:oMath>
        <m:r>
          <w:rPr>
            <w:rFonts w:ascii="Cambria Math" w:hAnsi="Cambria Math"/>
            <w:color w:val="000000" w:themeColor="text1"/>
            <w:lang w:val="en-GB"/>
          </w:rPr>
          <m:t>≥</m:t>
        </m:r>
      </m:oMath>
      <w:r w:rsidRPr="004C6B04">
        <w:rPr>
          <w:color w:val="000000" w:themeColor="text1"/>
          <w:lang w:val="en-GB"/>
        </w:rPr>
        <w:t xml:space="preserve">30 and removed SNPs within 5bp of indels. As for bam files, we masked CpG sites and repeats using BEDtools </w:t>
      </w:r>
      <w:r w:rsidRPr="004C6B04">
        <w:rPr>
          <w:color w:val="000000" w:themeColor="text1"/>
          <w:lang w:val="en-GB"/>
        </w:rPr>
        <w:fldChar w:fldCharType="begin" w:fldLock="1"/>
      </w:r>
      <w:r w:rsidR="00FF4055" w:rsidRPr="004C6B04">
        <w:rPr>
          <w:color w:val="000000" w:themeColor="text1"/>
          <w:lang w:val="en-GB"/>
        </w:rPr>
        <w:instrText>ADDIN CSL_CITATION {"citationItems":[{"id":"ITEM-1","itemData":{"DOI":"10.1093/bioinformatics/btq033","ISBN":"1367-4811 (Electronic)\\n1367-4803 (Linking)","ISSN":"13674803","PMID":"20110278","abstract":"MOTIVATION: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manner.\\n\\nRESULTS: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datasets.\\n\\nAVAILABILITY AND IMPLEMENTATION: BEDTools was written in C++. Source code and a comprehensive user manual are freely available at http://code.google.com/p/bedtools\\n\\nCONTACT: aaronquinlan@gmail.com; imh4y@virginia.edu\\n\\nSUPPLEMENTARY INFORMATION: Supplementary data are available at Bioinformatics online.","author":[{"dropping-particle":"","family":"Quinlan","given":"Aaron R.","non-dropping-particle":"","parse-names":false,"suffix":""},{"dropping-particle":"","family":"Hall","given":"Ira M.","non-dropping-particle":"","parse-names":false,"suffix":""}],"container-title":"Bioinformatics","id":"ITEM-1","issue":"6","issued":{"date-parts":[["2010"]]},"page":"841-842","title":"BEDTools: A flexible suite of utilities for comparing genomic features","type":"article-journal","volume":"26"},"uris":["http://www.mendeley.com/documents/?uuid=bb43fb55-83be-447c-8409-d7d7c92303d7"]}],"mendeley":{"formattedCitation":"[11]","plainTextFormattedCitation":"[11]","previouslyFormattedCitation":"[11]"},"properties":{"noteIndex":0},"schema":"https://github.com/citation-style-language/schema/raw/master/csl-citation.json"}</w:instrText>
      </w:r>
      <w:r w:rsidRPr="004C6B04">
        <w:rPr>
          <w:color w:val="000000" w:themeColor="text1"/>
          <w:lang w:val="en-GB"/>
        </w:rPr>
        <w:fldChar w:fldCharType="separate"/>
      </w:r>
      <w:r w:rsidR="000562E9" w:rsidRPr="004C6B04">
        <w:rPr>
          <w:noProof/>
          <w:color w:val="000000" w:themeColor="text1"/>
          <w:lang w:val="en-GB"/>
        </w:rPr>
        <w:t>[11]</w:t>
      </w:r>
      <w:r w:rsidRPr="004C6B04">
        <w:rPr>
          <w:color w:val="000000" w:themeColor="text1"/>
          <w:lang w:val="en-GB"/>
        </w:rPr>
        <w:fldChar w:fldCharType="end"/>
      </w:r>
      <w:r w:rsidRPr="004C6B04">
        <w:rPr>
          <w:color w:val="000000" w:themeColor="text1"/>
          <w:lang w:val="en-GB"/>
        </w:rPr>
        <w:t>. For all downstream analyses, excluded the 10 sex chromosome-linked scaffolds (see above). Overall, we obtained 20,067,979</w:t>
      </w:r>
      <w:r w:rsidRPr="004C6B04" w:rsidDel="005F49D9">
        <w:rPr>
          <w:color w:val="000000" w:themeColor="text1"/>
          <w:lang w:val="en-GB"/>
        </w:rPr>
        <w:t xml:space="preserve"> </w:t>
      </w:r>
      <w:r w:rsidRPr="004C6B04">
        <w:rPr>
          <w:color w:val="000000" w:themeColor="text1"/>
          <w:lang w:val="en-GB"/>
        </w:rPr>
        <w:t>SNPs. We then filtered this dataset for HWE and removed SNPs no scored in both samples (--geno 0) and had 16,879,201</w:t>
      </w:r>
      <w:r w:rsidRPr="004C6B04" w:rsidDel="005F49D9">
        <w:rPr>
          <w:color w:val="000000" w:themeColor="text1"/>
          <w:lang w:val="en-GB"/>
        </w:rPr>
        <w:t xml:space="preserve"> </w:t>
      </w:r>
      <w:r w:rsidRPr="004C6B04">
        <w:rPr>
          <w:color w:val="000000" w:themeColor="text1"/>
          <w:lang w:val="en-GB"/>
        </w:rPr>
        <w:t>SNPs left.</w:t>
      </w:r>
      <w:r w:rsidR="00A84C8F">
        <w:rPr>
          <w:color w:val="000000" w:themeColor="text1"/>
          <w:lang w:val="en-GB"/>
        </w:rPr>
        <w:t xml:space="preserve"> </w:t>
      </w:r>
      <w:r w:rsidR="00A84C8F" w:rsidRPr="003C75F3">
        <w:rPr>
          <w:color w:val="000000" w:themeColor="text1"/>
          <w:lang w:val="en-GB"/>
        </w:rPr>
        <w:t xml:space="preserve">Raw fastq reads are deposited at </w:t>
      </w:r>
      <w:r w:rsidR="00A84C8F" w:rsidRPr="00A84C8F">
        <w:rPr>
          <w:color w:val="000000" w:themeColor="text1"/>
          <w:lang w:val="en-GB"/>
        </w:rPr>
        <w:t xml:space="preserve">the European Nucleotide Archive (ENA), accession </w:t>
      </w:r>
      <w:r w:rsidR="00A84C8F" w:rsidRPr="003C75F3">
        <w:rPr>
          <w:color w:val="000000" w:themeColor="text1"/>
          <w:lang w:val="en-GB"/>
        </w:rPr>
        <w:t>number (</w:t>
      </w:r>
      <w:r w:rsidR="00A84C8F" w:rsidRPr="00B2777F">
        <w:rPr>
          <w:color w:val="FF0000"/>
          <w:lang w:val="en-GB"/>
        </w:rPr>
        <w:t>pending</w:t>
      </w:r>
      <w:r w:rsidR="00A84C8F" w:rsidRPr="003C75F3">
        <w:rPr>
          <w:color w:val="000000" w:themeColor="text1"/>
          <w:lang w:val="en-GB"/>
        </w:rPr>
        <w:t>)</w:t>
      </w:r>
      <w:r w:rsidR="002A7C52" w:rsidRPr="004C6B04">
        <w:rPr>
          <w:color w:val="000000" w:themeColor="text1"/>
          <w:lang w:val="en-GB"/>
        </w:rPr>
        <w:t>.</w:t>
      </w:r>
    </w:p>
    <w:p w14:paraId="36B85482" w14:textId="77777777" w:rsidR="00865921" w:rsidRPr="004C6B04" w:rsidRDefault="00865921" w:rsidP="00865921">
      <w:pPr>
        <w:spacing w:line="360" w:lineRule="auto"/>
        <w:jc w:val="both"/>
        <w:rPr>
          <w:i/>
          <w:color w:val="000000" w:themeColor="text1"/>
          <w:lang w:val="en-GB"/>
        </w:rPr>
      </w:pPr>
    </w:p>
    <w:p w14:paraId="1CF97009" w14:textId="16EDAAA6" w:rsidR="00865921" w:rsidRPr="004C6B04" w:rsidRDefault="00865921" w:rsidP="00865921">
      <w:pPr>
        <w:spacing w:line="360" w:lineRule="auto"/>
        <w:jc w:val="both"/>
        <w:rPr>
          <w:i/>
          <w:color w:val="000000" w:themeColor="text1"/>
          <w:lang w:val="en-GB"/>
        </w:rPr>
      </w:pPr>
      <w:r w:rsidRPr="004C6B04">
        <w:rPr>
          <w:i/>
          <w:color w:val="000000" w:themeColor="text1"/>
          <w:lang w:val="en-GB"/>
        </w:rPr>
        <w:t>Data analysis</w:t>
      </w:r>
    </w:p>
    <w:p w14:paraId="284BCBE2" w14:textId="7B2CAE1A" w:rsidR="00865921" w:rsidRPr="004C6B04" w:rsidRDefault="00865921" w:rsidP="00865921">
      <w:pPr>
        <w:spacing w:line="360" w:lineRule="auto"/>
        <w:jc w:val="both"/>
        <w:rPr>
          <w:color w:val="000000" w:themeColor="text1"/>
        </w:rPr>
      </w:pPr>
      <w:r w:rsidRPr="004C6B04">
        <w:rPr>
          <w:color w:val="000000" w:themeColor="text1"/>
          <w:lang w:val="en-GB"/>
        </w:rPr>
        <w:t xml:space="preserve">We first used the Pairwise Sequentially Markovian Coalescent (PSMC 0.6.5)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{"citationItems":[{"id":"ITEM-1","itemData":{"DOI":"10.1038/nature10231","ISBN":"1476-4687 (Electronic)\\r0028-0836 (Linking)","ISSN":"0028-0836","PMID":"21753753","abstract":"The history of human population size is important for understanding human evolution. Various studies have found evidence for a founder event (bottleneck) in East Asian and European populations, associated with the human dispersal out-of-Africa event around 60 thousand years (kyr) ago. However, these studies have had to assume simplified demographic models with few parameters, and they do not provide a precise date for the start and stop times of the bottleneck. Here, with fewer assumptions on population size changes, we present a more detailed history of human population sizes between approximately ten thousand and a million years ago, using the pairwise sequentially Markovian coalescent model applied to the complete diploid genome sequences of a Chinese male (YH), a Korean male (SJK), three European individuals (J. C. Venter, NA12891 and NA12878 (ref. 9)) and two Yoruba males (NA18507 (ref. 10) and NA19239). We infer that European and Chinese populations had very similar population-size histories before 10-20 kyr ago. Both populations experienced a severe bottleneck 10-60 kyr ago, whereas African populations experienced a milder bottleneck from which they recovered earlier. All three populations have an elevated effective population size between 60 and 250 kyr ago, possibly due to population substructure. We also infer that the differentiation of genetically modern humans may have started as early as 100-120 kyr ago, but considerable genetic exchanges may still have occurred until 20-40 kyr ago.","author":[{"dropping-particle":"","family":"Li","given":"Heng","non-dropping-particle":"","parse-names":false,"suffix":""},{"dropping-particle":"","family":"Durbin","given":"Richard","non-dropping-particle":"","parse-names":false,"suffix":""}],"container-title":"Nature","id":"ITEM-1","issue":"7357","issued":{"date-parts":[["2011"]]},"page":"493-496","publisher":"Nature Publishing Group","title":"Inference of human population history from individual whole-genome sequences.","type":"article-journal","volume":"475"},"uris":["http://www.mendeley.com/documents/?uuid=d7e91a62-ab16-4c18-8ab2-575351d5d56a"]}],"mendeley":{"formattedCitation":"[14]","plainTextFormattedCitation":"[14]","previouslyFormattedCitation":"[14]"},"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[14]</w:t>
      </w:r>
      <w:r w:rsidRPr="004C6B04">
        <w:rPr>
          <w:color w:val="000000" w:themeColor="text1"/>
          <w:lang w:val="en-GB"/>
        </w:rPr>
        <w:fldChar w:fldCharType="end"/>
      </w:r>
      <w:r w:rsidRPr="004C6B04">
        <w:rPr>
          <w:color w:val="000000" w:themeColor="text1"/>
          <w:lang w:val="en-GB"/>
        </w:rPr>
        <w:t xml:space="preserve"> model to infer changes in the effective population sizes (</w:t>
      </w:r>
      <w:r w:rsidRPr="004C6B04">
        <w:rPr>
          <w:i/>
          <w:color w:val="000000" w:themeColor="text1"/>
          <w:lang w:val="en-GB"/>
        </w:rPr>
        <w:t>N</w:t>
      </w:r>
      <w:r w:rsidRPr="004C6B04">
        <w:rPr>
          <w:color w:val="000000" w:themeColor="text1"/>
          <w:vertAlign w:val="subscript"/>
          <w:lang w:val="en-GB"/>
        </w:rPr>
        <w:t>e</w:t>
      </w:r>
      <w:r w:rsidRPr="004C6B04">
        <w:rPr>
          <w:color w:val="000000" w:themeColor="text1"/>
          <w:lang w:val="en-GB"/>
        </w:rPr>
        <w:t xml:space="preserve">) of huia and South Island kōkako over time. This approach infers the distribution of the time to the most recent common ancestor (TMRCA) between the two alleles across all chromosomes using the density of heterozygous sites across the diploid genome of a single individual. Regions of low heterozygosity reflect recent coalescent events while regions of high heterozygosity reflect more ancient coalescent events. The rate of coalescent events in each segment is then informative about changes in </w:t>
      </w:r>
      <w:r w:rsidRPr="004C6B04">
        <w:rPr>
          <w:i/>
          <w:color w:val="000000" w:themeColor="text1"/>
          <w:lang w:val="en-GB"/>
        </w:rPr>
        <w:t>N</w:t>
      </w:r>
      <w:r w:rsidRPr="004C6B04">
        <w:rPr>
          <w:color w:val="000000" w:themeColor="text1"/>
          <w:vertAlign w:val="subscript"/>
          <w:lang w:val="en-GB"/>
        </w:rPr>
        <w:t>e</w:t>
      </w:r>
      <w:r w:rsidRPr="004C6B04" w:rsidDel="00931CE6">
        <w:rPr>
          <w:color w:val="000000" w:themeColor="text1"/>
          <w:lang w:val="en-GB"/>
        </w:rPr>
        <w:t xml:space="preserve"> </w:t>
      </w:r>
      <w:r w:rsidRPr="004C6B04">
        <w:rPr>
          <w:color w:val="000000" w:themeColor="text1"/>
          <w:lang w:val="en-GB"/>
        </w:rPr>
        <w:t xml:space="preserve">through time since the rate of coalescence is inversely proportional to </w:t>
      </w:r>
      <w:r w:rsidRPr="004C6B04">
        <w:rPr>
          <w:i/>
          <w:color w:val="000000" w:themeColor="text1"/>
          <w:lang w:val="en-GB"/>
        </w:rPr>
        <w:t>N</w:t>
      </w:r>
      <w:r w:rsidRPr="004C6B04">
        <w:rPr>
          <w:color w:val="000000" w:themeColor="text1"/>
          <w:vertAlign w:val="subscript"/>
          <w:lang w:val="en-GB"/>
        </w:rPr>
        <w:t>e</w:t>
      </w:r>
      <w:r w:rsidRPr="004C6B04">
        <w:rPr>
          <w:color w:val="000000" w:themeColor="text1"/>
          <w:lang w:val="en-GB"/>
        </w:rPr>
        <w:t xml:space="preserve">. We generated consensus sequences for all autosomes of historical and a subset of the modern genomes using SAMtools mpileup (v. 1.3)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{"citationItems":[{"id":"ITEM-1","itemData":{"DOI":"10.1093/bioinformatics/btp352","ISBN":"1367-4803\\r1460-2059","ISSN":"13674803","PMID":"19505943","abstract":"SUMMARY: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16","issued":{"date-parts":[["2009"]]},"page":"2078-2079","title":"The Sequence Alignment/Map format and SAMtools","type":"article-journal","volume":"25"},"uris":["http://www.mendeley.com/documents/?uuid=e3869fe4-739b-42fa-812b-ac704df6624c"]}],"mendeley":{"formattedCitation":"[13]","plainTextFormattedCitation":"[13]","previouslyFormattedCitation":"[13]"},"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[13]</w:t>
      </w:r>
      <w:r w:rsidRPr="004C6B04">
        <w:rPr>
          <w:color w:val="000000" w:themeColor="text1"/>
          <w:lang w:val="en-GB"/>
        </w:rPr>
        <w:fldChar w:fldCharType="end"/>
      </w:r>
      <w:r w:rsidRPr="004C6B04">
        <w:rPr>
          <w:color w:val="000000" w:themeColor="text1"/>
          <w:lang w:val="en-GB"/>
        </w:rPr>
        <w:t xml:space="preserve"> command and the ‘vcf2fq’ command from vcfutils.pl. We used filters for base quality, mapping quality and root-mean-squared mapping quality below 30, and depth below 1/3 and higher than 2-times the average coverage estimated for each specimen. In order to infer the distribution of the time to the most recent common ancestor (TMRCA) between the two copies of each chromosome from each individual across all autosomes, we set N (the number of iterations)=25, t (Tmax)=15 and p (atomic time interval)=64 (4+25*2+4+6,</w:t>
      </w:r>
      <w:r w:rsidRPr="004C6B04">
        <w:rPr>
          <w:b/>
          <w:color w:val="000000" w:themeColor="text1"/>
          <w:lang w:val="en-GB"/>
        </w:rPr>
        <w:t xml:space="preserve"> </w:t>
      </w:r>
      <w:r w:rsidRPr="004C6B04">
        <w:rPr>
          <w:color w:val="000000" w:themeColor="text1"/>
          <w:lang w:val="en-GB"/>
        </w:rPr>
        <w:t xml:space="preserve">for each of which parameters are estimated with 28 free interval parameters). </w:t>
      </w:r>
      <w:r w:rsidRPr="004C6B04">
        <w:rPr>
          <w:color w:val="000000" w:themeColor="text1"/>
        </w:rPr>
        <w:t xml:space="preserve">We scaled population parameters assuming a generation time of 6 years </w:t>
      </w:r>
      <w:r w:rsidRPr="004C6B04">
        <w:rPr>
          <w:color w:val="000000" w:themeColor="text1"/>
          <w:lang w:val="en-GB"/>
        </w:rPr>
        <w:fldChar w:fldCharType="begin" w:fldLock="1"/>
      </w:r>
      <w:r w:rsidR="00A23DBF" w:rsidRPr="004C6B04">
        <w:rPr>
          <w:color w:val="000000" w:themeColor="text1"/>
          <w:lang w:val="en-GB"/>
        </w:rPr>
        <w:instrText>ADDIN CSL_CITATION {"citationItems":[{"id":"ITEM-1","itemData":{"ISBN":"0478219547","author":[{"dropping-particle":"","family":"Double","given":"Michael","non-dropping-particle":"","parse-names":false,"suffix":""},{"dropping-particle":"","family":"Murphy","given":"Steve","non-dropping-particle":"","parse-names":false,"suffix":""}],"container-title":"New Zealand Dept of conservation","id":"ITEM-1","issued":{"date-parts":[["2000"]]},"title":"Genetic variation within and among populations of North Island kokako","type":"article-journal"},"uris":["http://www.mendeley.com/documents/?uuid=ca3a7b32-bc00-4129-ab09-faf8223f7c9a"]},{"id":"ITEM-2","itemData":{"DOI":"10.1111/j.1365-2656.2004.00908.x","ISSN":"00218790","abstract":"1. Reintroductions provide a good opportunity to study density-dependent population growth, as populations can be studied at a range of densities and the change in density is not confounded with environmental conditions. An understanding of density dependence is also necessary to predict dynamics of reintroduced populations under different management regimens, and assess the extent to which they can be harvested for further reintroductions.   2. We monitored a North Island saddleback (Philesturnus rufusater) population for 6 years after reintroduction to Mokoia, a 135 ha island in New Zealand that was made suitable for saddlebacks by eradicating introduced Norway rats (Rattus norvegicus). We modelled adult and juvenile survival using Program MARK, and modelled numbers of young fledged per pair using Proc Mixed in SAS with individual female as a random factor.  3. Juvenile survival clearly declined as the population increased, and the decline was closely correlated with the number of breeding pairs. Reproduction also showed a clear decline that was explained by two factors: a difference in quality between territories occupied immediately after reintroduction and those occupied later, and an overall decline as the number of pairs increased. Reproduction was also strongly affected by age, and this needed to be accounted for when modelling density dependence.  4. A stochastic simulation model incorporating these dynamics closely predicted the observed population growth. The equilibrium population size was insensitive to density dependence in reproduction, but highly sensitive to density dependence in juvenile survival.  5. The model is being used to plan management strategies for potential reintroductions of saddlebacks to mainland areas with predator control. The species is currently confined to predator-free islands and one fenced mainland sanctuary.","author":[{"dropping-particle":"","family":"Armstrong","given":"Doug P.","non-dropping-particle":"","parse-names":false,"suffix":""},{"dropping-particle":"","family":"Davidson","given":"R. Scott","non-dropping-particle":"","parse-names":false,"suffix":""},{"dropping-particle":"","family":"Perrott","given":"John K.","non-dropping-particle":"","parse-names":false,"suffix":""},{"dropping-particle":"","family":"Roygard","given":"Jon","non-dropping-particle":"","parse-names":false,"suffix":""},{"dropping-particle":"","family":"Buchanan","given":"Len","non-dropping-particle":"","parse-names":false,"suffix":""}],"container-title":"Journal of Animal Ecology","id":"ITEM-2","issue":"1","issued":{"date-parts":[["2005"]]},"page":"160-170","title":"Density-dependent population growth in a reintroduced population of North Island saddlebacks","type":"article-journal","volume":"74"},"uris":["http://www.mendeley.com/documents/?uuid=0f2e046b-7dd6-405b-86a6-181a7aa099ca"]}],"mendeley":{"formattedCitation":"[15,16]","plainTextFormattedCitation":"[15,16]","previouslyFormattedCitation":"[15,16]"},"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[15,16]</w:t>
      </w:r>
      <w:r w:rsidRPr="004C6B04">
        <w:rPr>
          <w:color w:val="000000" w:themeColor="text1"/>
          <w:lang w:val="en-GB"/>
        </w:rPr>
        <w:fldChar w:fldCharType="end"/>
      </w:r>
      <w:r w:rsidRPr="004C6B04">
        <w:rPr>
          <w:color w:val="000000" w:themeColor="text1"/>
          <w:lang w:val="en-GB"/>
        </w:rPr>
        <w:t xml:space="preserve"> </w:t>
      </w:r>
      <w:r w:rsidRPr="004C6B04">
        <w:rPr>
          <w:color w:val="000000" w:themeColor="text1"/>
        </w:rPr>
        <w:t xml:space="preserve">and a </w:t>
      </w:r>
      <w:r w:rsidR="00DC4E21" w:rsidRPr="004C6B04">
        <w:rPr>
          <w:color w:val="000000" w:themeColor="text1"/>
        </w:rPr>
        <w:t>substitution</w:t>
      </w:r>
      <w:r w:rsidRPr="004C6B04">
        <w:rPr>
          <w:color w:val="000000" w:themeColor="text1"/>
        </w:rPr>
        <w:t xml:space="preserve"> rate of </w:t>
      </w:r>
      <w:r w:rsidRPr="004C6B04">
        <w:rPr>
          <w:color w:val="000000" w:themeColor="text1"/>
          <w:lang w:val="en-GB"/>
        </w:rPr>
        <w:t>1.38×10</w:t>
      </w:r>
      <w:r w:rsidRPr="004C6B04">
        <w:rPr>
          <w:color w:val="000000" w:themeColor="text1"/>
          <w:vertAlign w:val="superscript"/>
          <w:lang w:val="en-GB"/>
        </w:rPr>
        <w:t xml:space="preserve">−8 </w:t>
      </w:r>
      <w:r w:rsidRPr="004C6B04">
        <w:rPr>
          <w:color w:val="000000" w:themeColor="text1"/>
        </w:rPr>
        <w:t xml:space="preserve">substitutions/site/generation, </w:t>
      </w:r>
      <w:r w:rsidR="00D3575A" w:rsidRPr="004C6B04">
        <w:rPr>
          <w:color w:val="000000" w:themeColor="text1"/>
        </w:rPr>
        <w:t>inferred from a rate of</w:t>
      </w:r>
      <w:r w:rsidRPr="004C6B04">
        <w:rPr>
          <w:color w:val="000000" w:themeColor="text1"/>
        </w:rPr>
        <w:t xml:space="preserve"> 2.3×10</w:t>
      </w:r>
      <w:r w:rsidRPr="004C6B04">
        <w:rPr>
          <w:color w:val="000000" w:themeColor="text1"/>
          <w:vertAlign w:val="superscript"/>
        </w:rPr>
        <w:t>−9</w:t>
      </w:r>
      <w:r w:rsidRPr="004C6B04">
        <w:rPr>
          <w:color w:val="000000" w:themeColor="text1"/>
        </w:rPr>
        <w:t xml:space="preserve"> substitutions/site/year</w:t>
      </w:r>
      <w:r w:rsidR="00D3575A" w:rsidRPr="004C6B04">
        <w:rPr>
          <w:color w:val="000000" w:themeColor="text1"/>
        </w:rPr>
        <w:t xml:space="preserve"> </w:t>
      </w:r>
      <w:r w:rsidRPr="004C6B04">
        <w:rPr>
          <w:color w:val="000000" w:themeColor="text1"/>
        </w:rPr>
        <w:t xml:space="preserve">as estimated form bird pedigree data </w:t>
      </w:r>
      <w:r w:rsidRPr="004C6B04">
        <w:rPr>
          <w:color w:val="000000" w:themeColor="text1"/>
          <w:lang w:val="en-GB"/>
        </w:rPr>
        <w:fldChar w:fldCharType="begin" w:fldLock="1"/>
      </w:r>
      <w:r w:rsidR="00A23DBF" w:rsidRPr="004C6B04">
        <w:rPr>
          <w:color w:val="000000" w:themeColor="text1"/>
          <w:lang w:val="en-GB"/>
        </w:rPr>
        <w:instrText>ADDIN CSL_CITATION {"citationItems":[{"id":"ITEM-1","itemData":{"DOI":"10.1101/gr.204669.116","ISBN":"1088-9051","ISSN":"15495469","PMID":"27412854","abstract":"The fidelity of DNA replication together with repair mechanisms ensure that the genetic material is properly copied from one generation to another. However, at the extremely rare occasions when damages to DNA or replication errors are not repaired, germline mutations can be transmitted to the next generation. Because of the rarity of these events, studying the rate at which new mutation arise across organisms has been a great challenge, especially in multicellular non-model organisms with large genomes. We sequenced the genomes of 11 birds from a three-generation pedigree of the collared flycatcher (Ficedula albicollis) and used highly stringent bioinformatic criteria for mutation detection, and several procedures to validate mutations including following the stable inheritance of new mutations to subsequent generations. We identified 55 de novo mutations with a 10-fold enrichment of mutations at CpG sites and with only a modest male mutation bias. The estimated rate of mutation per site per generation was 4.6 x 10-9, which corresponds to 2.3 x 10-9 mutations per site per year. Compared to mammals, this is similar to mouse but about half that reported for humans, which may be due to the higher frequency of male mutations in man. We confirm that mutation rate scales positively with genome size and that there is a strong negative relationship between mutation rate and effective population size, in line with the drift-barrier hypothesis. Our study illustrates that it should be feasible to obtain direct estimates of the rate of mutation in essentially any organism from which family material can be obtained.","author":[{"dropping-particle":"","family":"Smeds","given":"Linnéa","non-dropping-particle":"","parse-names":false,"suffix":""},{"dropping-particle":"","family":"Qvarnström","given":"Anna","non-dropping-particle":"","parse-names":false,"suffix":""},{"dropping-particle":"","family":"Ellegren","given":"Hans","non-dropping-particle":"","parse-names":false,"suffix":""}],"container-title":"Genome Research","id":"ITEM-1","issue":"9","issued":{"date-parts":[["2016"]]},"page":"1211-1218","title":"Direct estimate of the rate of germline mutation in a bird","type":"article-journal","volume":"26"},"uris":["http://www.mendeley.com/documents/?uuid=5e96fa6f-4773-4f34-af90-2a3aa8ab2b01"]}],"mendeley":{"formattedCitation":"[17]","plainTextFormattedCitation":"[17]","previouslyFormattedCitation":"[17]"},"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[17]</w:t>
      </w:r>
      <w:r w:rsidRPr="004C6B04">
        <w:rPr>
          <w:color w:val="000000" w:themeColor="text1"/>
          <w:lang w:val="en-GB"/>
        </w:rPr>
        <w:fldChar w:fldCharType="end"/>
      </w:r>
      <w:r w:rsidRPr="004C6B04">
        <w:rPr>
          <w:color w:val="000000" w:themeColor="text1"/>
        </w:rPr>
        <w:t xml:space="preserve">. </w:t>
      </w:r>
      <w:r w:rsidR="00DC4E21" w:rsidRPr="004C6B04">
        <w:rPr>
          <w:color w:val="000000" w:themeColor="text1"/>
        </w:rPr>
        <w:t>As a comparison</w:t>
      </w:r>
      <w:r w:rsidR="001340F7" w:rsidRPr="004C6B04">
        <w:rPr>
          <w:color w:val="000000" w:themeColor="text1"/>
        </w:rPr>
        <w:t xml:space="preserve"> and in order to account for variation in substitution rates among passerines</w:t>
      </w:r>
      <w:r w:rsidR="00DC4E21" w:rsidRPr="004C6B04">
        <w:rPr>
          <w:color w:val="000000" w:themeColor="text1"/>
        </w:rPr>
        <w:t>, we also used a rate of</w:t>
      </w:r>
      <w:r w:rsidR="00807FBC" w:rsidRPr="004C6B04">
        <w:rPr>
          <w:color w:val="000000" w:themeColor="text1"/>
        </w:rPr>
        <w:t xml:space="preserve"> </w:t>
      </w:r>
      <w:r w:rsidR="00DC4E21" w:rsidRPr="004C6B04">
        <w:rPr>
          <w:color w:val="000000" w:themeColor="text1"/>
          <w:lang w:val="en-GB"/>
        </w:rPr>
        <w:t>1.92×10</w:t>
      </w:r>
      <w:r w:rsidR="00DC4E21" w:rsidRPr="004C6B04">
        <w:rPr>
          <w:color w:val="000000" w:themeColor="text1"/>
          <w:vertAlign w:val="superscript"/>
          <w:lang w:val="en-GB"/>
        </w:rPr>
        <w:t>−8</w:t>
      </w:r>
      <w:r w:rsidR="00D3575A" w:rsidRPr="004C6B04">
        <w:rPr>
          <w:color w:val="000000" w:themeColor="text1"/>
          <w:vertAlign w:val="superscript"/>
          <w:lang w:val="en-GB"/>
        </w:rPr>
        <w:t xml:space="preserve"> </w:t>
      </w:r>
      <w:r w:rsidR="00DC4E21" w:rsidRPr="004C6B04">
        <w:rPr>
          <w:color w:val="000000" w:themeColor="text1"/>
        </w:rPr>
        <w:t xml:space="preserve">substitutions/site/generation </w:t>
      </w:r>
      <w:r w:rsidR="00D3575A" w:rsidRPr="004C6B04">
        <w:rPr>
          <w:color w:val="000000" w:themeColor="text1"/>
        </w:rPr>
        <w:t xml:space="preserve">inferred </w:t>
      </w:r>
      <w:r w:rsidR="00DC4E21" w:rsidRPr="004C6B04">
        <w:rPr>
          <w:color w:val="000000" w:themeColor="text1"/>
        </w:rPr>
        <w:t>from</w:t>
      </w:r>
      <w:r w:rsidR="00D3575A" w:rsidRPr="004C6B04">
        <w:rPr>
          <w:color w:val="000000" w:themeColor="text1"/>
        </w:rPr>
        <w:t xml:space="preserve"> a</w:t>
      </w:r>
      <w:r w:rsidR="00DC4E21" w:rsidRPr="004C6B04">
        <w:rPr>
          <w:color w:val="000000" w:themeColor="text1"/>
        </w:rPr>
        <w:t xml:space="preserve"> </w:t>
      </w:r>
      <w:r w:rsidR="00D3575A" w:rsidRPr="004C6B04">
        <w:rPr>
          <w:color w:val="000000" w:themeColor="text1"/>
        </w:rPr>
        <w:t xml:space="preserve">passerine-specific </w:t>
      </w:r>
      <w:r w:rsidR="00DC4E21" w:rsidRPr="004C6B04">
        <w:rPr>
          <w:color w:val="000000" w:themeColor="text1"/>
        </w:rPr>
        <w:t>rate of</w:t>
      </w:r>
      <w:r w:rsidR="00807FBC" w:rsidRPr="004C6B04">
        <w:rPr>
          <w:color w:val="000000" w:themeColor="text1"/>
        </w:rPr>
        <w:t xml:space="preserve"> </w:t>
      </w:r>
      <w:r w:rsidR="00FB3F32" w:rsidRPr="004C6B04">
        <w:rPr>
          <w:color w:val="000000" w:themeColor="text1"/>
        </w:rPr>
        <w:t>3.</w:t>
      </w:r>
      <w:r w:rsidR="00DC4E21" w:rsidRPr="004C6B04">
        <w:rPr>
          <w:color w:val="000000" w:themeColor="text1"/>
        </w:rPr>
        <w:t>2</w:t>
      </w:r>
      <w:r w:rsidR="00FB3F32" w:rsidRPr="004C6B04">
        <w:rPr>
          <w:color w:val="000000" w:themeColor="text1"/>
        </w:rPr>
        <w:t>×10</w:t>
      </w:r>
      <w:r w:rsidR="00FB3F32" w:rsidRPr="004C6B04">
        <w:rPr>
          <w:color w:val="000000" w:themeColor="text1"/>
          <w:vertAlign w:val="superscript"/>
        </w:rPr>
        <w:t>−9</w:t>
      </w:r>
      <w:r w:rsidR="00D3575A" w:rsidRPr="004C6B04">
        <w:rPr>
          <w:color w:val="000000" w:themeColor="text1"/>
          <w:vertAlign w:val="superscript"/>
        </w:rPr>
        <w:t xml:space="preserve"> </w:t>
      </w:r>
      <w:r w:rsidR="00DC4E21" w:rsidRPr="004C6B04">
        <w:rPr>
          <w:color w:val="000000" w:themeColor="text1"/>
        </w:rPr>
        <w:t>substitutions/site/</w:t>
      </w:r>
      <w:r w:rsidR="003354FF" w:rsidRPr="004C6B04">
        <w:rPr>
          <w:color w:val="000000" w:themeColor="text1"/>
        </w:rPr>
        <w:t>year</w:t>
      </w:r>
      <w:r w:rsidR="00DC4E21" w:rsidRPr="004C6B04">
        <w:rPr>
          <w:color w:val="000000" w:themeColor="text1"/>
        </w:rPr>
        <w:t xml:space="preserve"> </w:t>
      </w:r>
      <w:r w:rsidR="001340F7" w:rsidRPr="004C6B04">
        <w:rPr>
          <w:color w:val="000000" w:themeColor="text1"/>
        </w:rPr>
        <w:t xml:space="preserve">from </w:t>
      </w:r>
      <w:r w:rsidR="00D3575A" w:rsidRPr="004C6B04">
        <w:rPr>
          <w:color w:val="000000" w:themeColor="text1"/>
        </w:rPr>
        <w:t xml:space="preserve">Zhang </w:t>
      </w:r>
      <w:r w:rsidR="00D3575A" w:rsidRPr="004C6B04">
        <w:rPr>
          <w:i/>
          <w:color w:val="000000" w:themeColor="text1"/>
        </w:rPr>
        <w:t>et al.</w:t>
      </w:r>
      <w:r w:rsidR="00D3575A" w:rsidRPr="004C6B04">
        <w:rPr>
          <w:color w:val="000000" w:themeColor="text1"/>
        </w:rPr>
        <w:t xml:space="preserve"> </w:t>
      </w:r>
      <w:r w:rsidR="0081066F" w:rsidRPr="0081066F">
        <w:rPr>
          <w:color w:val="000000" w:themeColor="text1"/>
          <w:lang w:val="en-GB"/>
        </w:rPr>
        <w:fldChar w:fldCharType="begin" w:fldLock="1"/>
      </w:r>
      <w:r w:rsidR="0081066F" w:rsidRPr="0081066F">
        <w:rPr>
          <w:color w:val="000000" w:themeColor="text1"/>
          <w:lang w:val="en-GB"/>
        </w:rPr>
        <w:instrText>ADDIN CSL_CITATION {"citationItems":[{"id":"ITEM-1","itemData":{"author":[{"dropping-particle":"","family":"Zhang","given":"Guojie","non-dropping-particle":"","parse-names":false,"suffix":""},{"dropping-particle":"","family":"Li","given":"Cai","non-dropping-particle":"","parse-names":false,"suffix":""},{"dropping-particle":"","family":"Li","given":"Qiye","non-dropping-particle":"","parse-names":false,"suffix":""},{"dropping-particle":"","family":"Li","given":"Bo","non-dropping-particle":"","parse-names":false,"suffix":""},{"dropping-particle":"","family":"Larkin","given":"Denis M","non-dropping-particle":"","parse-names":false,"suffix":""},{"dropping-particle":"","family":"Lee","given":"Chul","non-dropping-particle":"","parse-names":false,"suffix":""},{"dropping-particle":"","family":"Storz","given":"Jay F","non-dropping-particle":"","parse-names":false,"suffix":""},{"dropping-particle":"","family":"Antunes","given":"Agostinho","non-dropping-particle":"","parse-names":false,"suffix":""},{"dropping-particle":"","family":"Greenwold","given":"Matthew J","non-dropping-particle":"","parse-names":false,"suffix":""},{"dropping-particle":"","family":"Meredith","given":"Robert W","non-dropping-particle":"","parse-names":false,"suffix":""},{"dropping-particle":"","family":"Zeng","given":"Yongli","non-dropping-particle":"","parse-names":false,"suffix":""},{"dropping-particle":"","family":"Xiong","given":"Zijun","non-dropping-particle":"","parse-names":false,"suffix":""},{"dropping-particle":"","family":"Liu","given":"Shiping","non-dropping-particle":"","parse-names":false,"suffix":""},{"dropping-particle":"","family":"Zhou","given":"Long","non-dropping-particle":"","parse-names":false,"suffix":""},{"dropping-particle":"","family":"Huang","given":"Zhiyong","non-dropping-particle":"","parse-names":false,"suffix":""},{"dropping-particle":"","family":"An","given":"Na","non-dropping-particle":"","parse-names":false,"suffix":""},{"dropping-particle":"","family":"Wang","given":"Jie","non-dropping-particle":"","parse-names":false,"suffix":""},{"dropping-particle":"","family":"Zheng","given":"Qiumei","non-dropping-particle":"","parse-names":false,"suffix":""},{"dropping-particle":"","family":"Xiong","given":"Yingqi","non-dropping-particle":"","parse-names":false,"suffix":""},{"dropping-particle":"","family":"Wang","given":"Guangbiao","non-dropping-particle":"","parse-names":false,"suffix":""},{"dropping-particle":"","family":"Wang","given":"Bo","non-dropping-particle":"","parse-names":false,"suffix":""},{"dropping-particle":"","family":"Wang","given":"Jingjing","non-dropping-particle":"","parse-names":false,"suffix":""},{"dropping-particle":"","family":"Fan","given":"Yu","non-dropping-particle":"","parse-names":false,"suffix":""},{"dropping-particle":"","family":"Fonseca","given":"Rute R","non-dropping-particle":"","parse-names":false,"suffix":""},{"dropping-particle":"","family":"Alfaro-núñez","given":"Alonzo","non-dropping-particle":"","parse-names":false,"suffix":""},{"dropping-particle":"","family":"Schubert","given":"Mikkel","non-dropping-particle":"","parse-names":false,"suffix":""},{"dropping-particle":"","family":"Orlando","given":"Ludovic","non-dropping-particle":"","parse-names":false,"suffix":""},{"dropping-particle":"","family":"Mourier","given":"Tobias","non-dropping-particle":"","parse-names":false,"suffix":""},{"dropping-particle":"","family":"Howard","given":"Jason T","non-dropping-particle":"","parse-names":false,"suffix":""},{"dropping-particle":"","family":"Ganapathy","given":"Ganeshkumar","non-dropping-particle":"","parse-names":false,"suffix":""}],"container-title":"Science (New York, N.Y.)","id":"ITEM-1","issue":"6215","issued":{"date-parts":[["2014"]]},"page":"1311-1321","title":"Comparative genomics reveals insights into avian genome evolution and adaptation","type":"article-journal","volume":"346"},"uris":["http://www.mendeley.com/documents/?uuid=d1e8d309-1cd9-47a8-8bd3-5ed7f36fd82c"]}],"mendeley":{"formattedCitation":"[18]","plainTextFormattedCitation":"[18]","previouslyFormattedCitation":"[24]"},"properties":{"noteIndex":0},"schema":"https://github.com/citation-style-language/schema/raw/master/csl-citation.json"}</w:instrText>
      </w:r>
      <w:r w:rsidR="0081066F" w:rsidRPr="0081066F">
        <w:rPr>
          <w:color w:val="000000" w:themeColor="text1"/>
          <w:lang w:val="en-GB"/>
        </w:rPr>
        <w:fldChar w:fldCharType="separate"/>
      </w:r>
      <w:r w:rsidR="0081066F" w:rsidRPr="0081066F">
        <w:rPr>
          <w:noProof/>
          <w:color w:val="000000" w:themeColor="text1"/>
          <w:lang w:val="en-GB"/>
        </w:rPr>
        <w:t>[18]</w:t>
      </w:r>
      <w:r w:rsidR="0081066F" w:rsidRPr="0081066F">
        <w:rPr>
          <w:color w:val="000000" w:themeColor="text1"/>
          <w:lang w:val="en-GB"/>
        </w:rPr>
        <w:fldChar w:fldCharType="end"/>
      </w:r>
      <w:r w:rsidR="003D65B1" w:rsidRPr="004C6B04">
        <w:rPr>
          <w:color w:val="000000" w:themeColor="text1"/>
        </w:rPr>
        <w:t xml:space="preserve"> (Fig. S2).</w:t>
      </w:r>
    </w:p>
    <w:p w14:paraId="0EC12785" w14:textId="1B73AE5C" w:rsidR="00F81887" w:rsidRPr="004C6B04" w:rsidRDefault="00F81887" w:rsidP="006726E9">
      <w:pPr>
        <w:spacing w:line="360" w:lineRule="auto"/>
        <w:ind w:firstLine="720"/>
        <w:jc w:val="both"/>
        <w:rPr>
          <w:color w:val="000000" w:themeColor="text1"/>
          <w:lang w:val="en-GB"/>
        </w:rPr>
      </w:pPr>
      <w:r w:rsidRPr="004C6B04">
        <w:rPr>
          <w:color w:val="000000" w:themeColor="text1"/>
          <w:lang w:val="en-GB"/>
        </w:rPr>
        <w:t xml:space="preserve">Because </w:t>
      </w:r>
      <w:r w:rsidRPr="004C6B04">
        <w:rPr>
          <w:rFonts w:ascii="Courier New" w:hAnsi="Courier New" w:cs="Courier New"/>
          <w:color w:val="000000" w:themeColor="text1"/>
          <w:lang w:val="en-GB"/>
        </w:rPr>
        <w:t>﻿</w:t>
      </w:r>
      <w:r w:rsidRPr="004C6B04">
        <w:rPr>
          <w:color w:val="000000" w:themeColor="text1"/>
          <w:lang w:val="en-GB"/>
        </w:rPr>
        <w:t xml:space="preserve">PSMC has high false-negative rates at low coverage genomes (&lt; 18X), which can lead to biases in the estimate of timing and magnitude of population events </w:t>
      </w:r>
      <w:r w:rsidRPr="004C6B04">
        <w:rPr>
          <w:color w:val="000000" w:themeColor="text1"/>
          <w:lang w:val="en-GB"/>
        </w:rPr>
        <w:fldChar w:fldCharType="begin" w:fldLock="1"/>
      </w:r>
      <w:r w:rsidR="00B84B07" w:rsidRPr="004C6B04">
        <w:rPr>
          <w:color w:val="000000" w:themeColor="text1"/>
          <w:lang w:val="en-GB"/>
        </w:rPr>
        <w:instrText>ADDIN CSL_CITATION {"citationItems":[{"id":"ITEM-1","itemData":{"DOI":"10.1111/mec.13540","ISBN":"1365-294X","ISSN":"1365294X","PMID":"26797914","abstract":"Climatic fluctuations during the Quaternary period governed the demography of species and contributed to population differentiation and ultimately speciation. Studies of these past processes have previously been hindered by a lack of means and genetic data to model changes in effective population size (Ne ) through time. However, based on diploid genome sequences of high quality, the recently developed pairwise sequentially Markovian coalescent (PSMC) can estimate trajectories of changes in Ne over considerable time periods. We applied this approach to resequencing data from nearly 200 genomes of four species and several populations of the Ficedula species complex of black-and-white flycatchers. Ne curves of Atlas, collared, pied and semicollared flycatcher converged 1-2 million years ago (Ma) at an Ne of approximately 200 000, likely reflecting the time when all four species last shared a common ancestor. Subsequent separate Ne trajectories are consistent with lineage splitting and speciation. All species showed evidence of population growth up until 100-200 thousand years ago (kya), followed by decline and then start of a new phase of population expansion. However, timing and amplitude of changes in Ne differed among species, and for pied flycatcher, the temporal dynamics of Ne differed between Spanish birds and central/northern European populations. This cautions against extrapolation of demographic inference between lineages and calls for adequate sampling to provide representative pictures of the coalescence process in different species or populations. We also empirically evaluate criteria for proper inference of demographic histories using PSMC and arrive at recommendations of using sequencing data with a mean genome coverage of &gt;/=18X, a per-site filter of &gt;/=10 reads and no more than 25% of missing data.","author":[{"dropping-particle":"","family":"Nadachowska-Brzyska","given":"Krystyna","non-dropping-particle":"","parse-names":false,"suffix":""},{"dropping-particle":"","family":"Burri","given":"Reto","non-dropping-particle":"","parse-names":false,"suffix":""},{"dropping-particle":"","family":"Smeds","given":"Linn??a","non-dropping-particle":"","parse-names":false,"suffix":""},{"dropping-particle":"","family":"Ellegren","given":"Hans","non-dropping-particle":"","parse-names":false,"suffix":""}],"container-title":"Molecular Ecology","id":"ITEM-1","issue":"5","issued":{"date-parts":[["2016"]]},"page":"1058-1072","title":"PSMC analysis of effective population sizes in molecular ecology and its application to black-and-white Ficedula flycatchers","type":"article-journal","volume":"25"},"uris":["http://www.mendeley.com/documents/?uuid=2805435e-f5e6-43d8-9a40-f7a16f97b0ef"]}],"mendeley":{"formattedCitation":"[19]","plainTextFormattedCitation":"[19]","previouslyFormattedCitation":"[19]"},"properties":{"noteIndex":0},"schema":"https://github.com/citation-style-language/schema/raw/master/csl-citation.json"}</w:instrText>
      </w:r>
      <w:r w:rsidRPr="004C6B04">
        <w:rPr>
          <w:color w:val="000000" w:themeColor="text1"/>
          <w:lang w:val="en-GB"/>
        </w:rPr>
        <w:fldChar w:fldCharType="separate"/>
      </w:r>
      <w:r w:rsidRPr="004C6B04">
        <w:rPr>
          <w:noProof/>
          <w:color w:val="000000" w:themeColor="text1"/>
          <w:lang w:val="en-GB"/>
        </w:rPr>
        <w:t>[19]</w:t>
      </w:r>
      <w:r w:rsidRPr="004C6B04">
        <w:rPr>
          <w:color w:val="000000" w:themeColor="text1"/>
          <w:lang w:val="en-GB"/>
        </w:rPr>
        <w:fldChar w:fldCharType="end"/>
      </w:r>
      <w:r w:rsidRPr="004C6B04">
        <w:rPr>
          <w:color w:val="000000" w:themeColor="text1"/>
          <w:lang w:val="en-GB"/>
        </w:rPr>
        <w:t>, we performed a uniform False Negative Rate (uFNR) correction to the PSMC</w:t>
      </w:r>
      <w:r w:rsidR="00E34852" w:rsidRPr="004C6B04">
        <w:rPr>
          <w:color w:val="000000" w:themeColor="text1"/>
          <w:lang w:val="en-GB"/>
        </w:rPr>
        <w:t xml:space="preserve"> for the two genomes</w:t>
      </w:r>
      <w:r w:rsidRPr="004C6B04">
        <w:rPr>
          <w:color w:val="000000" w:themeColor="text1"/>
          <w:lang w:val="en-GB"/>
        </w:rPr>
        <w:t xml:space="preserve"> by using the option -M of the script</w:t>
      </w:r>
      <w:r w:rsidR="00E34852" w:rsidRPr="004C6B04">
        <w:rPr>
          <w:color w:val="000000" w:themeColor="text1"/>
          <w:lang w:val="en-GB"/>
        </w:rPr>
        <w:t xml:space="preserve"> and using </w:t>
      </w:r>
      <w:r w:rsidR="00CA407E" w:rsidRPr="004C6B04">
        <w:rPr>
          <w:color w:val="000000" w:themeColor="text1"/>
          <w:lang w:val="en-GB"/>
        </w:rPr>
        <w:t>u</w:t>
      </w:r>
      <w:r w:rsidR="00E34852" w:rsidRPr="004C6B04">
        <w:rPr>
          <w:color w:val="000000" w:themeColor="text1"/>
          <w:lang w:val="en-GB"/>
        </w:rPr>
        <w:t>FNR of 0.2 and 0.</w:t>
      </w:r>
      <w:r w:rsidR="00CA407E" w:rsidRPr="004C6B04">
        <w:rPr>
          <w:color w:val="000000" w:themeColor="text1"/>
          <w:lang w:val="en-GB"/>
        </w:rPr>
        <w:t>4</w:t>
      </w:r>
      <w:r w:rsidR="001D58CA" w:rsidRPr="004C6B04">
        <w:rPr>
          <w:color w:val="000000" w:themeColor="text1"/>
          <w:lang w:val="en-GB"/>
        </w:rPr>
        <w:t xml:space="preserve"> as described in the PSMC </w:t>
      </w:r>
      <w:r w:rsidR="001D58CA" w:rsidRPr="004C6B04">
        <w:rPr>
          <w:color w:val="000000" w:themeColor="text1"/>
          <w:lang w:val="en-GB"/>
        </w:rPr>
        <w:lastRenderedPageBreak/>
        <w:t>manual.</w:t>
      </w:r>
      <w:r w:rsidR="00CA407E" w:rsidRPr="004C6B04">
        <w:rPr>
          <w:color w:val="000000" w:themeColor="text1"/>
          <w:lang w:val="en-GB"/>
        </w:rPr>
        <w:t xml:space="preserve"> </w:t>
      </w:r>
      <w:r w:rsidR="00CA407E" w:rsidRPr="004C6B04">
        <w:rPr>
          <w:rFonts w:ascii="Courier New" w:hAnsi="Courier New" w:cs="Courier New"/>
          <w:color w:val="000000" w:themeColor="text1"/>
          <w:lang w:val="en-GB"/>
        </w:rPr>
        <w:t>﻿</w:t>
      </w:r>
      <w:r w:rsidR="006726E9" w:rsidRPr="004C6B04">
        <w:rPr>
          <w:color w:val="000000" w:themeColor="text1"/>
          <w:lang w:val="en-GB"/>
        </w:rPr>
        <w:t xml:space="preserve">While the PSMC without uFNR correction  showed a reduced timing and lower </w:t>
      </w:r>
      <w:r w:rsidR="006726E9" w:rsidRPr="004C6B04">
        <w:rPr>
          <w:i/>
          <w:color w:val="000000" w:themeColor="text1"/>
          <w:lang w:val="en-GB"/>
        </w:rPr>
        <w:t>N</w:t>
      </w:r>
      <w:r w:rsidR="006726E9" w:rsidRPr="004C6B04">
        <w:rPr>
          <w:color w:val="000000" w:themeColor="text1"/>
          <w:vertAlign w:val="subscript"/>
          <w:lang w:val="en-GB"/>
        </w:rPr>
        <w:t>e</w:t>
      </w:r>
      <w:r w:rsidR="006726E9" w:rsidRPr="004C6B04">
        <w:rPr>
          <w:color w:val="000000" w:themeColor="text1"/>
          <w:lang w:val="en-GB"/>
        </w:rPr>
        <w:t xml:space="preserve"> estimates for the two species, the overall </w:t>
      </w:r>
      <w:r w:rsidR="00FD3F81" w:rsidRPr="004C6B04">
        <w:rPr>
          <w:color w:val="000000" w:themeColor="text1"/>
          <w:lang w:val="en-GB"/>
        </w:rPr>
        <w:t>the</w:t>
      </w:r>
      <w:r w:rsidR="00CA407E" w:rsidRPr="004C6B04">
        <w:rPr>
          <w:color w:val="000000" w:themeColor="text1"/>
          <w:lang w:val="en-GB"/>
        </w:rPr>
        <w:t xml:space="preserve"> demographic trajectories were similar across tests </w:t>
      </w:r>
      <w:r w:rsidR="006726E9" w:rsidRPr="004C6B04">
        <w:rPr>
          <w:color w:val="000000" w:themeColor="text1"/>
          <w:lang w:val="en-GB"/>
        </w:rPr>
        <w:t>with or without correction</w:t>
      </w:r>
      <w:r w:rsidR="007932AF" w:rsidRPr="004C6B04">
        <w:rPr>
          <w:color w:val="000000" w:themeColor="text1"/>
          <w:lang w:val="en-GB"/>
        </w:rPr>
        <w:t xml:space="preserve"> (Fig. 2, S</w:t>
      </w:r>
      <w:r w:rsidR="003D65B1" w:rsidRPr="004C6B04">
        <w:rPr>
          <w:color w:val="000000" w:themeColor="text1"/>
          <w:lang w:val="en-GB"/>
        </w:rPr>
        <w:t>3</w:t>
      </w:r>
      <w:r w:rsidR="007932AF" w:rsidRPr="004C6B04">
        <w:rPr>
          <w:color w:val="000000" w:themeColor="text1"/>
          <w:lang w:val="en-GB"/>
        </w:rPr>
        <w:t>)</w:t>
      </w:r>
      <w:r w:rsidR="006726E9" w:rsidRPr="004C6B04">
        <w:rPr>
          <w:color w:val="000000" w:themeColor="text1"/>
          <w:lang w:val="en-GB"/>
        </w:rPr>
        <w:t>.</w:t>
      </w:r>
    </w:p>
    <w:p w14:paraId="7ED962EE" w14:textId="4D14FB63" w:rsidR="00865921" w:rsidRPr="004C6B04" w:rsidRDefault="00865921" w:rsidP="00865921">
      <w:pPr>
        <w:spacing w:line="360" w:lineRule="auto"/>
        <w:jc w:val="both"/>
        <w:rPr>
          <w:i/>
          <w:color w:val="000000" w:themeColor="text1"/>
          <w:lang w:val="en-GB"/>
        </w:rPr>
      </w:pPr>
      <w:r w:rsidRPr="004C6B04">
        <w:rPr>
          <w:color w:val="000000" w:themeColor="text1"/>
          <w:lang w:val="en-GB"/>
        </w:rPr>
        <w:tab/>
        <w:t>Secondly, we estimated</w:t>
      </w:r>
      <w:r w:rsidRPr="004C6B04">
        <w:rPr>
          <w:i/>
          <w:color w:val="000000" w:themeColor="text1"/>
          <w:lang w:val="en-GB"/>
        </w:rPr>
        <w:t xml:space="preserve"> </w:t>
      </w:r>
      <w:r w:rsidRPr="004C6B04">
        <w:rPr>
          <w:color w:val="000000" w:themeColor="text1"/>
          <w:lang w:val="en-GB"/>
        </w:rPr>
        <w:t xml:space="preserve">overall autosomal heterozygosity. We used mlRho v.2.7 </w:t>
      </w:r>
      <w:r w:rsidRPr="004C6B04">
        <w:rPr>
          <w:color w:val="000000" w:themeColor="text1"/>
          <w:lang w:val="en-GB"/>
        </w:rPr>
        <w:fldChar w:fldCharType="begin" w:fldLock="1"/>
      </w:r>
      <w:r w:rsidR="00B84B07" w:rsidRPr="004C6B04">
        <w:rPr>
          <w:color w:val="000000" w:themeColor="text1"/>
          <w:lang w:val="en-GB"/>
        </w:rPr>
        <w:instrText>ADDIN CSL_CITATION {"citationItems":[{"id":"ITEM-1","itemData":{"DOI":"10.1111/j.1365-294X.2009.04482.x","ISBN":"0962-1083","ISSN":"09621083","PMID":"20331786","abstract":"Improvements in sequencing technology over the past 5 years are leading to routine application of shotgun sequencing in the fields of ecology and evolution. However, the theory to estimate evolutionary parameters from these data is still being worked out. Here we present an extension and implementation of part of this theory, mlRho. This program can efficiently compute the following three maximum likelihood estimators based on shotgun sequence data obtained from single diploid individuals: the population mutation rate (4N(e)mu), the sequencing error rate, and the population recombination rate (4N(e)c). We demonstrate the accuracy of mlRho by applying it to simulated data sets. In addition, we analyse the genomes of the sea squirt Ciona intestinalis and the water flea Daphnia pulex. Ciona intestinalis is an obligate outcrosser, while D. pulex is a cyclic parthenogen, and we discuss how these contrasting life histories are reflected in our parameter estimates. The program mlRho is freely available from http://guanine.evolbio.mpg.de/mlRho.","author":[{"dropping-particle":"","family":"Haubold","given":"Bernhard","non-dropping-particle":"","parse-names":false,"suffix":""},{"dropping-particle":"","family":"Pfaffelhuber","given":"Peter","non-dropping-particle":"","parse-names":false,"suffix":""},{"dropping-particle":"","family":"Lynch","given":"Michael","non-dropping-particle":"","parse-names":false,"suffix":""}],"container-title":"Molecular Ecology","id":"ITEM-1","issue":"SUPPL. 1","issued":{"date-parts":[["2010"]]},"page":"277-284","title":"MlRho - A program for estimating the population mutation and recombination rates from shotgunsequenced diploid genomes","type":"article-journal","volume":"19"},"uris":["http://www.mendeley.com/documents/?uuid=55408e4e-46d0-47fc-b940-e4ecf13f027c"]}],"mendeley":{"formattedCitation":"[20]","plainTextFormattedCitation":"[20]","previouslyFormattedCitation":"[20]"},"properties":{"noteIndex":0},"schema":"https://github.com/citation-style-language/schema/raw/master/csl-citation.json"}</w:instrText>
      </w:r>
      <w:r w:rsidRPr="004C6B04">
        <w:rPr>
          <w:color w:val="000000" w:themeColor="text1"/>
          <w:lang w:val="en-GB"/>
        </w:rPr>
        <w:fldChar w:fldCharType="separate"/>
      </w:r>
      <w:r w:rsidR="00F81887" w:rsidRPr="004C6B04">
        <w:rPr>
          <w:noProof/>
          <w:color w:val="000000" w:themeColor="text1"/>
          <w:lang w:val="en-GB"/>
        </w:rPr>
        <w:t>[20]</w:t>
      </w:r>
      <w:r w:rsidRPr="004C6B04">
        <w:rPr>
          <w:color w:val="000000" w:themeColor="text1"/>
          <w:lang w:val="en-GB"/>
        </w:rPr>
        <w:fldChar w:fldCharType="end"/>
      </w:r>
      <w:r w:rsidRPr="004C6B04">
        <w:rPr>
          <w:color w:val="000000" w:themeColor="text1"/>
          <w:lang w:val="en-GB"/>
        </w:rPr>
        <w:t xml:space="preserve"> to estimate the population mutation rate (θ), which approximates expected heterozygosity under the infinite sites model. This maximum likelihood approach provides unbiased estimates of average within-individual heterozygosity at high coverage </w:t>
      </w:r>
      <w:r w:rsidRPr="004C6B04">
        <w:rPr>
          <w:color w:val="000000" w:themeColor="text1"/>
          <w:lang w:val="en-GB"/>
        </w:rPr>
        <w:fldChar w:fldCharType="begin" w:fldLock="1"/>
      </w:r>
      <w:r w:rsidR="00B84B07" w:rsidRPr="004C6B04">
        <w:rPr>
          <w:color w:val="000000" w:themeColor="text1"/>
          <w:lang w:val="en-GB"/>
        </w:rPr>
        <w:instrText>ADDIN CSL_CITATION {"citationItems":[{"id":"ITEM-1","itemData":{"DOI":"10.1111/j.1365-294X.2009.04482.x","ISBN":"0962-1083","ISSN":"09621083","PMID":"20331786","abstract":"Improvements in sequencing technology over the past 5 years are leading to routine application of shotgun sequencing in the fields of ecology and evolution. However, the theory to estimate evolutionary parameters from these data is still being worked out. Here we present an extension and implementation of part of this theory, mlRho. This program can efficiently compute the following three maximum likelihood estimators based on shotgun sequence data obtained from single diploid individuals: the population mutation rate (4N(e)mu), the sequencing error rate, and the population recombination rate (4N(e)c). We demonstrate the accuracy of mlRho by applying it to simulated data sets. In addition, we analyse the genomes of the sea squirt Ciona intestinalis and the water flea Daphnia pulex. Ciona intestinalis is an obligate outcrosser, while D. pulex is a cyclic parthenogen, and we discuss how these contrasting life histories are reflected in our parameter estimates. The program mlRho is freely available from http://guanine.evolbio.mpg.de/mlRho.","author":[{"dropping-particle":"","family":"Haubold","given":"Bernhard","non-dropping-particle":"","parse-names":false,"suffix":""},{"dropping-particle":"","family":"Pfaffelhuber","given":"Peter","non-dropping-particle":"","parse-names":false,"suffix":""},{"dropping-particle":"","family":"Lynch","given":"Michael","non-dropping-particle":"","parse-names":false,"suffix":""}],"container-title":"Molecular Ecology","id":"ITEM-1","issue":"SUPPL. 1","issued":{"date-parts":[["2010"]]},"page":"277-284","title":"MlRho - A program for estimating the population mutation and recombination rates from shotgunsequenced diploid genomes","type":"article-journal","volume":"19"},"uris":["http://www.mendeley.com/documents/?uuid=55408e4e-46d0-47fc-b940-e4ecf13f027c"]},{"id":"ITEM-2","itemData":{"DOI":"10.1093/molbev/msn185","ISBN":"0737-4038","ISSN":"07374038","PMID":"18725384","abstract":"Recent advances in sequencing strategies have made it feasible to rapidly obtain high-coverage genomic profiles of single individuals, and soon it will be economically feasible to do so with hundreds to thousands of individuals per population. While offering unprecedented power for the acquisition of population-genetic parameters, these new methods also introduce a number of challenges, most notably the need to account for the binomial sampling of parental alleles at individual nucleotide sites and to eliminate bias from various sources of sequence errors. To minimize the effects of both problems, methods are developed for generating nearly unbiased and minimum-sampling-variance estimates of a number of key parameters, including the average nucleotide heterozygosity and its variance among sites, the pattern of decomposition of linkage disequilibrium with physical distance, and the rate and molecular spectrum of spontaneously arising mutations. These methods provide a general platform for the efficient utilization of data from population-genomic surveys, while also providing guidance for the optimal design of such studies.","author":[{"dropping-particle":"","family":"Lynch","given":"Michael","non-dropping-particle":"","parse-names":false,"suffix":""}],"container-title":"Molecular Biology and Evolution","id":"ITEM-2","issue":"11","issued":{"date-parts":[["2008"]]},"page":"2409-2419","title":"Estimation of nucleotide diversity, disequilibrium coefficients, and mutation rates from high-coverage genome-sequencing projects","type":"article-journal","volume":"25"},"uris":["http://www.mendeley.com/documents/?uuid=afcf178d-895e-4aa1-88b9-71d7f7dda052"]}],"mendeley":{"formattedCitation":"[20,21]","plainTextFormattedCitation":"[20,21]","previouslyFormattedCitation":"[20,21]"},"properties":{"noteIndex":0},"schema":"https://github.com/citation-style-language/schema/raw/master/csl-citation.json"}</w:instrText>
      </w:r>
      <w:r w:rsidRPr="004C6B04">
        <w:rPr>
          <w:color w:val="000000" w:themeColor="text1"/>
          <w:lang w:val="en-GB"/>
        </w:rPr>
        <w:fldChar w:fldCharType="separate"/>
      </w:r>
      <w:r w:rsidR="00F81887" w:rsidRPr="004C6B04">
        <w:rPr>
          <w:noProof/>
          <w:color w:val="000000" w:themeColor="text1"/>
          <w:lang w:val="en-GB"/>
        </w:rPr>
        <w:t>[20,21]</w:t>
      </w:r>
      <w:r w:rsidRPr="004C6B04">
        <w:rPr>
          <w:color w:val="000000" w:themeColor="text1"/>
          <w:lang w:val="en-GB"/>
        </w:rPr>
        <w:fldChar w:fldCharType="end"/>
      </w:r>
      <w:r w:rsidRPr="004C6B04">
        <w:rPr>
          <w:color w:val="000000" w:themeColor="text1"/>
          <w:lang w:val="en-GB"/>
        </w:rPr>
        <w:t xml:space="preserve">. We filtered out bases with quality below 30, reads with mapping quality below 30 and positions with root-mean-squared mapping quality below 30. We also filtered out sites with depth lower than 1/3X and higher than 2X the average coverage for each specimen to avoid false heterozygous calls due to variation in coverage across the genome </w:t>
      </w:r>
      <w:r w:rsidRPr="004C6B04">
        <w:rPr>
          <w:color w:val="000000" w:themeColor="text1"/>
          <w:lang w:val="en-GB"/>
        </w:rPr>
        <w:fldChar w:fldCharType="begin" w:fldLock="1"/>
      </w:r>
      <w:r w:rsidR="00A23DBF" w:rsidRPr="004C6B04">
        <w:rPr>
          <w:color w:val="000000" w:themeColor="text1"/>
          <w:lang w:val="en-GB"/>
        </w:rPr>
        <w:instrText xml:space="preserve">ADDIN CSL_CITATION {"citationItems":[{"id":"ITEM-1","itemData":{"DOI":"10.1016/j.cub.2015.04.007","ISBN":"1545-7885 (Electronic)\\r1544-9173 (Linking)","ISSN":"09609822","PMID":"25913407","abstract":"The processes leading up to species extinctions are typically characterized by prolonged declines in population size and geographic distribution, followed by a phase in which populations are very small and may be subject to intrinsic threats, including loss of genetic diversity and inbreeding [1]. However, whether such genetic factors have had an impact on species prior to their extinction is unclear [2, 3]; examining this would require a detailed reconstruction of a species' demographic history as well as changes in genome-wide diversity leading up to its extinction. Here, we present high-quality complete genome sequences from two woolly mammoths (Mammuthus primigenius). The first mammoth was sequenced at 17.1-fold coverage and dates to </w:instrText>
      </w:r>
      <w:r w:rsidR="00A23DBF" w:rsidRPr="004C6B04">
        <w:rPr>
          <w:rFonts w:ascii="Cambria Math" w:hAnsi="Cambria Math" w:cs="Cambria Math"/>
          <w:color w:val="000000" w:themeColor="text1"/>
          <w:lang w:val="en-GB"/>
        </w:rPr>
        <w:instrText>∼</w:instrText>
      </w:r>
      <w:r w:rsidR="00A23DBF" w:rsidRPr="004C6B04">
        <w:rPr>
          <w:color w:val="000000" w:themeColor="text1"/>
          <w:lang w:val="en-GB"/>
        </w:rPr>
        <w:instrText xml:space="preserve">4,300 years before present, representing one of the last surviving individuals on Wrangel Island. The second mammoth, sequenced at 11.2-fold coverage, was obtained from an </w:instrText>
      </w:r>
      <w:r w:rsidR="00A23DBF" w:rsidRPr="004C6B04">
        <w:rPr>
          <w:rFonts w:ascii="Cambria Math" w:hAnsi="Cambria Math" w:cs="Cambria Math"/>
          <w:color w:val="000000" w:themeColor="text1"/>
          <w:lang w:val="en-GB"/>
        </w:rPr>
        <w:instrText>∼</w:instrText>
      </w:r>
      <w:r w:rsidR="00A23DBF" w:rsidRPr="004C6B04">
        <w:rPr>
          <w:color w:val="000000" w:themeColor="text1"/>
          <w:lang w:val="en-GB"/>
        </w:rPr>
        <w:instrText>44,800-year-old specimen from the Late Pleistocene population in northeastern Siberia. The demographic trajectories inferred from the two genomes are qualitatively similar and reveal a population bottleneck during the Middle or Early Pleistocene, and a more recent severe decline in the ancestors of the Wrangel mammoth at the end of the last glaciation. A comparison of the two genomes shows that the Wrangel mammoth has a 20% reduction in heterozygosity as well as a 28-fold increase in the fraction of the genome that comprises runs of homozygosity. We conclude that the population on Wrangel Island, which was the last surviving woolly mammoth population, was subject to reduced genetic diversity shortly before it became extinct.","author":[{"dropping-particle":"","family":"Palkopoulou","given":"Eleftheria","non-dropping-particle":"","parse-names":false,"suffix":""},{"dropping-particle":"","family":"Mallick","given":"Swapan","non-dropping-particle":"","parse-names":false,"suffix":""},{"dropping-particle":"","family":"Skoglund","given":"Pontus","non-dropping-particle":"","parse-names":false,"suffix":""},{"dropping-particle":"","family":"Enk","given":"Jacob","non-dropping-particle":"","parse-names":false,"suffix":""},{"dropping-particle":"","family":"Rohland","given":"Nadin","non-dropping-particle":"","parse-names":false,"suffix":""},{"dropping-particle":"","family":"Li","given":"Heng","non-dropping-particle":"","parse-names":false,"suffix":""},{"dropping-particle":"","family":"Omrak","given":"Ayça","non-dropping-particle":"","parse-names":false,"suffix":""},{"dropping-particle":"","family":"Vartanyan","given":"Sergey","non-dropping-particle":"","parse-names":false,"suffix":""},{"dropping-particle":"","family":"Poinar","given":"Hendrik","non-dropping-particle":"","parse-names":false,"suffix":""},{"dropping-particle":"","family":"Götherström","given":"Anders","non-dropping-particle":"","parse-names":false,"suffix":""},{"dropping-particle":"","family":"Reich","given":"David","non-dropping-particle":"","parse-names":false,"suffix":""},{"dropping-particle":"","family":"Dalén","given":"Love","non-dropping-particle":"","parse-names":false,"suffix":""}],"container-title":"Current Biology","id":"ITEM-1","issue":"10","issued":{"date-parts":[["2015"]]},"page":"1395-1400","title":"Complete genomes reveal signatures of demographic and genetic declines in the woolly mammoth","type":"article-journal","volume":"25"},"uris":["http://www.mendeley.com/documents/?uuid=6fad065a-f289-4b7d-b097-1bc6829024fb"]}],"mendeley":{"formattedCitation":"[8]","plainTextFormattedCitation":"[8]","previouslyFormattedCitation":"[8]"},"properties":{"noteIndex":0},"schema":"https://github.com/citation-style-language/schema/raw/master/csl-citation.json"}</w:instrText>
      </w:r>
      <w:r w:rsidRPr="004C6B04">
        <w:rPr>
          <w:color w:val="000000" w:themeColor="text1"/>
          <w:lang w:val="en-GB"/>
        </w:rPr>
        <w:fldChar w:fldCharType="separate"/>
      </w:r>
      <w:r w:rsidR="00FF4055" w:rsidRPr="004C6B04">
        <w:rPr>
          <w:noProof/>
          <w:color w:val="000000" w:themeColor="text1"/>
          <w:lang w:val="en-GB"/>
        </w:rPr>
        <w:t>[8]</w:t>
      </w:r>
      <w:r w:rsidRPr="004C6B04">
        <w:rPr>
          <w:color w:val="000000" w:themeColor="text1"/>
          <w:lang w:val="en-GB"/>
        </w:rPr>
        <w:fldChar w:fldCharType="end"/>
      </w:r>
      <w:r w:rsidRPr="004C6B04">
        <w:rPr>
          <w:color w:val="000000" w:themeColor="text1"/>
          <w:lang w:val="en-GB"/>
        </w:rPr>
        <w:t xml:space="preserve">. </w:t>
      </w:r>
    </w:p>
    <w:p w14:paraId="74B54FC0" w14:textId="59FF1B8B" w:rsidR="00865921" w:rsidRPr="004C6B04" w:rsidRDefault="00865921" w:rsidP="00865921">
      <w:pPr>
        <w:spacing w:line="360" w:lineRule="auto"/>
        <w:jc w:val="both"/>
        <w:rPr>
          <w:color w:val="000000" w:themeColor="text1"/>
          <w:lang w:val="en-GB"/>
        </w:rPr>
      </w:pPr>
      <w:r w:rsidRPr="004C6B04">
        <w:rPr>
          <w:color w:val="000000" w:themeColor="text1"/>
          <w:lang w:val="en-GB"/>
        </w:rPr>
        <w:tab/>
        <w:t>Third, we estimated inbreeding by identifying runs of homozygosity (ROH) and individual inbreeding coefficients (F</w:t>
      </w:r>
      <w:r w:rsidRPr="004C6B04">
        <w:rPr>
          <w:color w:val="000000" w:themeColor="text1"/>
          <w:vertAlign w:val="subscript"/>
          <w:lang w:val="en-GB"/>
        </w:rPr>
        <w:t>ROH</w:t>
      </w:r>
      <w:r w:rsidRPr="004C6B04">
        <w:rPr>
          <w:color w:val="000000" w:themeColor="text1"/>
          <w:lang w:val="en-GB"/>
        </w:rPr>
        <w:t xml:space="preserve">) using the sliding-window approach implemented in PLINK </w:t>
      </w:r>
      <w:r w:rsidRPr="004C6B04">
        <w:rPr>
          <w:color w:val="000000" w:themeColor="text1"/>
          <w:lang w:val="en-GB"/>
        </w:rPr>
        <w:fldChar w:fldCharType="begin" w:fldLock="1"/>
      </w:r>
      <w:r w:rsidR="00B84B07" w:rsidRPr="004C6B04">
        <w:rPr>
          <w:color w:val="000000" w:themeColor="text1"/>
          <w:lang w:val="en-GB"/>
        </w:rPr>
        <w:instrText>ADDIN CSL_CITATION {"citationItems":[{"id":"ITEM-1","itemData":{"DOI":"10.1086/519795","ISBN":"0002-9297 (Print)\\n0002-9297 (Linking)","ISSN":"00029297","PMID":"17701901","abstract":"Whole-genome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 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 W","non-dropping-particle":"de","parse-names":false,"suffix":""},{"dropping-particle":"","family":"Daly","given":"Mark J","non-dropping-particle":"","parse-names":false,"suffix":""},{"dropping-particle":"","family":"Sham","given":"Pak C","non-dropping-particle":"","parse-names":false,"suffix":""}],"container-title":"American journal of human genetics","id":"ITEM-1","issue":"3","issued":{"date-parts":[["2007"]]},"page":"559-575","title":"PLINK: a tool set for whole-genome association and population-based linkage analyses.","type":"article-journal","volume":"81"},"uris":["http://www.mendeley.com/documents/?uuid=2610bc23-3e3a-4cda-b804-fbd2cbdeaa78"]}],"mendeley":{"formattedCitation":"[22]","plainTextFormattedCitation":"[22]","previouslyFormattedCitation":"[22]"},"properties":{"noteIndex":0},"schema":"https://github.com/citation-style-language/schema/raw/master/csl-citation.json"}</w:instrText>
      </w:r>
      <w:r w:rsidRPr="004C6B04">
        <w:rPr>
          <w:color w:val="000000" w:themeColor="text1"/>
          <w:lang w:val="en-GB"/>
        </w:rPr>
        <w:fldChar w:fldCharType="separate"/>
      </w:r>
      <w:r w:rsidR="00F81887" w:rsidRPr="004C6B04">
        <w:rPr>
          <w:noProof/>
          <w:color w:val="000000" w:themeColor="text1"/>
          <w:lang w:val="en-GB"/>
        </w:rPr>
        <w:t>[22]</w:t>
      </w:r>
      <w:r w:rsidRPr="004C6B04">
        <w:rPr>
          <w:color w:val="000000" w:themeColor="text1"/>
          <w:lang w:val="en-GB"/>
        </w:rPr>
        <w:fldChar w:fldCharType="end"/>
      </w:r>
      <w:r w:rsidRPr="004C6B04">
        <w:rPr>
          <w:color w:val="000000" w:themeColor="text1"/>
          <w:lang w:val="en-GB"/>
        </w:rPr>
        <w:t>. We converted the filtered (i.e. 16,879,201 SNPs) multi-individual vcf file comprising the two historical genomes into a ped file and identified ROHs in the 31 largest (&gt; 1Mb) autosomal scaffolds, representing 88.6% of the total genome. We used a sliding window size of 100 SNPs (--</w:t>
      </w:r>
      <w:r w:rsidRPr="004C6B04">
        <w:rPr>
          <w:i/>
          <w:color w:val="000000" w:themeColor="text1"/>
          <w:lang w:val="en-GB"/>
        </w:rPr>
        <w:t>homozyg-window-snp</w:t>
      </w:r>
      <w:r w:rsidRPr="004C6B04">
        <w:rPr>
          <w:color w:val="000000" w:themeColor="text1"/>
          <w:lang w:val="en-GB"/>
        </w:rPr>
        <w:t xml:space="preserve"> </w:t>
      </w:r>
      <w:r w:rsidRPr="004C6B04">
        <w:rPr>
          <w:i/>
          <w:color w:val="000000" w:themeColor="text1"/>
          <w:lang w:val="en-GB"/>
        </w:rPr>
        <w:t>100</w:t>
      </w:r>
      <w:r w:rsidRPr="004C6B04">
        <w:rPr>
          <w:color w:val="000000" w:themeColor="text1"/>
          <w:lang w:val="en-GB"/>
        </w:rPr>
        <w:t>). A window was then defined as homozygous if there were not more than 5 missing sites (</w:t>
      </w:r>
      <w:r w:rsidRPr="004C6B04">
        <w:rPr>
          <w:i/>
          <w:color w:val="000000" w:themeColor="text1"/>
          <w:lang w:val="en-GB"/>
        </w:rPr>
        <w:t>homozyg-window-missing 5</w:t>
      </w:r>
      <w:r w:rsidRPr="004C6B04">
        <w:rPr>
          <w:color w:val="000000" w:themeColor="text1"/>
          <w:lang w:val="en-GB"/>
        </w:rPr>
        <w:t>) and not more than 1 heterozygous site per window (</w:t>
      </w:r>
      <w:r w:rsidRPr="004C6B04">
        <w:rPr>
          <w:i/>
          <w:color w:val="000000" w:themeColor="text1"/>
          <w:lang w:val="en-GB"/>
        </w:rPr>
        <w:t>homozyg-window-het 1</w:t>
      </w:r>
      <w:r w:rsidRPr="004C6B04">
        <w:rPr>
          <w:color w:val="000000" w:themeColor="text1"/>
          <w:lang w:val="en-GB"/>
        </w:rPr>
        <w:t>). If at least 5% of all windows that included a given SNP were defined as homozygous, the SNP was defined as being in a homozygous segment of a chromosome (</w:t>
      </w:r>
      <w:r w:rsidRPr="004C6B04">
        <w:rPr>
          <w:i/>
          <w:color w:val="000000" w:themeColor="text1"/>
          <w:lang w:val="en-GB"/>
        </w:rPr>
        <w:t>homozyg-window-threshold 0.05</w:t>
      </w:r>
      <w:r w:rsidRPr="004C6B04">
        <w:rPr>
          <w:color w:val="000000" w:themeColor="text1"/>
          <w:lang w:val="en-GB"/>
        </w:rPr>
        <w:t>). This threshold was chosen to ensure that the edges of a ROH are properly delimited. A homozygous segment was defined as a ROH if all of the following conditions were met: the segment included ≥25 SNPs (</w:t>
      </w:r>
      <w:r w:rsidRPr="004C6B04">
        <w:rPr>
          <w:i/>
          <w:color w:val="000000" w:themeColor="text1"/>
          <w:lang w:val="en-GB"/>
        </w:rPr>
        <w:t>homozyg-snp 25</w:t>
      </w:r>
      <w:r w:rsidRPr="004C6B04">
        <w:rPr>
          <w:color w:val="000000" w:themeColor="text1"/>
          <w:lang w:val="en-GB"/>
        </w:rPr>
        <w:t>) and covered ≥100 kb (</w:t>
      </w:r>
      <w:r w:rsidRPr="004C6B04">
        <w:rPr>
          <w:i/>
          <w:color w:val="000000" w:themeColor="text1"/>
          <w:lang w:val="en-GB"/>
        </w:rPr>
        <w:t>homozyg-kb</w:t>
      </w:r>
      <w:r w:rsidRPr="004C6B04">
        <w:rPr>
          <w:color w:val="000000" w:themeColor="text1"/>
          <w:lang w:val="en-GB"/>
        </w:rPr>
        <w:t xml:space="preserve"> 100). Furthermore, the minimum SNP density was one SNP per 50 kb (</w:t>
      </w:r>
      <w:r w:rsidRPr="004C6B04">
        <w:rPr>
          <w:i/>
          <w:color w:val="000000" w:themeColor="text1"/>
          <w:lang w:val="en-GB"/>
        </w:rPr>
        <w:t>homozyg-density 50</w:t>
      </w:r>
      <w:r w:rsidRPr="004C6B04">
        <w:rPr>
          <w:color w:val="000000" w:themeColor="text1"/>
          <w:lang w:val="en-GB"/>
        </w:rPr>
        <w:t>) and the maximum distance between two neighbouring SNPs was ≤1,000 kb (</w:t>
      </w:r>
      <w:r w:rsidRPr="004C6B04">
        <w:rPr>
          <w:i/>
          <w:color w:val="000000" w:themeColor="text1"/>
          <w:lang w:val="en-GB"/>
        </w:rPr>
        <w:t>homozyg-gap 1,000</w:t>
      </w:r>
      <w:r w:rsidRPr="004C6B04">
        <w:rPr>
          <w:color w:val="000000" w:themeColor="text1"/>
          <w:lang w:val="en-GB"/>
        </w:rPr>
        <w:t>). For the number of heterozygous sites within ROHs, we set the value at 750 (</w:t>
      </w:r>
      <w:r w:rsidRPr="004C6B04">
        <w:rPr>
          <w:i/>
          <w:color w:val="000000" w:themeColor="text1"/>
          <w:lang w:val="en-GB"/>
        </w:rPr>
        <w:t>homozyg-het 750</w:t>
      </w:r>
      <w:r w:rsidRPr="004C6B04">
        <w:rPr>
          <w:color w:val="000000" w:themeColor="text1"/>
          <w:lang w:val="en-GB"/>
        </w:rPr>
        <w:t>) in order to prevent sequencing errors to cut ROHs.</w:t>
      </w:r>
    </w:p>
    <w:p w14:paraId="07E7C0E8" w14:textId="77777777" w:rsidR="005C44F0" w:rsidRPr="004C6B04" w:rsidRDefault="005C44F0" w:rsidP="005C44F0">
      <w:pPr>
        <w:spacing w:line="360" w:lineRule="auto"/>
        <w:jc w:val="both"/>
        <w:rPr>
          <w:i/>
          <w:color w:val="000000" w:themeColor="text1"/>
          <w:lang w:val="en-GB"/>
        </w:rPr>
      </w:pPr>
    </w:p>
    <w:p w14:paraId="69720B42" w14:textId="77777777" w:rsidR="003869C3" w:rsidRPr="004C6B04" w:rsidRDefault="003869C3" w:rsidP="003869C3">
      <w:pPr>
        <w:spacing w:line="360" w:lineRule="auto"/>
        <w:rPr>
          <w:color w:val="000000" w:themeColor="text1"/>
          <w:sz w:val="22"/>
          <w:szCs w:val="22"/>
          <w:lang w:val="en-GB"/>
        </w:rPr>
      </w:pPr>
      <w:r w:rsidRPr="004C6B04">
        <w:rPr>
          <w:b/>
          <w:color w:val="000000" w:themeColor="text1"/>
          <w:sz w:val="22"/>
          <w:szCs w:val="22"/>
          <w:lang w:val="en-GB"/>
        </w:rPr>
        <w:t>Table S1</w:t>
      </w:r>
      <w:r w:rsidRPr="004C6B04">
        <w:rPr>
          <w:color w:val="000000" w:themeColor="text1"/>
          <w:sz w:val="22"/>
          <w:szCs w:val="22"/>
          <w:lang w:val="en-GB"/>
        </w:rPr>
        <w:t xml:space="preserve">. Specimen origin with reads and coverage statistics </w:t>
      </w:r>
    </w:p>
    <w:p w14:paraId="5726D910" w14:textId="77777777" w:rsidR="003869C3" w:rsidRPr="004C6B04" w:rsidRDefault="003869C3" w:rsidP="003869C3">
      <w:pPr>
        <w:spacing w:line="360" w:lineRule="auto"/>
        <w:rPr>
          <w:color w:val="000000" w:themeColor="text1"/>
          <w:sz w:val="22"/>
          <w:szCs w:val="22"/>
          <w:lang w:val="en-GB"/>
        </w:rPr>
      </w:pPr>
      <w:r w:rsidRPr="004C6B04">
        <w:rPr>
          <w:noProof/>
          <w:color w:val="000000" w:themeColor="text1"/>
          <w:sz w:val="22"/>
          <w:szCs w:val="22"/>
          <w:lang w:val="en-GB"/>
        </w:rPr>
        <w:lastRenderedPageBreak/>
        <w:drawing>
          <wp:inline distT="0" distB="0" distL="0" distR="0" wp14:anchorId="15175021" wp14:editId="3A69B670">
            <wp:extent cx="5943600" cy="1545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545590"/>
                    </a:xfrm>
                    <a:prstGeom prst="rect">
                      <a:avLst/>
                    </a:prstGeom>
                  </pic:spPr>
                </pic:pic>
              </a:graphicData>
            </a:graphic>
          </wp:inline>
        </w:drawing>
      </w:r>
    </w:p>
    <w:p w14:paraId="08621ED8" w14:textId="77777777" w:rsidR="003869C3" w:rsidRPr="004C6B04" w:rsidRDefault="003869C3" w:rsidP="003869C3">
      <w:pPr>
        <w:spacing w:line="360" w:lineRule="auto"/>
        <w:rPr>
          <w:b/>
          <w:color w:val="000000" w:themeColor="text1"/>
          <w:lang w:val="en-GB"/>
        </w:rPr>
      </w:pPr>
    </w:p>
    <w:p w14:paraId="3A2B7876" w14:textId="77777777" w:rsidR="00060EB4" w:rsidRPr="004C6B04" w:rsidRDefault="00060EB4" w:rsidP="00C048F2">
      <w:pPr>
        <w:spacing w:line="360" w:lineRule="auto"/>
        <w:jc w:val="both"/>
        <w:rPr>
          <w:b/>
          <w:color w:val="000000" w:themeColor="text1"/>
          <w:sz w:val="22"/>
          <w:szCs w:val="22"/>
          <w:lang w:val="en-GB"/>
        </w:rPr>
      </w:pPr>
    </w:p>
    <w:p w14:paraId="768232B9" w14:textId="77777777" w:rsidR="003869C3" w:rsidRPr="004C6B04" w:rsidRDefault="003869C3" w:rsidP="003869C3">
      <w:pPr>
        <w:spacing w:line="360" w:lineRule="auto"/>
        <w:rPr>
          <w:color w:val="000000" w:themeColor="text1"/>
          <w:sz w:val="22"/>
          <w:szCs w:val="22"/>
          <w:lang w:val="en-GB"/>
        </w:rPr>
      </w:pPr>
    </w:p>
    <w:p w14:paraId="56FC4C55" w14:textId="77777777" w:rsidR="004526DD" w:rsidRPr="004C6B04" w:rsidRDefault="004526DD" w:rsidP="00C8752E">
      <w:pPr>
        <w:spacing w:line="360" w:lineRule="auto"/>
        <w:jc w:val="center"/>
        <w:rPr>
          <w:color w:val="000000" w:themeColor="text1"/>
          <w:sz w:val="22"/>
          <w:szCs w:val="22"/>
          <w:lang w:val="en-GB"/>
        </w:rPr>
      </w:pPr>
      <w:r w:rsidRPr="004C6B04">
        <w:rPr>
          <w:noProof/>
          <w:color w:val="000000" w:themeColor="text1"/>
          <w:sz w:val="22"/>
          <w:szCs w:val="22"/>
          <w:lang w:val="en-GB"/>
        </w:rPr>
        <w:lastRenderedPageBreak/>
        <w:drawing>
          <wp:inline distT="0" distB="0" distL="0" distR="0" wp14:anchorId="02F73983" wp14:editId="61660EA2">
            <wp:extent cx="5169205" cy="77916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coverage.png"/>
                    <pic:cNvPicPr/>
                  </pic:nvPicPr>
                  <pic:blipFill>
                    <a:blip r:embed="rId6">
                      <a:extLst>
                        <a:ext uri="{28A0092B-C50C-407E-A947-70E740481C1C}">
                          <a14:useLocalDpi xmlns:a14="http://schemas.microsoft.com/office/drawing/2010/main" val="0"/>
                        </a:ext>
                      </a:extLst>
                    </a:blip>
                    <a:stretch>
                      <a:fillRect/>
                    </a:stretch>
                  </pic:blipFill>
                  <pic:spPr>
                    <a:xfrm>
                      <a:off x="0" y="0"/>
                      <a:ext cx="5171133" cy="7794537"/>
                    </a:xfrm>
                    <a:prstGeom prst="rect">
                      <a:avLst/>
                    </a:prstGeom>
                  </pic:spPr>
                </pic:pic>
              </a:graphicData>
            </a:graphic>
          </wp:inline>
        </w:drawing>
      </w:r>
    </w:p>
    <w:p w14:paraId="28092C5A" w14:textId="77777777" w:rsidR="004526DD" w:rsidRPr="004C6B04" w:rsidRDefault="004526DD" w:rsidP="004526DD">
      <w:pPr>
        <w:spacing w:line="360" w:lineRule="auto"/>
        <w:jc w:val="both"/>
        <w:rPr>
          <w:color w:val="000000" w:themeColor="text1"/>
          <w:sz w:val="22"/>
          <w:szCs w:val="22"/>
          <w:lang w:val="en-GB"/>
        </w:rPr>
      </w:pPr>
      <w:r w:rsidRPr="004C6B04">
        <w:rPr>
          <w:b/>
          <w:color w:val="000000" w:themeColor="text1"/>
          <w:sz w:val="22"/>
          <w:szCs w:val="22"/>
          <w:lang w:val="en-GB"/>
        </w:rPr>
        <w:t>Figure S1.</w:t>
      </w:r>
      <w:r w:rsidRPr="004C6B04">
        <w:rPr>
          <w:color w:val="000000" w:themeColor="text1"/>
          <w:sz w:val="22"/>
          <w:szCs w:val="22"/>
          <w:lang w:val="en-GB"/>
        </w:rPr>
        <w:t xml:space="preserve"> Distribution of coverage across the genome for (a) Huia (</w:t>
      </w:r>
      <w:r w:rsidRPr="004C6B04">
        <w:rPr>
          <w:i/>
          <w:color w:val="000000" w:themeColor="text1"/>
          <w:sz w:val="22"/>
          <w:szCs w:val="22"/>
          <w:lang w:val="en-GB"/>
        </w:rPr>
        <w:t>Heteralocha acutirostris</w:t>
      </w:r>
      <w:r w:rsidRPr="004C6B04">
        <w:rPr>
          <w:color w:val="000000" w:themeColor="text1"/>
          <w:sz w:val="22"/>
          <w:szCs w:val="22"/>
          <w:lang w:val="en-GB"/>
        </w:rPr>
        <w:t>) and (b) South Island k</w:t>
      </w:r>
      <w:r w:rsidRPr="004C6B04">
        <w:rPr>
          <w:iCs/>
          <w:color w:val="000000" w:themeColor="text1"/>
          <w:sz w:val="22"/>
          <w:szCs w:val="22"/>
          <w:lang w:val="en-GB"/>
        </w:rPr>
        <w:t>ō</w:t>
      </w:r>
      <w:r w:rsidRPr="004C6B04">
        <w:rPr>
          <w:color w:val="000000" w:themeColor="text1"/>
          <w:sz w:val="22"/>
          <w:szCs w:val="22"/>
          <w:lang w:val="en-GB"/>
        </w:rPr>
        <w:t>kako (</w:t>
      </w:r>
      <w:r w:rsidRPr="004C6B04">
        <w:rPr>
          <w:i/>
          <w:color w:val="000000" w:themeColor="text1"/>
          <w:sz w:val="22"/>
          <w:szCs w:val="22"/>
          <w:lang w:val="en-GB"/>
        </w:rPr>
        <w:t>Callaeas cinereus</w:t>
      </w:r>
      <w:r w:rsidRPr="004C6B04">
        <w:rPr>
          <w:color w:val="000000" w:themeColor="text1"/>
          <w:sz w:val="22"/>
          <w:szCs w:val="22"/>
          <w:lang w:val="en-GB"/>
        </w:rPr>
        <w:t>).</w:t>
      </w:r>
    </w:p>
    <w:p w14:paraId="26926F5F" w14:textId="6B29BA77" w:rsidR="004526DD" w:rsidRPr="004C6B04" w:rsidRDefault="004526DD" w:rsidP="004526DD">
      <w:pPr>
        <w:spacing w:line="360" w:lineRule="auto"/>
        <w:jc w:val="both"/>
        <w:rPr>
          <w:b/>
          <w:color w:val="000000" w:themeColor="text1"/>
          <w:sz w:val="22"/>
          <w:szCs w:val="22"/>
          <w:lang w:val="en-GB"/>
        </w:rPr>
      </w:pPr>
    </w:p>
    <w:p w14:paraId="1E519F6A" w14:textId="568D7E89" w:rsidR="00ED165B" w:rsidRPr="004C6B04" w:rsidRDefault="00031691" w:rsidP="00672622">
      <w:pPr>
        <w:spacing w:line="360" w:lineRule="auto"/>
        <w:jc w:val="center"/>
        <w:rPr>
          <w:b/>
          <w:color w:val="000000" w:themeColor="text1"/>
          <w:sz w:val="22"/>
          <w:szCs w:val="22"/>
          <w:lang w:val="en-GB"/>
        </w:rPr>
      </w:pPr>
      <w:r w:rsidRPr="004C6B04">
        <w:rPr>
          <w:b/>
          <w:noProof/>
          <w:color w:val="000000" w:themeColor="text1"/>
          <w:sz w:val="22"/>
          <w:szCs w:val="22"/>
          <w:lang w:val="en-GB"/>
        </w:rPr>
        <w:lastRenderedPageBreak/>
        <mc:AlternateContent>
          <mc:Choice Requires="wps">
            <w:drawing>
              <wp:anchor distT="0" distB="0" distL="114300" distR="114300" simplePos="0" relativeHeight="251660288" behindDoc="0" locked="0" layoutInCell="1" allowOverlap="1" wp14:anchorId="2F3BEA12" wp14:editId="4EE7D8B3">
                <wp:simplePos x="0" y="0"/>
                <wp:positionH relativeFrom="column">
                  <wp:posOffset>195852</wp:posOffset>
                </wp:positionH>
                <wp:positionV relativeFrom="paragraph">
                  <wp:posOffset>2894330</wp:posOffset>
                </wp:positionV>
                <wp:extent cx="406400" cy="38462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6400" cy="384629"/>
                        </a:xfrm>
                        <a:prstGeom prst="rect">
                          <a:avLst/>
                        </a:prstGeom>
                        <a:noFill/>
                        <a:ln w="6350">
                          <a:noFill/>
                        </a:ln>
                      </wps:spPr>
                      <wps:txbx>
                        <w:txbxContent>
                          <w:p w14:paraId="2E3D6405" w14:textId="320A2D67" w:rsidR="00FC5BA6" w:rsidRPr="00A01796" w:rsidRDefault="00FC5BA6" w:rsidP="006924E3">
                            <w:pPr>
                              <w:rPr>
                                <w:rFonts w:ascii="Helvetica" w:hAnsi="Helvetica"/>
                                <w:b/>
                                <w:sz w:val="20"/>
                                <w:szCs w:val="20"/>
                                <w:lang w:val="fr-CH"/>
                              </w:rPr>
                            </w:pPr>
                            <w:r w:rsidRPr="00A01796">
                              <w:rPr>
                                <w:rFonts w:ascii="Helvetica" w:hAnsi="Helvetica"/>
                                <w:b/>
                                <w:sz w:val="20"/>
                                <w:szCs w:val="20"/>
                                <w:lang w:val="fr-CH"/>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BEA12" id="_x0000_t202" coordsize="21600,21600" o:spt="202" path="m,l,21600r21600,l21600,xe">
                <v:stroke joinstyle="miter"/>
                <v:path gradientshapeok="t" o:connecttype="rect"/>
              </v:shapetype>
              <v:shape id="Text Box 12" o:spid="_x0000_s1026" type="#_x0000_t202" style="position:absolute;left:0;text-align:left;margin-left:15.4pt;margin-top:227.9pt;width:32pt;height:3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" filled="f" stroked="f" strokeweight=".5pt">
                <v:textbox>
                  <w:txbxContent>
                    <w:p w14:paraId="2E3D6405" w14:textId="320A2D67" w:rsidR="00FC5BA6" w:rsidRPr="00A01796" w:rsidRDefault="00FC5BA6" w:rsidP="006924E3">
                      <w:pPr>
                        <w:rPr>
                          <w:rFonts w:ascii="Helvetica" w:hAnsi="Helvetica"/>
                          <w:b/>
                          <w:sz w:val="20"/>
                          <w:szCs w:val="20"/>
                          <w:lang w:val="fr-CH"/>
                        </w:rPr>
                      </w:pPr>
                      <w:r w:rsidRPr="00A01796">
                        <w:rPr>
                          <w:rFonts w:ascii="Helvetica" w:hAnsi="Helvetica"/>
                          <w:b/>
                          <w:sz w:val="20"/>
                          <w:szCs w:val="20"/>
                          <w:lang w:val="fr-CH"/>
                        </w:rPr>
                        <w:t>(b)</w:t>
                      </w:r>
                    </w:p>
                  </w:txbxContent>
                </v:textbox>
              </v:shape>
            </w:pict>
          </mc:Fallback>
        </mc:AlternateContent>
      </w:r>
      <w:r w:rsidRPr="004C6B04">
        <w:rPr>
          <w:b/>
          <w:noProof/>
          <w:color w:val="000000" w:themeColor="text1"/>
          <w:sz w:val="22"/>
          <w:szCs w:val="22"/>
          <w:lang w:val="en-GB"/>
        </w:rPr>
        <mc:AlternateContent>
          <mc:Choice Requires="wps">
            <w:drawing>
              <wp:anchor distT="0" distB="0" distL="114300" distR="114300" simplePos="0" relativeHeight="251658240" behindDoc="0" locked="0" layoutInCell="1" allowOverlap="1" wp14:anchorId="5A6045EE" wp14:editId="2F711B80">
                <wp:simplePos x="0" y="0"/>
                <wp:positionH relativeFrom="column">
                  <wp:posOffset>239395</wp:posOffset>
                </wp:positionH>
                <wp:positionV relativeFrom="paragraph">
                  <wp:posOffset>-60870</wp:posOffset>
                </wp:positionV>
                <wp:extent cx="406400" cy="38462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6400" cy="384629"/>
                        </a:xfrm>
                        <a:prstGeom prst="rect">
                          <a:avLst/>
                        </a:prstGeom>
                        <a:noFill/>
                        <a:ln w="6350">
                          <a:noFill/>
                        </a:ln>
                      </wps:spPr>
                      <wps:txbx>
                        <w:txbxContent>
                          <w:p w14:paraId="4D4C29A9" w14:textId="54B563E5" w:rsidR="00FC5BA6" w:rsidRPr="00A01796" w:rsidRDefault="00FC5BA6">
                            <w:pPr>
                              <w:rPr>
                                <w:rFonts w:ascii="Helvetica" w:hAnsi="Helvetica"/>
                                <w:b/>
                                <w:sz w:val="20"/>
                                <w:szCs w:val="20"/>
                                <w:lang w:val="fr-CH"/>
                              </w:rPr>
                            </w:pPr>
                            <w:r w:rsidRPr="00A01796">
                              <w:rPr>
                                <w:rFonts w:ascii="Helvetica" w:hAnsi="Helvetica"/>
                                <w:b/>
                                <w:sz w:val="20"/>
                                <w:szCs w:val="20"/>
                                <w:lang w:val="fr-CH"/>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045EE" id="Text Box 10" o:spid="_x0000_s1027" type="#_x0000_t202" style="position:absolute;left:0;text-align:left;margin-left:18.85pt;margin-top:-4.8pt;width:32pt;height:3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" filled="f" stroked="f" strokeweight=".5pt">
                <v:textbox>
                  <w:txbxContent>
                    <w:p w14:paraId="4D4C29A9" w14:textId="54B563E5" w:rsidR="00FC5BA6" w:rsidRPr="00A01796" w:rsidRDefault="00FC5BA6">
                      <w:pPr>
                        <w:rPr>
                          <w:rFonts w:ascii="Helvetica" w:hAnsi="Helvetica"/>
                          <w:b/>
                          <w:sz w:val="20"/>
                          <w:szCs w:val="20"/>
                          <w:lang w:val="fr-CH"/>
                        </w:rPr>
                      </w:pPr>
                      <w:r w:rsidRPr="00A01796">
                        <w:rPr>
                          <w:rFonts w:ascii="Helvetica" w:hAnsi="Helvetica"/>
                          <w:b/>
                          <w:sz w:val="20"/>
                          <w:szCs w:val="20"/>
                          <w:lang w:val="fr-CH"/>
                        </w:rPr>
                        <w:t>(a)</w:t>
                      </w:r>
                    </w:p>
                  </w:txbxContent>
                </v:textbox>
              </v:shape>
            </w:pict>
          </mc:Fallback>
        </mc:AlternateContent>
      </w:r>
      <w:r w:rsidR="004526DD" w:rsidRPr="004C6B04">
        <w:rPr>
          <w:b/>
          <w:noProof/>
          <w:color w:val="000000" w:themeColor="text1"/>
          <w:sz w:val="22"/>
          <w:szCs w:val="22"/>
          <w:lang w:val="en-GB"/>
        </w:rPr>
        <w:drawing>
          <wp:inline distT="0" distB="0" distL="0" distR="0" wp14:anchorId="1A8CC952" wp14:editId="2138DA7D">
            <wp:extent cx="4971143" cy="289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PSMC_supp_Zhang_ra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7003" cy="2895159"/>
                    </a:xfrm>
                    <a:prstGeom prst="rect">
                      <a:avLst/>
                    </a:prstGeom>
                  </pic:spPr>
                </pic:pic>
              </a:graphicData>
            </a:graphic>
          </wp:inline>
        </w:drawing>
      </w:r>
    </w:p>
    <w:p w14:paraId="0FB72C02" w14:textId="77777777" w:rsidR="000D6EEC" w:rsidRPr="004C6B04" w:rsidRDefault="00ED165B" w:rsidP="00672622">
      <w:pPr>
        <w:spacing w:line="360" w:lineRule="auto"/>
        <w:jc w:val="center"/>
        <w:rPr>
          <w:b/>
          <w:color w:val="000000" w:themeColor="text1"/>
          <w:sz w:val="22"/>
          <w:szCs w:val="22"/>
          <w:lang w:val="en-GB"/>
        </w:rPr>
      </w:pPr>
      <w:r w:rsidRPr="004C6B04">
        <w:rPr>
          <w:noProof/>
          <w:color w:val="000000" w:themeColor="text1"/>
        </w:rPr>
        <w:drawing>
          <wp:inline distT="0" distB="0" distL="0" distR="0" wp14:anchorId="41FFF1CA" wp14:editId="1D22B0D9">
            <wp:extent cx="4892410" cy="28481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PSM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495" cy="2855774"/>
                    </a:xfrm>
                    <a:prstGeom prst="rect">
                      <a:avLst/>
                    </a:prstGeom>
                  </pic:spPr>
                </pic:pic>
              </a:graphicData>
            </a:graphic>
          </wp:inline>
        </w:drawing>
      </w:r>
    </w:p>
    <w:p w14:paraId="644A971F" w14:textId="46C95C0F" w:rsidR="00496EE9" w:rsidRPr="004C6B04" w:rsidRDefault="004526DD" w:rsidP="004526DD">
      <w:pPr>
        <w:spacing w:line="360" w:lineRule="auto"/>
        <w:jc w:val="both"/>
        <w:rPr>
          <w:color w:val="000000" w:themeColor="text1"/>
          <w:sz w:val="22"/>
          <w:szCs w:val="22"/>
          <w:lang w:val="en-GB"/>
        </w:rPr>
      </w:pPr>
      <w:r w:rsidRPr="004C6B04">
        <w:rPr>
          <w:b/>
          <w:color w:val="000000" w:themeColor="text1"/>
          <w:sz w:val="22"/>
          <w:szCs w:val="22"/>
          <w:lang w:val="en-GB"/>
        </w:rPr>
        <w:t>Figure S2.</w:t>
      </w:r>
      <w:r w:rsidRPr="004C6B04">
        <w:rPr>
          <w:color w:val="000000" w:themeColor="text1"/>
          <w:sz w:val="22"/>
          <w:szCs w:val="22"/>
          <w:lang w:val="en-GB"/>
        </w:rPr>
        <w:t xml:space="preserve"> PSMC for huia and South Island kōkako assuming a generation time of 6 years </w:t>
      </w:r>
      <w:r w:rsidR="00F02316" w:rsidRPr="004C6B04">
        <w:rPr>
          <w:color w:val="000000" w:themeColor="text1"/>
          <w:sz w:val="22"/>
          <w:szCs w:val="22"/>
          <w:lang w:val="en-GB"/>
        </w:rPr>
        <w:fldChar w:fldCharType="begin" w:fldLock="1"/>
      </w:r>
      <w:r w:rsidR="00F02316" w:rsidRPr="004C6B04">
        <w:rPr>
          <w:color w:val="000000" w:themeColor="text1"/>
          <w:sz w:val="22"/>
          <w:szCs w:val="22"/>
          <w:lang w:val="en-GB"/>
        </w:rPr>
        <w:instrText>ADDIN CSL_CITATION {"citationItems":[{"id":"ITEM-1","itemData":{"ISBN":"0478219547","author":[{"dropping-particle":"","family":"Double","given":"Michael","non-dropping-particle":"","parse-names":false,"suffix":""},{"dropping-particle":"","family":"Murphy","given":"Steve","non-dropping-particle":"","parse-names":false,"suffix":""}],"container-title":"New Zealand Dept of conservation","id":"ITEM-1","issued":{"date-parts":[["2000"]]},"title":"Genetic variation within and among populations of North Island kokako","type":"article-journal"},"uris":["http://www.mendeley.com/documents/?uuid=ca3a7b32-bc00-4129-ab09-faf8223f7c9a"]},{"id":"ITEM-2","itemData":{"DOI":"10.1111/j.1365-2656.2004.00908.x","ISSN":"00218790","abstract":"1. Reintroductions provide a good opportunity to study density-dependent population growth, as populations can be studied at a range of densities and the change in density is not confounded with environmental conditions. An understanding of density dependence is also necessary to predict dynamics of reintroduced populations under different management regimens, and assess the extent to which they can be harvested for further reintroductions.   2. We monitored a North Island saddleback (Philesturnus rufusater) population for 6 years after reintroduction to Mokoia, a 135 ha island in New Zealand that was made suitable for saddlebacks by eradicating introduced Norway rats (Rattus norvegicus). We modelled adult and juvenile survival using Program MARK, and modelled numbers of young fledged per pair using Proc Mixed in SAS with individual female as a random factor.  3. Juvenile survival clearly declined as the population increased, and the decline was closely correlated with the number of breeding pairs. Reproduction also showed a clear decline that was explained by two factors: a difference in quality between territories occupied immediately after reintroduction and those occupied later, and an overall decline as the number of pairs increased. Reproduction was also strongly affected by age, and this needed to be accounted for when modelling density dependence.  4. A stochastic simulation model incorporating these dynamics closely predicted the observed population growth. The equilibrium population size was insensitive to density dependence in reproduction, but highly sensitive to density dependence in juvenile survival.  5. The model is being used to plan management strategies for potential reintroductions of saddlebacks to mainland areas with predator control. The species is currently confined to predator-free islands and one fenced mainland sanctuary.","author":[{"dropping-particle":"","family":"Armstrong","given":"Doug P.","non-dropping-particle":"","parse-names":false,"suffix":""},{"dropping-particle":"","family":"Davidson","given":"R. Scott","non-dropping-particle":"","parse-names":false,"suffix":""},{"dropping-particle":"","family":"Perrott","given":"John K.","non-dropping-particle":"","parse-names":false,"suffix":""},{"dropping-particle":"","family":"Roygard","given":"Jon","non-dropping-particle":"","parse-names":false,"suffix":""},{"dropping-particle":"","family":"Buchanan","given":"Len","non-dropping-particle":"","parse-names":false,"suffix":""}],"container-title":"Journal of Animal Ecology","id":"ITEM-2","issue":"1","issued":{"date-parts":[["2005"]]},"page":"160-170","title":"Density-dependent population growth in a reintroduced population of North Island saddlebacks","type":"article-journal","volume":"74"},"uris":["http://www.mendeley.com/documents/?uuid=0f2e046b-7dd6-405b-86a6-181a7aa099ca"]}],"mendeley":{"formattedCitation":"[15,16]","plainTextFormattedCitation":"[15,16]","previouslyFormattedCitation":"[15,16]"},"properties":{"noteIndex":0},"schema":"https://github.com/citation-style-language/schema/raw/master/csl-citation.json"}</w:instrText>
      </w:r>
      <w:r w:rsidR="00F02316" w:rsidRPr="004C6B04">
        <w:rPr>
          <w:color w:val="000000" w:themeColor="text1"/>
          <w:sz w:val="22"/>
          <w:szCs w:val="22"/>
          <w:lang w:val="en-GB"/>
        </w:rPr>
        <w:fldChar w:fldCharType="separate"/>
      </w:r>
      <w:r w:rsidR="00F02316" w:rsidRPr="004C6B04">
        <w:rPr>
          <w:noProof/>
          <w:color w:val="000000" w:themeColor="text1"/>
          <w:sz w:val="22"/>
          <w:szCs w:val="22"/>
          <w:lang w:val="en-GB"/>
        </w:rPr>
        <w:t>[15,16]</w:t>
      </w:r>
      <w:r w:rsidR="00F02316" w:rsidRPr="004C6B04">
        <w:rPr>
          <w:color w:val="000000" w:themeColor="text1"/>
          <w:sz w:val="22"/>
          <w:szCs w:val="22"/>
          <w:lang w:val="en-GB"/>
        </w:rPr>
        <w:fldChar w:fldCharType="end"/>
      </w:r>
      <w:r w:rsidR="00F02316" w:rsidRPr="004C6B04">
        <w:rPr>
          <w:color w:val="000000" w:themeColor="text1"/>
          <w:sz w:val="22"/>
          <w:szCs w:val="22"/>
          <w:lang w:val="en-GB"/>
        </w:rPr>
        <w:t xml:space="preserve"> </w:t>
      </w:r>
      <w:r w:rsidR="0013380C" w:rsidRPr="004C6B04">
        <w:rPr>
          <w:color w:val="000000" w:themeColor="text1"/>
          <w:sz w:val="22"/>
          <w:szCs w:val="22"/>
          <w:lang w:val="en-GB"/>
        </w:rPr>
        <w:t xml:space="preserve">without </w:t>
      </w:r>
      <w:r w:rsidR="0013380C" w:rsidRPr="004C6B04">
        <w:rPr>
          <w:rFonts w:ascii="Courier New" w:hAnsi="Courier New" w:cs="Courier New"/>
          <w:color w:val="000000" w:themeColor="text1"/>
          <w:sz w:val="22"/>
          <w:szCs w:val="22"/>
          <w:lang w:val="en-GB"/>
        </w:rPr>
        <w:t>﻿</w:t>
      </w:r>
      <w:r w:rsidR="0013380C" w:rsidRPr="004C6B04">
        <w:rPr>
          <w:color w:val="000000" w:themeColor="text1"/>
          <w:sz w:val="22"/>
          <w:szCs w:val="22"/>
          <w:lang w:val="en-GB"/>
        </w:rPr>
        <w:t xml:space="preserve">Uniform False Negative Rate (uFNR) correction. </w:t>
      </w:r>
      <w:r w:rsidRPr="004C6B04">
        <w:rPr>
          <w:color w:val="000000" w:themeColor="text1"/>
          <w:sz w:val="22"/>
          <w:szCs w:val="22"/>
          <w:lang w:val="en-GB"/>
        </w:rPr>
        <w:t xml:space="preserve">The x axis corresponds to time before present in years on a log scale, assuming a </w:t>
      </w:r>
      <w:r w:rsidR="00ED165B" w:rsidRPr="004C6B04">
        <w:rPr>
          <w:color w:val="000000" w:themeColor="text1"/>
          <w:sz w:val="22"/>
          <w:szCs w:val="22"/>
          <w:lang w:val="en-GB"/>
        </w:rPr>
        <w:t>substitution</w:t>
      </w:r>
      <w:r w:rsidRPr="004C6B04">
        <w:rPr>
          <w:color w:val="000000" w:themeColor="text1"/>
          <w:sz w:val="22"/>
          <w:szCs w:val="22"/>
          <w:lang w:val="en-GB"/>
        </w:rPr>
        <w:t xml:space="preserve"> rate of</w:t>
      </w:r>
      <w:r w:rsidR="00ED165B" w:rsidRPr="004C6B04">
        <w:rPr>
          <w:color w:val="000000" w:themeColor="text1"/>
          <w:sz w:val="22"/>
          <w:szCs w:val="22"/>
          <w:lang w:val="en-GB"/>
        </w:rPr>
        <w:t xml:space="preserve"> </w:t>
      </w:r>
      <w:r w:rsidR="00574364">
        <w:rPr>
          <w:color w:val="000000" w:themeColor="text1"/>
          <w:sz w:val="22"/>
          <w:szCs w:val="22"/>
          <w:lang w:val="en-GB"/>
        </w:rPr>
        <w:t xml:space="preserve"> </w:t>
      </w:r>
      <w:r w:rsidR="00ED165B" w:rsidRPr="00574364">
        <w:rPr>
          <w:b/>
          <w:color w:val="000000" w:themeColor="text1"/>
          <w:sz w:val="22"/>
          <w:szCs w:val="22"/>
          <w:lang w:val="en-GB"/>
        </w:rPr>
        <w:t>(a)</w:t>
      </w:r>
      <w:r w:rsidRPr="004C6B04">
        <w:rPr>
          <w:color w:val="000000" w:themeColor="text1"/>
          <w:sz w:val="22"/>
          <w:szCs w:val="22"/>
          <w:lang w:val="en-GB"/>
        </w:rPr>
        <w:t xml:space="preserve"> 1.92</w:t>
      </w:r>
      <m:oMath>
        <m:r>
          <w:rPr>
            <w:rFonts w:ascii="Cambria Math" w:hAnsi="Cambria Math"/>
            <w:color w:val="000000" w:themeColor="text1"/>
            <w:lang w:val="en-GB"/>
          </w:rPr>
          <m:t>×</m:t>
        </m:r>
      </m:oMath>
      <w:r w:rsidRPr="004C6B04">
        <w:rPr>
          <w:color w:val="000000" w:themeColor="text1"/>
          <w:sz w:val="22"/>
          <w:szCs w:val="22"/>
          <w:lang w:val="en-GB"/>
        </w:rPr>
        <w:t>10</w:t>
      </w:r>
      <w:r w:rsidRPr="004C6B04">
        <w:rPr>
          <w:color w:val="000000" w:themeColor="text1"/>
          <w:sz w:val="22"/>
          <w:szCs w:val="22"/>
          <w:vertAlign w:val="superscript"/>
          <w:lang w:val="en-GB"/>
        </w:rPr>
        <w:t>-8</w:t>
      </w:r>
      <w:r w:rsidRPr="004C6B04">
        <w:rPr>
          <w:color w:val="000000" w:themeColor="text1"/>
          <w:sz w:val="22"/>
          <w:szCs w:val="22"/>
          <w:lang w:val="en-GB"/>
        </w:rPr>
        <w:t xml:space="preserve"> substitution/site/generation</w:t>
      </w:r>
      <w:r w:rsidR="00797555" w:rsidRPr="004C6B04">
        <w:rPr>
          <w:color w:val="000000" w:themeColor="text1"/>
          <w:sz w:val="22"/>
          <w:szCs w:val="22"/>
          <w:lang w:val="en-GB"/>
        </w:rPr>
        <w:t xml:space="preserve"> inferred from a passerine-specific rate</w:t>
      </w:r>
      <w:r w:rsidRPr="004C6B04">
        <w:rPr>
          <w:color w:val="000000" w:themeColor="text1"/>
          <w:sz w:val="22"/>
          <w:szCs w:val="22"/>
          <w:lang w:val="en-GB"/>
        </w:rPr>
        <w:t xml:space="preserve"> </w:t>
      </w:r>
      <w:r w:rsidR="0081066F" w:rsidRPr="004C6B04">
        <w:rPr>
          <w:color w:val="000000" w:themeColor="text1"/>
          <w:sz w:val="22"/>
          <w:szCs w:val="22"/>
          <w:lang w:val="en-GB"/>
        </w:rPr>
        <w:fldChar w:fldCharType="begin" w:fldLock="1"/>
      </w:r>
      <w:r w:rsidR="0081066F">
        <w:rPr>
          <w:color w:val="000000" w:themeColor="text1"/>
          <w:sz w:val="22"/>
          <w:szCs w:val="22"/>
          <w:lang w:val="en-GB"/>
        </w:rPr>
        <w:instrText>ADDIN CSL_CITATION {"citationItems":[{"id":"ITEM-1","itemData":{"author":[{"dropping-particle":"","family":"Zhang","given":"Guojie","non-dropping-particle":"","parse-names":false,"suffix":""},{"dropping-particle":"","family":"Li","given":"Cai","non-dropping-particle":"","parse-names":false,"suffix":""},{"dropping-particle":"","family":"Li","given":"Qiye","non-dropping-particle":"","parse-names":false,"suffix":""},{"dropping-particle":"","family":"Li","given":"Bo","non-dropping-particle":"","parse-names":false,"suffix":""},{"dropping-particle":"","family":"Larkin","given":"Denis M","non-dropping-particle":"","parse-names":false,"suffix":""},{"dropping-particle":"","family":"Lee","given":"Chul","non-dropping-particle":"","parse-names":false,"suffix":""},{"dropping-particle":"","family":"Storz","given":"Jay F","non-dropping-particle":"","parse-names":false,"suffix":""},{"dropping-particle":"","family":"Antunes","given":"Agostinho","non-dropping-particle":"","parse-names":false,"suffix":""},{"dropping-particle":"","family":"Greenwold","given":"Matthew J","non-dropping-particle":"","parse-names":false,"suffix":""},{"dropping-particle":"","family":"Meredith","given":"Robert W","non-dropping-particle":"","parse-names":false,"suffix":""},{"dropping-particle":"","family":"Zeng","given":"Yongli","non-dropping-particle":"","parse-names":false,"suffix":""},{"dropping-particle":"","family":"Xiong","given":"Zijun","non-dropping-particle":"","parse-names":false,"suffix":""},{"dropping-particle":"","family":"Liu","given":"Shiping","non-dropping-particle":"","parse-names":false,"suffix":""},{"dropping-particle":"","family":"Zhou","given":"Long","non-dropping-particle":"","parse-names":false,"suffix":""},{"dropping-particle":"","family":"Huang","given":"Zhiyong","non-dropping-particle":"","parse-names":false,"suffix":""},{"dropping-particle":"","family":"An","given":"Na","non-dropping-particle":"","parse-names":false,"suffix":""},{"dropping-particle":"","family":"Wang","given":"Jie","non-dropping-particle":"","parse-names":false,"suffix":""},{"dropping-particle":"","family":"Zheng","given":"Qiumei","non-dropping-particle":"","parse-names":false,"suffix":""},{"dropping-particle":"","family":"Xiong","given":"Yingqi","non-dropping-particle":"","parse-names":false,"suffix":""},{"dropping-particle":"","family":"Wang","given":"Guangbiao","non-dropping-particle":"","parse-names":false,"suffix":""},{"dropping-particle":"","family":"Wang","given":"Bo","non-dropping-particle":"","parse-names":false,"suffix":""},{"dropping-particle":"","family":"Wang","given":"Jingjing","non-dropping-particle":"","parse-names":false,"suffix":""},{"dropping-particle":"","family":"Fan","given":"Yu","non-dropping-particle":"","parse-names":false,"suffix":""},{"dropping-particle":"","family":"Fonseca","given":"Rute R","non-dropping-particle":"","parse-names":false,"suffix":""},{"dropping-particle":"","family":"Alfaro-núñez","given":"Alonzo","non-dropping-particle":"","parse-names":false,"suffix":""},{"dropping-particle":"","family":"Schubert","given":"Mikkel","non-dropping-particle":"","parse-names":false,"suffix":""},{"dropping-particle":"","family":"Orlando","given":"Ludovic","non-dropping-particle":"","parse-names":false,"suffix":""},{"dropping-particle":"","family":"Mourier","given":"Tobias","non-dropping-particle":"","parse-names":false,"suffix":""},{"dropping-particle":"","family":"Howard","given":"Jason T","non-dropping-particle":"","parse-names":false,"suffix":""},{"dropping-particle":"","family":"Ganapathy","given":"Ganeshkumar","non-dropping-particle":"","parse-names":false,"suffix":""}],"container-title":"Science (New York, N.Y.)","id":"ITEM-1","issue":"6215","issued":{"date-parts":[["2014"]]},"page":"1311-1321","title":"Comparative genomics reveals insights into avian genome evolution and adaptation","type":"article-journal","volume":"346"},"uris":["http://www.mendeley.com/documents/?uuid=d1e8d309-1cd9-47a8-8bd3-5ed7f36fd82c"]}],"mendeley":{"formattedCitation":"[18]","plainTextFormattedCitation":"[18]","previouslyFormattedCitation":"[24]"},"properties":{"noteIndex":0},"schema":"https://github.com/citation-style-language/schema/raw/master/csl-citation.json"}</w:instrText>
      </w:r>
      <w:r w:rsidR="0081066F" w:rsidRPr="004C6B04">
        <w:rPr>
          <w:color w:val="000000" w:themeColor="text1"/>
          <w:sz w:val="22"/>
          <w:szCs w:val="22"/>
          <w:lang w:val="en-GB"/>
        </w:rPr>
        <w:fldChar w:fldCharType="separate"/>
      </w:r>
      <w:r w:rsidR="0081066F" w:rsidRPr="0081066F">
        <w:rPr>
          <w:noProof/>
          <w:color w:val="000000" w:themeColor="text1"/>
          <w:sz w:val="22"/>
          <w:szCs w:val="22"/>
          <w:lang w:val="en-GB"/>
        </w:rPr>
        <w:t>[18]</w:t>
      </w:r>
      <w:r w:rsidR="0081066F" w:rsidRPr="004C6B04">
        <w:rPr>
          <w:color w:val="000000" w:themeColor="text1"/>
          <w:sz w:val="22"/>
          <w:szCs w:val="22"/>
          <w:lang w:val="en-GB"/>
        </w:rPr>
        <w:fldChar w:fldCharType="end"/>
      </w:r>
      <w:r w:rsidR="0083437F">
        <w:rPr>
          <w:color w:val="000000" w:themeColor="text1"/>
          <w:sz w:val="22"/>
          <w:szCs w:val="22"/>
          <w:lang w:val="en-GB"/>
        </w:rPr>
        <w:t xml:space="preserve"> </w:t>
      </w:r>
      <w:r w:rsidR="00ED165B" w:rsidRPr="004C6B04">
        <w:rPr>
          <w:color w:val="000000" w:themeColor="text1"/>
          <w:sz w:val="22"/>
          <w:szCs w:val="22"/>
          <w:lang w:val="en-GB"/>
        </w:rPr>
        <w:t>and</w:t>
      </w:r>
      <w:r w:rsidR="00574364">
        <w:rPr>
          <w:color w:val="000000" w:themeColor="text1"/>
          <w:sz w:val="22"/>
          <w:szCs w:val="22"/>
          <w:lang w:val="en-GB"/>
        </w:rPr>
        <w:t>,</w:t>
      </w:r>
      <w:r w:rsidR="00ED165B" w:rsidRPr="004C6B04">
        <w:rPr>
          <w:color w:val="000000" w:themeColor="text1"/>
          <w:sz w:val="22"/>
          <w:szCs w:val="22"/>
          <w:lang w:val="en-GB"/>
        </w:rPr>
        <w:t xml:space="preserve"> </w:t>
      </w:r>
      <w:r w:rsidR="00ED165B" w:rsidRPr="00574364">
        <w:rPr>
          <w:b/>
          <w:color w:val="000000" w:themeColor="text1"/>
          <w:sz w:val="22"/>
          <w:szCs w:val="22"/>
          <w:lang w:val="en-GB"/>
        </w:rPr>
        <w:t>(b)</w:t>
      </w:r>
      <w:r w:rsidR="00ED165B" w:rsidRPr="004C6B04">
        <w:rPr>
          <w:color w:val="000000" w:themeColor="text1"/>
          <w:sz w:val="22"/>
          <w:szCs w:val="22"/>
          <w:lang w:val="en-GB"/>
        </w:rPr>
        <w:t xml:space="preserve"> assuming a substitution rate of 1.38</w:t>
      </w:r>
      <m:oMath>
        <m:r>
          <w:rPr>
            <w:rFonts w:ascii="Cambria Math" w:hAnsi="Cambria Math"/>
            <w:color w:val="000000" w:themeColor="text1"/>
            <w:lang w:val="en-GB"/>
          </w:rPr>
          <m:t>×</m:t>
        </m:r>
      </m:oMath>
      <w:r w:rsidR="00ED165B" w:rsidRPr="004C6B04">
        <w:rPr>
          <w:color w:val="000000" w:themeColor="text1"/>
          <w:sz w:val="22"/>
          <w:szCs w:val="22"/>
          <w:lang w:val="en-GB"/>
        </w:rPr>
        <w:t>10</w:t>
      </w:r>
      <w:r w:rsidR="00ED165B" w:rsidRPr="004C6B04">
        <w:rPr>
          <w:color w:val="000000" w:themeColor="text1"/>
          <w:sz w:val="22"/>
          <w:szCs w:val="22"/>
          <w:vertAlign w:val="superscript"/>
          <w:lang w:val="en-GB"/>
        </w:rPr>
        <w:t>-8</w:t>
      </w:r>
      <w:r w:rsidR="00ED165B" w:rsidRPr="004C6B04">
        <w:rPr>
          <w:color w:val="000000" w:themeColor="text1"/>
          <w:sz w:val="22"/>
          <w:szCs w:val="22"/>
          <w:lang w:val="en-GB"/>
        </w:rPr>
        <w:t xml:space="preserve"> substitution/site/generation inferred from </w:t>
      </w:r>
      <w:r w:rsidR="00ED165B" w:rsidRPr="004C6B04">
        <w:rPr>
          <w:color w:val="000000" w:themeColor="text1"/>
          <w:sz w:val="22"/>
          <w:szCs w:val="22"/>
          <w:lang w:val="en-GB"/>
        </w:rPr>
        <w:fldChar w:fldCharType="begin" w:fldLock="1"/>
      </w:r>
      <w:r w:rsidR="0081066F">
        <w:rPr>
          <w:color w:val="000000" w:themeColor="text1"/>
          <w:sz w:val="22"/>
          <w:szCs w:val="22"/>
          <w:lang w:val="en-GB"/>
        </w:rPr>
        <w:instrText>ADDIN CSL_CITATION {"citationItems":[{"id":"ITEM-1","itemData":{"DOI":"10.1101/gr.204669.116","ISBN":"1088-9051","ISSN":"15495469","PMID":"27412854","abstract":"The fidelity of DNA replication together with repair mechanisms ensure that the genetic material is properly copied from one generation to another. However, at the extremely rare occasions when damages to DNA or replication errors are not repaired, germline mutations can be transmitted to the next generation. Because of the rarity of these events, studying the rate at which new mutation arise across organisms has been a great challenge, especially in multicellular non-model organisms with large genomes. We sequenced the genomes of 11 birds from a three-generation pedigree of the collared flycatcher (Ficedula albicollis) and used highly stringent bioinformatic criteria for mutation detection, and several procedures to validate mutations including following the stable inheritance of new mutations to subsequent generations. We identified 55 de novo mutations with a 10-fold enrichment of mutations at CpG sites and with only a modest male mutation bias. The estimated rate of mutation per site per generation was 4.6 x 10-9, which corresponds to 2.3 x 10-9 mutations per site per year. Compared to mammals, this is similar to mouse but about half that reported for humans, which may be due to the higher frequency of male mutations in man. We confirm that mutation rate scales positively with genome size and that there is a strong negative relationship between mutation rate and effective population size, in line with the drift-barrier hypothesis. Our study illustrates that it should be feasible to obtain direct estimates of the rate of mutation in essentially any organism from which family material can be obtained.","author":[{"dropping-particle":"","family":"Smeds","given":"Linnéa","non-dropping-particle":"","parse-names":false,"suffix":""},{"dropping-particle":"","family":"Qvarnström","given":"Anna","non-dropping-particle":"","parse-names":false,"suffix":""},{"dropping-particle":"","family":"Ellegren","given":"Hans","non-dropping-particle":"","parse-names":false,"suffix":""}],"container-title":"Genome Research","id":"ITEM-1","issue":"9","issued":{"date-parts":[["2016"]]},"page":"1211-1218","title":"Direct estimate of the rate of germline mutation in a bird","type":"article-journal","volume":"26"},"uris":["http://www.mendeley.com/documents/?uuid=5e96fa6f-4773-4f34-af90-2a3aa8ab2b01"]}],"mendeley":{"formattedCitation":"[17]","plainTextFormattedCitation":"[17]","previouslyFormattedCitation":"[17]"},"properties":{"noteIndex":0},"schema":"https://github.com/citation-style-language/schema/raw/master/csl-citation.json"}</w:instrText>
      </w:r>
      <w:r w:rsidR="00ED165B" w:rsidRPr="004C6B04">
        <w:rPr>
          <w:color w:val="000000" w:themeColor="text1"/>
          <w:sz w:val="22"/>
          <w:szCs w:val="22"/>
          <w:lang w:val="en-GB"/>
        </w:rPr>
        <w:fldChar w:fldCharType="separate"/>
      </w:r>
      <w:r w:rsidR="00B84B07" w:rsidRPr="004C6B04">
        <w:rPr>
          <w:noProof/>
          <w:color w:val="000000" w:themeColor="text1"/>
          <w:sz w:val="22"/>
          <w:szCs w:val="22"/>
          <w:lang w:val="en-GB"/>
        </w:rPr>
        <w:t>[17]</w:t>
      </w:r>
      <w:r w:rsidR="00ED165B" w:rsidRPr="004C6B04">
        <w:rPr>
          <w:color w:val="000000" w:themeColor="text1"/>
          <w:sz w:val="22"/>
          <w:szCs w:val="22"/>
          <w:lang w:val="en-GB"/>
        </w:rPr>
        <w:fldChar w:fldCharType="end"/>
      </w:r>
      <w:r w:rsidRPr="004C6B04">
        <w:rPr>
          <w:color w:val="000000" w:themeColor="text1"/>
          <w:sz w:val="22"/>
          <w:szCs w:val="22"/>
          <w:lang w:val="en-GB"/>
        </w:rPr>
        <w:t xml:space="preserve">. Thin lines depict one hundred bootstrap replicates for each individual bird of the same colour. The y axis corresponds to the effective population size. </w:t>
      </w:r>
    </w:p>
    <w:p w14:paraId="62AC18AB" w14:textId="77777777" w:rsidR="00496EE9" w:rsidRPr="004C6B04" w:rsidRDefault="00496EE9" w:rsidP="004526DD">
      <w:pPr>
        <w:spacing w:line="360" w:lineRule="auto"/>
        <w:jc w:val="both"/>
        <w:rPr>
          <w:color w:val="000000" w:themeColor="text1"/>
          <w:sz w:val="22"/>
          <w:szCs w:val="22"/>
          <w:lang w:val="en-GB"/>
        </w:rPr>
      </w:pPr>
    </w:p>
    <w:p w14:paraId="2A66D58F" w14:textId="274933E8" w:rsidR="004526DD" w:rsidRPr="004C6B04" w:rsidRDefault="004526DD" w:rsidP="00496EE9">
      <w:pPr>
        <w:tabs>
          <w:tab w:val="left" w:pos="3420"/>
        </w:tabs>
        <w:jc w:val="center"/>
        <w:rPr>
          <w:b/>
          <w:color w:val="000000" w:themeColor="text1"/>
        </w:rPr>
      </w:pPr>
    </w:p>
    <w:p w14:paraId="784922B6" w14:textId="4F3A7A09" w:rsidR="003C7CFD" w:rsidRPr="004C6B04" w:rsidRDefault="003811D5" w:rsidP="003D06FA">
      <w:pPr>
        <w:spacing w:line="360" w:lineRule="auto"/>
        <w:jc w:val="center"/>
        <w:rPr>
          <w:b/>
          <w:color w:val="000000" w:themeColor="text1"/>
        </w:rPr>
      </w:pPr>
      <w:r w:rsidRPr="004C6B04">
        <w:rPr>
          <w:b/>
          <w:noProof/>
          <w:color w:val="000000" w:themeColor="text1"/>
        </w:rPr>
        <mc:AlternateContent>
          <mc:Choice Requires="wps">
            <w:drawing>
              <wp:anchor distT="0" distB="0" distL="114300" distR="114300" simplePos="0" relativeHeight="251663360" behindDoc="0" locked="0" layoutInCell="1" allowOverlap="1" wp14:anchorId="48C1EFCC" wp14:editId="56E73A97">
                <wp:simplePos x="0" y="0"/>
                <wp:positionH relativeFrom="column">
                  <wp:posOffset>947783</wp:posOffset>
                </wp:positionH>
                <wp:positionV relativeFrom="paragraph">
                  <wp:posOffset>2494280</wp:posOffset>
                </wp:positionV>
                <wp:extent cx="500743" cy="37737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0743" cy="377372"/>
                        </a:xfrm>
                        <a:prstGeom prst="rect">
                          <a:avLst/>
                        </a:prstGeom>
                        <a:noFill/>
                        <a:ln w="6350">
                          <a:noFill/>
                        </a:ln>
                      </wps:spPr>
                      <wps:txbx>
                        <w:txbxContent>
                          <w:p w14:paraId="2A70CDD5" w14:textId="6668F2D2" w:rsidR="003811D5" w:rsidRPr="003811D5" w:rsidRDefault="003811D5" w:rsidP="003811D5">
                            <w:pPr>
                              <w:rPr>
                                <w:rFonts w:ascii="Helvetica" w:hAnsi="Helvetica"/>
                                <w:b/>
                                <w:sz w:val="20"/>
                                <w:szCs w:val="20"/>
                                <w:lang w:val="fr-CH"/>
                              </w:rPr>
                            </w:pPr>
                            <w:r w:rsidRPr="003811D5">
                              <w:rPr>
                                <w:rFonts w:ascii="Helvetica" w:hAnsi="Helvetica"/>
                                <w:b/>
                                <w:sz w:val="20"/>
                                <w:szCs w:val="20"/>
                                <w:lang w:val="fr-CH"/>
                              </w:rPr>
                              <w:t>(</w:t>
                            </w:r>
                            <w:r>
                              <w:rPr>
                                <w:rFonts w:ascii="Helvetica" w:hAnsi="Helvetica"/>
                                <w:b/>
                                <w:sz w:val="20"/>
                                <w:szCs w:val="20"/>
                                <w:lang w:val="fr-CH"/>
                              </w:rPr>
                              <w:t>b</w:t>
                            </w:r>
                            <w:r w:rsidRPr="003811D5">
                              <w:rPr>
                                <w:rFonts w:ascii="Helvetica" w:hAnsi="Helvetica"/>
                                <w:b/>
                                <w:sz w:val="20"/>
                                <w:szCs w:val="20"/>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1EFCC" id="Text Box 21" o:spid="_x0000_s1028" type="#_x0000_t202" style="position:absolute;left:0;text-align:left;margin-left:74.65pt;margin-top:196.4pt;width:39.45pt;height:29.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" filled="f" stroked="f" strokeweight=".5pt">
                <v:textbox>
                  <w:txbxContent>
                    <w:p w14:paraId="2A70CDD5" w14:textId="6668F2D2" w:rsidR="003811D5" w:rsidRPr="003811D5" w:rsidRDefault="003811D5" w:rsidP="003811D5">
                      <w:pPr>
                        <w:rPr>
                          <w:rFonts w:ascii="Helvetica" w:hAnsi="Helvetica"/>
                          <w:b/>
                          <w:sz w:val="20"/>
                          <w:szCs w:val="20"/>
                          <w:lang w:val="fr-CH"/>
                        </w:rPr>
                      </w:pPr>
                      <w:r w:rsidRPr="003811D5">
                        <w:rPr>
                          <w:rFonts w:ascii="Helvetica" w:hAnsi="Helvetica"/>
                          <w:b/>
                          <w:sz w:val="20"/>
                          <w:szCs w:val="20"/>
                          <w:lang w:val="fr-CH"/>
                        </w:rPr>
                        <w:t>(</w:t>
                      </w:r>
                      <w:r>
                        <w:rPr>
                          <w:rFonts w:ascii="Helvetica" w:hAnsi="Helvetica"/>
                          <w:b/>
                          <w:sz w:val="20"/>
                          <w:szCs w:val="20"/>
                          <w:lang w:val="fr-CH"/>
                        </w:rPr>
                        <w:t>b</w:t>
                      </w:r>
                      <w:r w:rsidRPr="003811D5">
                        <w:rPr>
                          <w:rFonts w:ascii="Helvetica" w:hAnsi="Helvetica"/>
                          <w:b/>
                          <w:sz w:val="20"/>
                          <w:szCs w:val="20"/>
                          <w:lang w:val="fr-CH"/>
                        </w:rPr>
                        <w:t>)</w:t>
                      </w:r>
                    </w:p>
                  </w:txbxContent>
                </v:textbox>
              </v:shape>
            </w:pict>
          </mc:Fallback>
        </mc:AlternateContent>
      </w:r>
    </w:p>
    <w:p w14:paraId="5FAC4329" w14:textId="0E38FC09" w:rsidR="00653DBD" w:rsidRPr="004C6B04" w:rsidRDefault="00653DBD" w:rsidP="003D06FA">
      <w:pPr>
        <w:spacing w:line="360" w:lineRule="auto"/>
        <w:jc w:val="center"/>
        <w:rPr>
          <w:b/>
          <w:color w:val="000000" w:themeColor="text1"/>
        </w:rPr>
      </w:pPr>
    </w:p>
    <w:p w14:paraId="3B2992AD" w14:textId="4109CF2C" w:rsidR="001E7890" w:rsidRPr="004C6B04" w:rsidRDefault="001E7890" w:rsidP="003D06FA">
      <w:pPr>
        <w:spacing w:line="360" w:lineRule="auto"/>
        <w:jc w:val="center"/>
        <w:rPr>
          <w:b/>
          <w:color w:val="000000" w:themeColor="text1"/>
        </w:rPr>
      </w:pPr>
    </w:p>
    <w:p w14:paraId="305DB0D0" w14:textId="77777777" w:rsidR="001E7890" w:rsidRPr="004C6B04" w:rsidRDefault="001E7890" w:rsidP="003D06FA">
      <w:pPr>
        <w:spacing w:line="360" w:lineRule="auto"/>
        <w:jc w:val="center"/>
        <w:rPr>
          <w:b/>
          <w:color w:val="000000" w:themeColor="text1"/>
        </w:rPr>
      </w:pPr>
    </w:p>
    <w:p w14:paraId="62772BED" w14:textId="05413184" w:rsidR="001E7890" w:rsidRPr="004C6B04" w:rsidRDefault="00D259F4" w:rsidP="00A451C0">
      <w:pPr>
        <w:spacing w:line="360" w:lineRule="auto"/>
        <w:jc w:val="both"/>
        <w:rPr>
          <w:b/>
          <w:color w:val="000000" w:themeColor="text1"/>
          <w:sz w:val="22"/>
          <w:szCs w:val="22"/>
          <w:lang w:val="en-GB"/>
        </w:rPr>
      </w:pPr>
      <w:r w:rsidRPr="004C6B04">
        <w:rPr>
          <w:b/>
          <w:noProof/>
          <w:color w:val="000000" w:themeColor="text1"/>
          <w:sz w:val="22"/>
          <w:szCs w:val="22"/>
          <w:lang w:val="en-GB"/>
        </w:rPr>
        <w:lastRenderedPageBreak/>
        <mc:AlternateContent>
          <mc:Choice Requires="wpg">
            <w:drawing>
              <wp:anchor distT="0" distB="0" distL="114300" distR="114300" simplePos="0" relativeHeight="251671552" behindDoc="0" locked="0" layoutInCell="1" allowOverlap="1" wp14:anchorId="311537CC" wp14:editId="33B4D5C5">
                <wp:simplePos x="0" y="0"/>
                <wp:positionH relativeFrom="column">
                  <wp:posOffset>53266</wp:posOffset>
                </wp:positionH>
                <wp:positionV relativeFrom="paragraph">
                  <wp:posOffset>-204186</wp:posOffset>
                </wp:positionV>
                <wp:extent cx="3373515" cy="2095129"/>
                <wp:effectExtent l="0" t="0" r="0" b="0"/>
                <wp:wrapNone/>
                <wp:docPr id="15" name="Group 15"/>
                <wp:cNvGraphicFramePr/>
                <a:graphic xmlns:a="http://schemas.openxmlformats.org/drawingml/2006/main">
                  <a:graphicData uri="http://schemas.microsoft.com/office/word/2010/wordprocessingGroup">
                    <wpg:wgp>
                      <wpg:cNvGrpSpPr/>
                      <wpg:grpSpPr>
                        <a:xfrm>
                          <a:off x="0" y="0"/>
                          <a:ext cx="3373515" cy="2095129"/>
                          <a:chOff x="0" y="0"/>
                          <a:chExt cx="3373515" cy="2095129"/>
                        </a:xfrm>
                      </wpg:grpSpPr>
                      <wps:wsp>
                        <wps:cNvPr id="1" name="Text Box 1"/>
                        <wps:cNvSpPr txBox="1"/>
                        <wps:spPr>
                          <a:xfrm>
                            <a:off x="0" y="0"/>
                            <a:ext cx="514905" cy="435005"/>
                          </a:xfrm>
                          <a:prstGeom prst="rect">
                            <a:avLst/>
                          </a:prstGeom>
                          <a:noFill/>
                          <a:ln w="6350">
                            <a:noFill/>
                          </a:ln>
                        </wps:spPr>
                        <wps:txbx>
                          <w:txbxContent>
                            <w:p w14:paraId="505C8A47" w14:textId="3B966201" w:rsidR="00672622" w:rsidRPr="00672622" w:rsidRDefault="00672622">
                              <w:pPr>
                                <w:rPr>
                                  <w:rFonts w:ascii="Helvetica" w:hAnsi="Helvetica"/>
                                  <w:b/>
                                  <w:sz w:val="20"/>
                                  <w:szCs w:val="20"/>
                                  <w:lang w:val="fr-CH"/>
                                </w:rPr>
                              </w:pPr>
                              <w:r w:rsidRPr="00672622">
                                <w:rPr>
                                  <w:rFonts w:ascii="Helvetica" w:hAnsi="Helvetica"/>
                                  <w:b/>
                                  <w:sz w:val="20"/>
                                  <w:szCs w:val="20"/>
                                  <w:lang w:val="fr-CH"/>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858610" y="0"/>
                            <a:ext cx="514905" cy="435005"/>
                          </a:xfrm>
                          <a:prstGeom prst="rect">
                            <a:avLst/>
                          </a:prstGeom>
                          <a:noFill/>
                          <a:ln w="6350">
                            <a:noFill/>
                          </a:ln>
                        </wps:spPr>
                        <wps:txbx>
                          <w:txbxContent>
                            <w:p w14:paraId="641221EE" w14:textId="02284546"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b</w:t>
                              </w:r>
                              <w:r w:rsidRPr="00672622">
                                <w:rPr>
                                  <w:rFonts w:ascii="Helvetica" w:hAnsi="Helvetica"/>
                                  <w:b/>
                                  <w:sz w:val="20"/>
                                  <w:szCs w:val="20"/>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1633491"/>
                            <a:ext cx="514905" cy="435005"/>
                          </a:xfrm>
                          <a:prstGeom prst="rect">
                            <a:avLst/>
                          </a:prstGeom>
                          <a:noFill/>
                          <a:ln w="6350">
                            <a:noFill/>
                          </a:ln>
                        </wps:spPr>
                        <wps:txbx>
                          <w:txbxContent>
                            <w:p w14:paraId="4AE1FF83" w14:textId="2FFC132F"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c</w:t>
                              </w:r>
                              <w:r w:rsidRPr="00672622">
                                <w:rPr>
                                  <w:rFonts w:ascii="Helvetica" w:hAnsi="Helvetica"/>
                                  <w:b/>
                                  <w:sz w:val="20"/>
                                  <w:szCs w:val="20"/>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858610" y="1660124"/>
                            <a:ext cx="514905" cy="435005"/>
                          </a:xfrm>
                          <a:prstGeom prst="rect">
                            <a:avLst/>
                          </a:prstGeom>
                          <a:noFill/>
                          <a:ln w="6350">
                            <a:noFill/>
                          </a:ln>
                        </wps:spPr>
                        <wps:txbx>
                          <w:txbxContent>
                            <w:p w14:paraId="7B95EF8B" w14:textId="42EE4C7D"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d</w:t>
                              </w:r>
                              <w:r w:rsidRPr="00672622">
                                <w:rPr>
                                  <w:rFonts w:ascii="Helvetica" w:hAnsi="Helvetica"/>
                                  <w:b/>
                                  <w:sz w:val="20"/>
                                  <w:szCs w:val="20"/>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1537CC" id="Group 15" o:spid="_x0000_s1029" style="position:absolute;left:0;text-align:left;margin-left:4.2pt;margin-top:-16.1pt;width:265.65pt;height:164.95pt;z-index:251671552" coordsize="33735,20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">
                <v:shape id="Text Box 1" o:spid="_x0000_s1030" type="#_x0000_t202" style="position:absolute;width:514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" filled="f" stroked="f" strokeweight=".5pt">
                  <v:textbox>
                    <w:txbxContent>
                      <w:p w14:paraId="505C8A47" w14:textId="3B966201" w:rsidR="00672622" w:rsidRPr="00672622" w:rsidRDefault="00672622">
                        <w:pPr>
                          <w:rPr>
                            <w:rFonts w:ascii="Helvetica" w:hAnsi="Helvetica"/>
                            <w:b/>
                            <w:sz w:val="20"/>
                            <w:szCs w:val="20"/>
                            <w:lang w:val="fr-CH"/>
                          </w:rPr>
                        </w:pPr>
                        <w:r w:rsidRPr="00672622">
                          <w:rPr>
                            <w:rFonts w:ascii="Helvetica" w:hAnsi="Helvetica"/>
                            <w:b/>
                            <w:sz w:val="20"/>
                            <w:szCs w:val="20"/>
                            <w:lang w:val="fr-CH"/>
                          </w:rPr>
                          <w:t>(a)</w:t>
                        </w:r>
                      </w:p>
                    </w:txbxContent>
                  </v:textbox>
                </v:shape>
                <v:shape id="Text Box 2" o:spid="_x0000_s1031" type="#_x0000_t202" style="position:absolute;left:28586;width:514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" filled="f" stroked="f" strokeweight=".5pt">
                  <v:textbox>
                    <w:txbxContent>
                      <w:p w14:paraId="641221EE" w14:textId="02284546"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b</w:t>
                        </w:r>
                        <w:r w:rsidRPr="00672622">
                          <w:rPr>
                            <w:rFonts w:ascii="Helvetica" w:hAnsi="Helvetica"/>
                            <w:b/>
                            <w:sz w:val="20"/>
                            <w:szCs w:val="20"/>
                            <w:lang w:val="fr-CH"/>
                          </w:rPr>
                          <w:t>)</w:t>
                        </w:r>
                      </w:p>
                    </w:txbxContent>
                  </v:textbox>
                </v:shape>
                <v:shape id="Text Box 13" o:spid="_x0000_s1032" type="#_x0000_t202" style="position:absolute;top:16334;width:514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4AE1FF83" w14:textId="2FFC132F"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c</w:t>
                        </w:r>
                        <w:r w:rsidRPr="00672622">
                          <w:rPr>
                            <w:rFonts w:ascii="Helvetica" w:hAnsi="Helvetica"/>
                            <w:b/>
                            <w:sz w:val="20"/>
                            <w:szCs w:val="20"/>
                            <w:lang w:val="fr-CH"/>
                          </w:rPr>
                          <w:t>)</w:t>
                        </w:r>
                      </w:p>
                    </w:txbxContent>
                  </v:textbox>
                </v:shape>
                <v:shape id="Text Box 14" o:spid="_x0000_s1033" type="#_x0000_t202" style="position:absolute;left:28586;top:16601;width:514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7B95EF8B" w14:textId="42EE4C7D" w:rsidR="00672622" w:rsidRPr="00672622" w:rsidRDefault="00672622" w:rsidP="00672622">
                        <w:pPr>
                          <w:rPr>
                            <w:rFonts w:ascii="Helvetica" w:hAnsi="Helvetica"/>
                            <w:b/>
                            <w:sz w:val="20"/>
                            <w:szCs w:val="20"/>
                            <w:lang w:val="fr-CH"/>
                          </w:rPr>
                        </w:pPr>
                        <w:r w:rsidRPr="00672622">
                          <w:rPr>
                            <w:rFonts w:ascii="Helvetica" w:hAnsi="Helvetica"/>
                            <w:b/>
                            <w:sz w:val="20"/>
                            <w:szCs w:val="20"/>
                            <w:lang w:val="fr-CH"/>
                          </w:rPr>
                          <w:t>(</w:t>
                        </w:r>
                        <w:r>
                          <w:rPr>
                            <w:rFonts w:ascii="Helvetica" w:hAnsi="Helvetica"/>
                            <w:b/>
                            <w:sz w:val="20"/>
                            <w:szCs w:val="20"/>
                            <w:lang w:val="fr-CH"/>
                          </w:rPr>
                          <w:t>d</w:t>
                        </w:r>
                        <w:r w:rsidRPr="00672622">
                          <w:rPr>
                            <w:rFonts w:ascii="Helvetica" w:hAnsi="Helvetica"/>
                            <w:b/>
                            <w:sz w:val="20"/>
                            <w:szCs w:val="20"/>
                            <w:lang w:val="fr-CH"/>
                          </w:rPr>
                          <w:t>)</w:t>
                        </w:r>
                      </w:p>
                    </w:txbxContent>
                  </v:textbox>
                </v:shape>
              </v:group>
            </w:pict>
          </mc:Fallback>
        </mc:AlternateContent>
      </w:r>
      <w:r w:rsidR="001E7890" w:rsidRPr="004C6B04">
        <w:rPr>
          <w:b/>
          <w:noProof/>
          <w:color w:val="000000" w:themeColor="text1"/>
          <w:sz w:val="22"/>
          <w:szCs w:val="22"/>
          <w:lang w:val="en-GB"/>
        </w:rPr>
        <w:drawing>
          <wp:inline distT="0" distB="0" distL="0" distR="0" wp14:anchorId="42BCAEEA" wp14:editId="7EF4262C">
            <wp:extent cx="2846530" cy="1589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lti_corrected_H_Zhang.eps"/>
                    <pic:cNvPicPr/>
                  </pic:nvPicPr>
                  <pic:blipFill>
                    <a:blip r:embed="rId9">
                      <a:extLst>
                        <a:ext uri="{28A0092B-C50C-407E-A947-70E740481C1C}">
                          <a14:useLocalDpi xmlns:a14="http://schemas.microsoft.com/office/drawing/2010/main" val="0"/>
                        </a:ext>
                      </a:extLst>
                    </a:blip>
                    <a:stretch>
                      <a:fillRect/>
                    </a:stretch>
                  </pic:blipFill>
                  <pic:spPr>
                    <a:xfrm>
                      <a:off x="0" y="0"/>
                      <a:ext cx="2871224" cy="1603102"/>
                    </a:xfrm>
                    <a:prstGeom prst="rect">
                      <a:avLst/>
                    </a:prstGeom>
                  </pic:spPr>
                </pic:pic>
              </a:graphicData>
            </a:graphic>
          </wp:inline>
        </w:drawing>
      </w:r>
      <w:r w:rsidR="001E7890" w:rsidRPr="004C6B04">
        <w:rPr>
          <w:b/>
          <w:noProof/>
          <w:color w:val="000000" w:themeColor="text1"/>
          <w:sz w:val="22"/>
          <w:szCs w:val="22"/>
          <w:lang w:val="en-GB"/>
        </w:rPr>
        <w:drawing>
          <wp:inline distT="0" distB="0" distL="0" distR="0" wp14:anchorId="28D634A4" wp14:editId="77695912">
            <wp:extent cx="2846070" cy="15890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lti_corrected_H_Smeds.eps"/>
                    <pic:cNvPicPr/>
                  </pic:nvPicPr>
                  <pic:blipFill>
                    <a:blip r:embed="rId10">
                      <a:extLst>
                        <a:ext uri="{28A0092B-C50C-407E-A947-70E740481C1C}">
                          <a14:useLocalDpi xmlns:a14="http://schemas.microsoft.com/office/drawing/2010/main" val="0"/>
                        </a:ext>
                      </a:extLst>
                    </a:blip>
                    <a:stretch>
                      <a:fillRect/>
                    </a:stretch>
                  </pic:blipFill>
                  <pic:spPr>
                    <a:xfrm>
                      <a:off x="0" y="0"/>
                      <a:ext cx="2874392" cy="1604869"/>
                    </a:xfrm>
                    <a:prstGeom prst="rect">
                      <a:avLst/>
                    </a:prstGeom>
                  </pic:spPr>
                </pic:pic>
              </a:graphicData>
            </a:graphic>
          </wp:inline>
        </w:drawing>
      </w:r>
    </w:p>
    <w:p w14:paraId="520015E0" w14:textId="390CF918" w:rsidR="001E7890" w:rsidRPr="004C6B04" w:rsidRDefault="001E7890" w:rsidP="00A451C0">
      <w:pPr>
        <w:spacing w:line="360" w:lineRule="auto"/>
        <w:jc w:val="both"/>
        <w:rPr>
          <w:b/>
          <w:color w:val="000000" w:themeColor="text1"/>
          <w:sz w:val="22"/>
          <w:szCs w:val="22"/>
          <w:lang w:val="en-GB"/>
        </w:rPr>
      </w:pPr>
      <w:r w:rsidRPr="004C6B04">
        <w:rPr>
          <w:b/>
          <w:noProof/>
          <w:color w:val="000000" w:themeColor="text1"/>
          <w:sz w:val="22"/>
          <w:szCs w:val="22"/>
          <w:lang w:val="en-GB"/>
        </w:rPr>
        <w:drawing>
          <wp:inline distT="0" distB="0" distL="0" distR="0" wp14:anchorId="1A355924" wp14:editId="037A2401">
            <wp:extent cx="2845559" cy="1588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_corrected_SK_Zhang.eps"/>
                    <pic:cNvPicPr/>
                  </pic:nvPicPr>
                  <pic:blipFill>
                    <a:blip r:embed="rId11">
                      <a:extLst>
                        <a:ext uri="{28A0092B-C50C-407E-A947-70E740481C1C}">
                          <a14:useLocalDpi xmlns:a14="http://schemas.microsoft.com/office/drawing/2010/main" val="0"/>
                        </a:ext>
                      </a:extLst>
                    </a:blip>
                    <a:stretch>
                      <a:fillRect/>
                    </a:stretch>
                  </pic:blipFill>
                  <pic:spPr>
                    <a:xfrm>
                      <a:off x="0" y="0"/>
                      <a:ext cx="2872935" cy="1604055"/>
                    </a:xfrm>
                    <a:prstGeom prst="rect">
                      <a:avLst/>
                    </a:prstGeom>
                  </pic:spPr>
                </pic:pic>
              </a:graphicData>
            </a:graphic>
          </wp:inline>
        </w:drawing>
      </w:r>
      <w:r w:rsidRPr="004C6B04">
        <w:rPr>
          <w:b/>
          <w:noProof/>
          <w:color w:val="000000" w:themeColor="text1"/>
          <w:sz w:val="22"/>
          <w:szCs w:val="22"/>
          <w:lang w:val="en-GB"/>
        </w:rPr>
        <w:drawing>
          <wp:inline distT="0" distB="0" distL="0" distR="0" wp14:anchorId="101583C0" wp14:editId="0F8E1302">
            <wp:extent cx="2779486" cy="1551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lti_corrected_SK_Smeds.eps"/>
                    <pic:cNvPicPr/>
                  </pic:nvPicPr>
                  <pic:blipFill>
                    <a:blip r:embed="rId12">
                      <a:extLst>
                        <a:ext uri="{28A0092B-C50C-407E-A947-70E740481C1C}">
                          <a14:useLocalDpi xmlns:a14="http://schemas.microsoft.com/office/drawing/2010/main" val="0"/>
                        </a:ext>
                      </a:extLst>
                    </a:blip>
                    <a:stretch>
                      <a:fillRect/>
                    </a:stretch>
                  </pic:blipFill>
                  <pic:spPr>
                    <a:xfrm>
                      <a:off x="0" y="0"/>
                      <a:ext cx="2791202" cy="1558421"/>
                    </a:xfrm>
                    <a:prstGeom prst="rect">
                      <a:avLst/>
                    </a:prstGeom>
                  </pic:spPr>
                </pic:pic>
              </a:graphicData>
            </a:graphic>
          </wp:inline>
        </w:drawing>
      </w:r>
    </w:p>
    <w:p w14:paraId="4300E86D" w14:textId="3B7A3BDC" w:rsidR="00713F4E" w:rsidRPr="004C6B04" w:rsidRDefault="00E34852" w:rsidP="00A451C0">
      <w:pPr>
        <w:spacing w:line="360" w:lineRule="auto"/>
        <w:jc w:val="both"/>
        <w:rPr>
          <w:color w:val="000000" w:themeColor="text1"/>
          <w:sz w:val="22"/>
          <w:szCs w:val="22"/>
          <w:lang w:val="en-GB"/>
        </w:rPr>
      </w:pPr>
      <w:r w:rsidRPr="004C6B04">
        <w:rPr>
          <w:b/>
          <w:color w:val="000000" w:themeColor="text1"/>
          <w:sz w:val="22"/>
          <w:szCs w:val="22"/>
          <w:lang w:val="en-GB"/>
        </w:rPr>
        <w:t>Figure S</w:t>
      </w:r>
      <w:r w:rsidR="00B764F6" w:rsidRPr="004C6B04">
        <w:rPr>
          <w:b/>
          <w:color w:val="000000" w:themeColor="text1"/>
          <w:sz w:val="22"/>
          <w:szCs w:val="22"/>
          <w:lang w:val="en-GB"/>
        </w:rPr>
        <w:t>3</w:t>
      </w:r>
      <w:r w:rsidRPr="004C6B04">
        <w:rPr>
          <w:b/>
          <w:color w:val="000000" w:themeColor="text1"/>
          <w:sz w:val="22"/>
          <w:szCs w:val="22"/>
          <w:lang w:val="en-GB"/>
        </w:rPr>
        <w:t>.</w:t>
      </w:r>
      <w:r w:rsidRPr="004C6B04">
        <w:rPr>
          <w:color w:val="000000" w:themeColor="text1"/>
          <w:sz w:val="22"/>
          <w:szCs w:val="22"/>
          <w:lang w:val="en-GB"/>
        </w:rPr>
        <w:t xml:space="preserve"> PSMC for </w:t>
      </w:r>
      <w:r w:rsidR="000D6EEC" w:rsidRPr="004C6B04">
        <w:rPr>
          <w:color w:val="000000" w:themeColor="text1"/>
          <w:sz w:val="22"/>
          <w:szCs w:val="22"/>
          <w:lang w:val="en-GB"/>
        </w:rPr>
        <w:t xml:space="preserve">(a,b) </w:t>
      </w:r>
      <w:r w:rsidRPr="004C6B04">
        <w:rPr>
          <w:color w:val="000000" w:themeColor="text1"/>
          <w:sz w:val="22"/>
          <w:szCs w:val="22"/>
          <w:lang w:val="en-GB"/>
        </w:rPr>
        <w:t xml:space="preserve">huia and </w:t>
      </w:r>
      <w:r w:rsidR="000D6EEC" w:rsidRPr="004C6B04">
        <w:rPr>
          <w:color w:val="000000" w:themeColor="text1"/>
          <w:sz w:val="22"/>
          <w:szCs w:val="22"/>
          <w:lang w:val="en-GB"/>
        </w:rPr>
        <w:t xml:space="preserve">(c,d) </w:t>
      </w:r>
      <w:r w:rsidRPr="004C6B04">
        <w:rPr>
          <w:color w:val="000000" w:themeColor="text1"/>
          <w:sz w:val="22"/>
          <w:szCs w:val="22"/>
          <w:lang w:val="en-GB"/>
        </w:rPr>
        <w:t xml:space="preserve">South Island kōkako </w:t>
      </w:r>
      <w:r w:rsidR="00EE0CEA" w:rsidRPr="004C6B04">
        <w:rPr>
          <w:color w:val="000000" w:themeColor="text1"/>
          <w:sz w:val="22"/>
          <w:szCs w:val="22"/>
          <w:lang w:val="en-GB"/>
        </w:rPr>
        <w:t>showing the comparison</w:t>
      </w:r>
      <w:r w:rsidR="002F61C5" w:rsidRPr="004C6B04">
        <w:rPr>
          <w:color w:val="000000" w:themeColor="text1"/>
          <w:sz w:val="22"/>
          <w:szCs w:val="22"/>
          <w:lang w:val="en-GB"/>
        </w:rPr>
        <w:t xml:space="preserve"> of uniform False Negative Rate (uFNR) correction</w:t>
      </w:r>
      <w:r w:rsidR="00502EF9" w:rsidRPr="004C6B04">
        <w:rPr>
          <w:color w:val="000000" w:themeColor="text1"/>
          <w:sz w:val="22"/>
          <w:szCs w:val="22"/>
          <w:lang w:val="en-GB"/>
        </w:rPr>
        <w:t xml:space="preserve">, </w:t>
      </w:r>
      <w:r w:rsidR="000D6EEC" w:rsidRPr="004C6B04">
        <w:rPr>
          <w:color w:val="000000" w:themeColor="text1"/>
          <w:sz w:val="22"/>
          <w:szCs w:val="22"/>
          <w:lang w:val="en-GB"/>
        </w:rPr>
        <w:t>two different substitution rates</w:t>
      </w:r>
      <w:r w:rsidR="0042078B" w:rsidRPr="004C6B04">
        <w:rPr>
          <w:color w:val="000000" w:themeColor="text1"/>
          <w:sz w:val="22"/>
          <w:szCs w:val="22"/>
          <w:lang w:val="en-GB"/>
        </w:rPr>
        <w:t xml:space="preserve"> and assuming a generation time of 6 years </w:t>
      </w:r>
      <w:r w:rsidR="00F02316" w:rsidRPr="004C6B04">
        <w:rPr>
          <w:color w:val="000000" w:themeColor="text1"/>
          <w:sz w:val="22"/>
          <w:szCs w:val="22"/>
          <w:lang w:val="en-GB"/>
        </w:rPr>
        <w:fldChar w:fldCharType="begin" w:fldLock="1"/>
      </w:r>
      <w:r w:rsidR="00F02316" w:rsidRPr="004C6B04">
        <w:rPr>
          <w:color w:val="000000" w:themeColor="text1"/>
          <w:sz w:val="22"/>
          <w:szCs w:val="22"/>
          <w:lang w:val="en-GB"/>
        </w:rPr>
        <w:instrText>ADDIN CSL_CITATION {"citationItems":[{"id":"ITEM-1","itemData":{"ISBN":"0478219547","author":[{"dropping-particle":"","family":"Double","given":"Michael","non-dropping-particle":"","parse-names":false,"suffix":""},{"dropping-particle":"","family":"Murphy","given":"Steve","non-dropping-particle":"","parse-names":false,"suffix":""}],"container-title":"New Zealand Dept of conservation","id":"ITEM-1","issued":{"date-parts":[["2000"]]},"title":"Genetic variation within and among populations of North Island kokako","type":"article-journal"},"uris":["http://www.mendeley.com/documents/?uuid=ca3a7b32-bc00-4129-ab09-faf8223f7c9a"]},{"id":"ITEM-2","itemData":{"DOI":"10.1111/j.1365-2656.2004.00908.x","ISSN":"00218790","abstract":"1. Reintroductions provide a good opportunity to study density-dependent population growth, as populations can be studied at a range of densities and the change in density is not confounded with environmental conditions. An understanding of density dependence is also necessary to predict dynamics of reintroduced populations under different management regimens, and assess the extent to which they can be harvested for further reintroductions.   2. We monitored a North Island saddleback (Philesturnus rufusater) population for 6 years after reintroduction to Mokoia, a 135 ha island in New Zealand that was made suitable for saddlebacks by eradicating introduced Norway rats (Rattus norvegicus). We modelled adult and juvenile survival using Program MARK, and modelled numbers of young fledged per pair using Proc Mixed in SAS with individual female as a random factor.  3. Juvenile survival clearly declined as the population increased, and the decline was closely correlated with the number of breeding pairs. Reproduction also showed a clear decline that was explained by two factors: a difference in quality between territories occupied immediately after reintroduction and those occupied later, and an overall decline as the number of pairs increased. Reproduction was also strongly affected by age, and this needed to be accounted for when modelling density dependence.  4. A stochastic simulation model incorporating these dynamics closely predicted the observed population growth. The equilibrium population size was insensitive to density dependence in reproduction, but highly sensitive to density dependence in juvenile survival.  5. The model is being used to plan management strategies for potential reintroductions of saddlebacks to mainland areas with predator control. The species is currently confined to predator-free islands and one fenced mainland sanctuary.","author":[{"dropping-particle":"","family":"Armstrong","given":"Doug P.","non-dropping-particle":"","parse-names":false,"suffix":""},{"dropping-particle":"","family":"Davidson","given":"R. Scott","non-dropping-particle":"","parse-names":false,"suffix":""},{"dropping-particle":"","family":"Perrott","given":"John K.","non-dropping-particle":"","parse-names":false,"suffix":""},{"dropping-particle":"","family":"Roygard","given":"Jon","non-dropping-particle":"","parse-names":false,"suffix":""},{"dropping-particle":"","family":"Buchanan","given":"Len","non-dropping-particle":"","parse-names":false,"suffix":""}],"container-title":"Journal of Animal Ecology","id":"ITEM-2","issue":"1","issued":{"date-parts":[["2005"]]},"page":"160-170","title":"Density-dependent population growth in a reintroduced population of North Island saddlebacks","type":"article-journal","volume":"74"},"uris":["http://www.mendeley.com/documents/?uuid=0f2e046b-7dd6-405b-86a6-181a7aa099ca"]}],"mendeley":{"formattedCitation":"[15,16]","plainTextFormattedCitation":"[15,16]","previouslyFormattedCitation":"[15,16]"},"properties":{"noteIndex":0},"schema":"https://github.com/citation-style-language/schema/raw/master/csl-citation.json"}</w:instrText>
      </w:r>
      <w:r w:rsidR="00F02316" w:rsidRPr="004C6B04">
        <w:rPr>
          <w:color w:val="000000" w:themeColor="text1"/>
          <w:sz w:val="22"/>
          <w:szCs w:val="22"/>
          <w:lang w:val="en-GB"/>
        </w:rPr>
        <w:fldChar w:fldCharType="separate"/>
      </w:r>
      <w:r w:rsidR="00F02316" w:rsidRPr="004C6B04">
        <w:rPr>
          <w:noProof/>
          <w:color w:val="000000" w:themeColor="text1"/>
          <w:sz w:val="22"/>
          <w:szCs w:val="22"/>
          <w:lang w:val="en-GB"/>
        </w:rPr>
        <w:t>[15,16]</w:t>
      </w:r>
      <w:r w:rsidR="00F02316" w:rsidRPr="004C6B04">
        <w:rPr>
          <w:color w:val="000000" w:themeColor="text1"/>
          <w:sz w:val="22"/>
          <w:szCs w:val="22"/>
          <w:lang w:val="en-GB"/>
        </w:rPr>
        <w:fldChar w:fldCharType="end"/>
      </w:r>
      <w:r w:rsidR="000D6EEC" w:rsidRPr="004C6B04">
        <w:rPr>
          <w:color w:val="000000" w:themeColor="text1"/>
          <w:sz w:val="22"/>
          <w:szCs w:val="22"/>
          <w:lang w:val="en-GB"/>
        </w:rPr>
        <w:t>. Panels (a) and (c) show the PSMC based on a</w:t>
      </w:r>
      <w:r w:rsidR="00EE0CEA" w:rsidRPr="004C6B04">
        <w:rPr>
          <w:color w:val="000000" w:themeColor="text1"/>
          <w:sz w:val="22"/>
          <w:szCs w:val="22"/>
          <w:lang w:val="en-GB"/>
        </w:rPr>
        <w:t xml:space="preserve"> substitution rate of 1.92 </w:t>
      </w:r>
      <m:oMath>
        <m:r>
          <w:rPr>
            <w:rFonts w:ascii="Cambria Math" w:hAnsi="Cambria Math"/>
            <w:color w:val="000000" w:themeColor="text1"/>
            <w:lang w:val="en-GB"/>
          </w:rPr>
          <m:t>×</m:t>
        </m:r>
      </m:oMath>
      <w:r w:rsidR="00EE0CEA" w:rsidRPr="004C6B04">
        <w:rPr>
          <w:color w:val="000000" w:themeColor="text1"/>
          <w:sz w:val="22"/>
          <w:szCs w:val="22"/>
          <w:lang w:val="en-GB"/>
        </w:rPr>
        <w:t xml:space="preserve"> 10</w:t>
      </w:r>
      <w:r w:rsidR="00EE0CEA" w:rsidRPr="004C6B04">
        <w:rPr>
          <w:color w:val="000000" w:themeColor="text1"/>
          <w:sz w:val="22"/>
          <w:szCs w:val="22"/>
          <w:vertAlign w:val="superscript"/>
          <w:lang w:val="en-GB"/>
        </w:rPr>
        <w:t>-8</w:t>
      </w:r>
      <w:r w:rsidR="00EE0CEA" w:rsidRPr="004C6B04">
        <w:rPr>
          <w:color w:val="000000" w:themeColor="text1"/>
          <w:sz w:val="22"/>
          <w:szCs w:val="22"/>
          <w:lang w:val="en-GB"/>
        </w:rPr>
        <w:t xml:space="preserve"> substitution/site/generation inferred from a passerine-specific rate </w:t>
      </w:r>
      <w:r w:rsidR="00EE0CEA" w:rsidRPr="004C6B04">
        <w:rPr>
          <w:color w:val="000000" w:themeColor="text1"/>
          <w:sz w:val="22"/>
          <w:szCs w:val="22"/>
          <w:lang w:val="en-GB"/>
        </w:rPr>
        <w:fldChar w:fldCharType="begin" w:fldLock="1"/>
      </w:r>
      <w:r w:rsidR="0081066F">
        <w:rPr>
          <w:color w:val="000000" w:themeColor="text1"/>
          <w:sz w:val="22"/>
          <w:szCs w:val="22"/>
          <w:lang w:val="en-GB"/>
        </w:rPr>
        <w:instrText>ADDIN CSL_CITATION {"citationItems":[{"id":"ITEM-1","itemData":{"author":[{"dropping-particle":"","family":"Zhang","given":"Guojie","non-dropping-particle":"","parse-names":false,"suffix":""},{"dropping-particle":"","family":"Li","given":"Cai","non-dropping-particle":"","parse-names":false,"suffix":""},{"dropping-particle":"","family":"Li","given":"Qiye","non-dropping-particle":"","parse-names":false,"suffix":""},{"dropping-particle":"","family":"Li","given":"Bo","non-dropping-particle":"","parse-names":false,"suffix":""},{"dropping-particle":"","family":"Larkin","given":"Denis M","non-dropping-particle":"","parse-names":false,"suffix":""},{"dropping-particle":"","family":"Lee","given":"Chul","non-dropping-particle":"","parse-names":false,"suffix":""},{"dropping-particle":"","family":"Storz","given":"Jay F","non-dropping-particle":"","parse-names":false,"suffix":""},{"dropping-particle":"","family":"Antunes","given":"Agostinho","non-dropping-particle":"","parse-names":false,"suffix":""},{"dropping-particle":"","family":"Greenwold","given":"Matthew J","non-dropping-particle":"","parse-names":false,"suffix":""},{"dropping-particle":"","family":"Meredith","given":"Robert W","non-dropping-particle":"","parse-names":false,"suffix":""},{"dropping-particle":"","family":"Zeng","given":"Yongli","non-dropping-particle":"","parse-names":false,"suffix":""},{"dropping-particle":"","family":"Xiong","given":"Zijun","non-dropping-particle":"","parse-names":false,"suffix":""},{"dropping-particle":"","family":"Liu","given":"Shiping","non-dropping-particle":"","parse-names":false,"suffix":""},{"dropping-particle":"","family":"Zhou","given":"Long","non-dropping-particle":"","parse-names":false,"suffix":""},{"dropping-particle":"","family":"Huang","given":"Zhiyong","non-dropping-particle":"","parse-names":false,"suffix":""},{"dropping-particle":"","family":"An","given":"Na","non-dropping-particle":"","parse-names":false,"suffix":""},{"dropping-particle":"","family":"Wang","given":"Jie","non-dropping-particle":"","parse-names":false,"suffix":""},{"dropping-particle":"","family":"Zheng","given":"Qiumei","non-dropping-particle":"","parse-names":false,"suffix":""},{"dropping-particle":"","family":"Xiong","given":"Yingqi","non-dropping-particle":"","parse-names":false,"suffix":""},{"dropping-particle":"","family":"Wang","given":"Guangbiao","non-dropping-particle":"","parse-names":false,"suffix":""},{"dropping-particle":"","family":"Wang","given":"Bo","non-dropping-particle":"","parse-names":false,"suffix":""},{"dropping-particle":"","family":"Wang","given":"Jingjing","non-dropping-particle":"","parse-names":false,"suffix":""},{"dropping-particle":"","family":"Fan","given":"Yu","non-dropping-particle":"","parse-names":false,"suffix":""},{"dropping-particle":"","family":"Fonseca","given":"Rute R","non-dropping-particle":"","parse-names":false,"suffix":""},{"dropping-particle":"","family":"Alfaro-núñez","given":"Alonzo","non-dropping-particle":"","parse-names":false,"suffix":""},{"dropping-particle":"","family":"Schubert","given":"Mikkel","non-dropping-particle":"","parse-names":false,"suffix":""},{"dropping-particle":"","family":"Orlando","given":"Ludovic","non-dropping-particle":"","parse-names":false,"suffix":""},{"dropping-particle":"","family":"Mourier","given":"Tobias","non-dropping-particle":"","parse-names":false,"suffix":""},{"dropping-particle":"","family":"Howard","given":"Jason T","non-dropping-particle":"","parse-names":false,"suffix":""},{"dropping-particle":"","family":"Ganapathy","given":"Ganeshkumar","non-dropping-particle":"","parse-names":false,"suffix":""}],"container-title":"Science (New York, N.Y.)","id":"ITEM-1","issue":"6215","issued":{"date-parts":[["2014"]]},"page":"1311-1321","title":"Comparative genomics reveals insights into avian genome evolution and adaptation","type":"article-journal","volume":"346"},"uris":["http://www.mendeley.com/documents/?uuid=d1e8d309-1cd9-47a8-8bd3-5ed7f36fd82c"]}],"mendeley":{"formattedCitation":"[18]","plainTextFormattedCitation":"[18]","previouslyFormattedCitation":"[24]"},"properties":{"noteIndex":0},"schema":"https://github.com/citation-style-language/schema/raw/master/csl-citation.json"}</w:instrText>
      </w:r>
      <w:r w:rsidR="00EE0CEA" w:rsidRPr="004C6B04">
        <w:rPr>
          <w:color w:val="000000" w:themeColor="text1"/>
          <w:sz w:val="22"/>
          <w:szCs w:val="22"/>
          <w:lang w:val="en-GB"/>
        </w:rPr>
        <w:fldChar w:fldCharType="separate"/>
      </w:r>
      <w:r w:rsidR="0081066F" w:rsidRPr="0081066F">
        <w:rPr>
          <w:noProof/>
          <w:color w:val="000000" w:themeColor="text1"/>
          <w:sz w:val="22"/>
          <w:szCs w:val="22"/>
          <w:lang w:val="en-GB"/>
        </w:rPr>
        <w:t>[18]</w:t>
      </w:r>
      <w:r w:rsidR="00EE0CEA" w:rsidRPr="004C6B04">
        <w:rPr>
          <w:color w:val="000000" w:themeColor="text1"/>
          <w:sz w:val="22"/>
          <w:szCs w:val="22"/>
          <w:lang w:val="en-GB"/>
        </w:rPr>
        <w:fldChar w:fldCharType="end"/>
      </w:r>
      <w:r w:rsidR="000D6EEC" w:rsidRPr="004C6B04">
        <w:rPr>
          <w:color w:val="000000" w:themeColor="text1"/>
          <w:sz w:val="22"/>
          <w:szCs w:val="22"/>
          <w:lang w:val="en-GB"/>
        </w:rPr>
        <w:t>. Panels (b) and (d) show the PSMC</w:t>
      </w:r>
      <w:r w:rsidR="00EE0CEA" w:rsidRPr="004C6B04">
        <w:rPr>
          <w:color w:val="000000" w:themeColor="text1"/>
          <w:sz w:val="22"/>
          <w:szCs w:val="22"/>
          <w:lang w:val="en-GB"/>
        </w:rPr>
        <w:t xml:space="preserve"> </w:t>
      </w:r>
      <w:r w:rsidR="000D6EEC" w:rsidRPr="004C6B04">
        <w:rPr>
          <w:color w:val="000000" w:themeColor="text1"/>
          <w:sz w:val="22"/>
          <w:szCs w:val="22"/>
          <w:lang w:val="en-GB"/>
        </w:rPr>
        <w:t xml:space="preserve">based on a substitution rate of </w:t>
      </w:r>
      <w:r w:rsidR="00EE0CEA" w:rsidRPr="004C6B04">
        <w:rPr>
          <w:color w:val="000000" w:themeColor="text1"/>
          <w:sz w:val="22"/>
          <w:szCs w:val="22"/>
          <w:lang w:val="en-GB"/>
        </w:rPr>
        <w:t xml:space="preserve">1.38 </w:t>
      </w:r>
      <m:oMath>
        <m:r>
          <w:rPr>
            <w:rFonts w:ascii="Cambria Math" w:hAnsi="Cambria Math"/>
            <w:color w:val="000000" w:themeColor="text1"/>
            <w:lang w:val="en-GB"/>
          </w:rPr>
          <m:t>×</m:t>
        </m:r>
      </m:oMath>
      <w:r w:rsidR="00EE0CEA" w:rsidRPr="004C6B04">
        <w:rPr>
          <w:color w:val="000000" w:themeColor="text1"/>
          <w:sz w:val="22"/>
          <w:szCs w:val="22"/>
          <w:lang w:val="en-GB"/>
        </w:rPr>
        <w:t xml:space="preserve"> 10</w:t>
      </w:r>
      <w:r w:rsidR="00EE0CEA" w:rsidRPr="004C6B04">
        <w:rPr>
          <w:color w:val="000000" w:themeColor="text1"/>
          <w:sz w:val="22"/>
          <w:szCs w:val="22"/>
          <w:vertAlign w:val="superscript"/>
          <w:lang w:val="en-GB"/>
        </w:rPr>
        <w:t>-8</w:t>
      </w:r>
      <w:r w:rsidR="00EE0CEA" w:rsidRPr="004C6B04">
        <w:rPr>
          <w:color w:val="000000" w:themeColor="text1"/>
          <w:sz w:val="22"/>
          <w:szCs w:val="22"/>
          <w:lang w:val="en-GB"/>
        </w:rPr>
        <w:t xml:space="preserve"> substitution/site/generation </w:t>
      </w:r>
      <w:r w:rsidR="0070350C" w:rsidRPr="004C6B04">
        <w:rPr>
          <w:color w:val="000000" w:themeColor="text1"/>
          <w:sz w:val="22"/>
          <w:szCs w:val="22"/>
          <w:lang w:val="en-GB"/>
        </w:rPr>
        <w:t xml:space="preserve">based on pedigree estimates </w:t>
      </w:r>
      <w:r w:rsidR="00EE0CEA" w:rsidRPr="004C6B04">
        <w:rPr>
          <w:color w:val="000000" w:themeColor="text1"/>
          <w:sz w:val="22"/>
          <w:szCs w:val="22"/>
          <w:lang w:val="en-GB"/>
        </w:rPr>
        <w:t xml:space="preserve">inferred from </w:t>
      </w:r>
      <w:r w:rsidR="00EE0CEA" w:rsidRPr="004C6B04">
        <w:rPr>
          <w:color w:val="000000" w:themeColor="text1"/>
          <w:sz w:val="22"/>
          <w:szCs w:val="22"/>
          <w:lang w:val="en-GB"/>
        </w:rPr>
        <w:fldChar w:fldCharType="begin" w:fldLock="1"/>
      </w:r>
      <w:r w:rsidR="0081066F">
        <w:rPr>
          <w:color w:val="000000" w:themeColor="text1"/>
          <w:sz w:val="22"/>
          <w:szCs w:val="22"/>
          <w:lang w:val="en-GB"/>
        </w:rPr>
        <w:instrText>ADDIN CSL_CITATION {"citationItems":[{"id":"ITEM-1","itemData":{"DOI":"10.1101/gr.204669.116","ISBN":"1088-9051","ISSN":"15495469","PMID":"27412854","abstract":"The fidelity of DNA replication together with repair mechanisms ensure that the genetic material is properly copied from one generation to another. However, at the extremely rare occasions when damages to DNA or replication errors are not repaired, germline mutations can be transmitted to the next generation. Because of the rarity of these events, studying the rate at which new mutation arise across organisms has been a great challenge, especially in multicellular non-model organisms with large genomes. We sequenced the genomes of 11 birds from a three-generation pedigree of the collared flycatcher (Ficedula albicollis) and used highly stringent bioinformatic criteria for mutation detection, and several procedures to validate mutations including following the stable inheritance of new mutations to subsequent generations. We identified 55 de novo mutations with a 10-fold enrichment of mutations at CpG sites and with only a modest male mutation bias. The estimated rate of mutation per site per generation was 4.6 x 10-9, which corresponds to 2.3 x 10-9 mutations per site per year. Compared to mammals, this is similar to mouse but about half that reported for humans, which may be due to the higher frequency of male mutations in man. We confirm that mutation rate scales positively with genome size and that there is a strong negative relationship between mutation rate and effective population size, in line with the drift-barrier hypothesis. Our study illustrates that it should be feasible to obtain direct estimates of the rate of mutation in essentially any organism from which family material can be obtained.","author":[{"dropping-particle":"","family":"Smeds","given":"Linnéa","non-dropping-particle":"","parse-names":false,"suffix":""},{"dropping-particle":"","family":"Qvarnström","given":"Anna","non-dropping-particle":"","parse-names":false,"suffix":""},{"dropping-particle":"","family":"Ellegren","given":"Hans","non-dropping-particle":"","parse-names":false,"suffix":""}],"container-title":"Genome Research","id":"ITEM-1","issue":"9","issued":{"date-parts":[["2016"]]},"page":"1211-1218","title":"Direct estimate of the rate of germline mutation in a bird","type":"article-journal","volume":"26"},"uris":["http://www.mendeley.com/documents/?uuid=5e96fa6f-4773-4f34-af90-2a3aa8ab2b01"]}],"mendeley":{"formattedCitation":"[17]","plainTextFormattedCitation":"[17]","previouslyFormattedCitation":"[17]"},"properties":{"noteIndex":0},"schema":"https://github.com/citation-style-language/schema/raw/master/csl-citation.json"}</w:instrText>
      </w:r>
      <w:r w:rsidR="00EE0CEA" w:rsidRPr="004C6B04">
        <w:rPr>
          <w:color w:val="000000" w:themeColor="text1"/>
          <w:sz w:val="22"/>
          <w:szCs w:val="22"/>
          <w:lang w:val="en-GB"/>
        </w:rPr>
        <w:fldChar w:fldCharType="separate"/>
      </w:r>
      <w:r w:rsidR="00EE0CEA" w:rsidRPr="004C6B04">
        <w:rPr>
          <w:noProof/>
          <w:color w:val="000000" w:themeColor="text1"/>
          <w:sz w:val="22"/>
          <w:szCs w:val="22"/>
          <w:lang w:val="en-GB"/>
        </w:rPr>
        <w:t>[17]</w:t>
      </w:r>
      <w:r w:rsidR="00EE0CEA" w:rsidRPr="004C6B04">
        <w:rPr>
          <w:color w:val="000000" w:themeColor="text1"/>
          <w:sz w:val="22"/>
          <w:szCs w:val="22"/>
          <w:lang w:val="en-GB"/>
        </w:rPr>
        <w:fldChar w:fldCharType="end"/>
      </w:r>
      <w:r w:rsidR="002F61C5" w:rsidRPr="004C6B04">
        <w:rPr>
          <w:color w:val="000000" w:themeColor="text1"/>
          <w:sz w:val="22"/>
          <w:szCs w:val="22"/>
          <w:lang w:val="en-GB"/>
        </w:rPr>
        <w:t>.</w:t>
      </w:r>
      <w:r w:rsidR="00DB5B5B" w:rsidRPr="004C6B04">
        <w:rPr>
          <w:color w:val="000000" w:themeColor="text1"/>
          <w:sz w:val="22"/>
          <w:szCs w:val="22"/>
          <w:lang w:val="en-GB"/>
        </w:rPr>
        <w:t xml:space="preserve"> </w:t>
      </w:r>
      <w:r w:rsidR="00D65F7C" w:rsidRPr="004C6B04">
        <w:rPr>
          <w:color w:val="000000" w:themeColor="text1"/>
          <w:sz w:val="22"/>
          <w:szCs w:val="22"/>
          <w:lang w:val="en-GB"/>
        </w:rPr>
        <w:t xml:space="preserve">For each figure, the red, green and blue lines depict no correction, </w:t>
      </w:r>
      <w:r w:rsidR="00796F72" w:rsidRPr="004C6B04">
        <w:rPr>
          <w:color w:val="000000" w:themeColor="text1"/>
          <w:sz w:val="22"/>
          <w:szCs w:val="22"/>
          <w:lang w:val="en-GB"/>
        </w:rPr>
        <w:t xml:space="preserve">a </w:t>
      </w:r>
      <w:r w:rsidR="00D65F7C" w:rsidRPr="004C6B04">
        <w:rPr>
          <w:color w:val="000000" w:themeColor="text1"/>
          <w:sz w:val="22"/>
          <w:szCs w:val="22"/>
          <w:lang w:val="en-GB"/>
        </w:rPr>
        <w:t xml:space="preserve">20% and </w:t>
      </w:r>
      <w:r w:rsidR="00796F72" w:rsidRPr="004C6B04">
        <w:rPr>
          <w:color w:val="000000" w:themeColor="text1"/>
          <w:sz w:val="22"/>
          <w:szCs w:val="22"/>
          <w:lang w:val="en-GB"/>
        </w:rPr>
        <w:t xml:space="preserve">a </w:t>
      </w:r>
      <w:r w:rsidR="00D65F7C" w:rsidRPr="004C6B04">
        <w:rPr>
          <w:color w:val="000000" w:themeColor="text1"/>
          <w:sz w:val="22"/>
          <w:szCs w:val="22"/>
          <w:lang w:val="en-GB"/>
        </w:rPr>
        <w:t xml:space="preserve">40% uFNR correction, respectively. </w:t>
      </w:r>
    </w:p>
    <w:p w14:paraId="0CB27127" w14:textId="77777777" w:rsidR="00A451C0" w:rsidRPr="004C6B04" w:rsidRDefault="00A451C0" w:rsidP="00A451C0">
      <w:pPr>
        <w:spacing w:line="360" w:lineRule="auto"/>
        <w:jc w:val="both"/>
        <w:rPr>
          <w:b/>
          <w:color w:val="000000" w:themeColor="text1"/>
        </w:rPr>
      </w:pPr>
    </w:p>
    <w:p w14:paraId="442C1017" w14:textId="490AEBB2" w:rsidR="003869C3" w:rsidRPr="004C6B04" w:rsidRDefault="000562E9">
      <w:pPr>
        <w:rPr>
          <w:b/>
          <w:color w:val="000000" w:themeColor="text1"/>
        </w:rPr>
      </w:pPr>
      <w:r w:rsidRPr="004C6B04">
        <w:rPr>
          <w:b/>
          <w:color w:val="000000" w:themeColor="text1"/>
        </w:rPr>
        <w:t>References</w:t>
      </w:r>
    </w:p>
    <w:p w14:paraId="4321EC5A" w14:textId="077523B2" w:rsidR="000562E9" w:rsidRPr="004C6B04" w:rsidRDefault="000562E9" w:rsidP="00FF4055">
      <w:pPr>
        <w:jc w:val="both"/>
        <w:rPr>
          <w:color w:val="000000" w:themeColor="text1"/>
        </w:rPr>
      </w:pPr>
    </w:p>
    <w:p w14:paraId="2D4071B3" w14:textId="11A5E1B3" w:rsidR="0081066F" w:rsidRPr="0081066F" w:rsidRDefault="000562E9" w:rsidP="0081066F">
      <w:pPr>
        <w:widowControl w:val="0"/>
        <w:autoSpaceDE w:val="0"/>
        <w:autoSpaceDN w:val="0"/>
        <w:adjustRightInd w:val="0"/>
        <w:ind w:left="640" w:hanging="640"/>
        <w:rPr>
          <w:noProof/>
        </w:rPr>
      </w:pPr>
      <w:r w:rsidRPr="004C6B04">
        <w:rPr>
          <w:color w:val="000000" w:themeColor="text1"/>
        </w:rPr>
        <w:fldChar w:fldCharType="begin" w:fldLock="1"/>
      </w:r>
      <w:r w:rsidRPr="004C6B04">
        <w:rPr>
          <w:color w:val="000000" w:themeColor="text1"/>
        </w:rPr>
        <w:instrText xml:space="preserve">ADDIN Mendeley Bibliography CSL_BIBLIOGRAPHY </w:instrText>
      </w:r>
      <w:r w:rsidRPr="004C6B04">
        <w:rPr>
          <w:color w:val="000000" w:themeColor="text1"/>
        </w:rPr>
        <w:fldChar w:fldCharType="separate"/>
      </w:r>
      <w:r w:rsidR="0081066F" w:rsidRPr="0081066F">
        <w:rPr>
          <w:noProof/>
        </w:rPr>
        <w:t>1.</w:t>
      </w:r>
      <w:r w:rsidR="0081066F" w:rsidRPr="0081066F">
        <w:rPr>
          <w:noProof/>
        </w:rPr>
        <w:tab/>
        <w:t xml:space="preserve">Meyer M, Kircher M. 2010 Illumina sequencing library preparation for highly multiplexed target capture and sequencing. </w:t>
      </w:r>
      <w:r w:rsidR="0081066F" w:rsidRPr="0081066F">
        <w:rPr>
          <w:i/>
          <w:iCs/>
          <w:noProof/>
        </w:rPr>
        <w:t>Cold Spring Harb. Protoc.</w:t>
      </w:r>
      <w:r w:rsidR="0081066F" w:rsidRPr="0081066F">
        <w:rPr>
          <w:noProof/>
        </w:rPr>
        <w:t xml:space="preserve"> </w:t>
      </w:r>
      <w:r w:rsidR="0081066F" w:rsidRPr="0081066F">
        <w:rPr>
          <w:b/>
          <w:bCs/>
          <w:noProof/>
        </w:rPr>
        <w:t>5</w:t>
      </w:r>
      <w:r w:rsidR="0081066F" w:rsidRPr="0081066F">
        <w:rPr>
          <w:noProof/>
        </w:rPr>
        <w:t>. (doi:10.1101/pdb.prot5448)</w:t>
      </w:r>
    </w:p>
    <w:p w14:paraId="1C56A94F" w14:textId="77777777" w:rsidR="0081066F" w:rsidRPr="0081066F" w:rsidRDefault="0081066F" w:rsidP="0081066F">
      <w:pPr>
        <w:widowControl w:val="0"/>
        <w:autoSpaceDE w:val="0"/>
        <w:autoSpaceDN w:val="0"/>
        <w:adjustRightInd w:val="0"/>
        <w:ind w:left="640" w:hanging="640"/>
        <w:rPr>
          <w:noProof/>
        </w:rPr>
      </w:pPr>
      <w:r w:rsidRPr="0081066F">
        <w:rPr>
          <w:noProof/>
        </w:rPr>
        <w:t>2.</w:t>
      </w:r>
      <w:r w:rsidRPr="0081066F">
        <w:rPr>
          <w:noProof/>
        </w:rPr>
        <w:tab/>
        <w:t xml:space="preserve">Briggs AW, Stenzel U, Meyer M, Krause J, Kircher M, Pääbo S. 2010 Removal of deaminated cytosines and detection of in vivo methylation in ancient DNA. </w:t>
      </w:r>
      <w:r w:rsidRPr="0081066F">
        <w:rPr>
          <w:i/>
          <w:iCs/>
          <w:noProof/>
        </w:rPr>
        <w:t>Nucleic Acids Res.</w:t>
      </w:r>
      <w:r w:rsidRPr="0081066F">
        <w:rPr>
          <w:noProof/>
        </w:rPr>
        <w:t xml:space="preserve"> </w:t>
      </w:r>
      <w:r w:rsidRPr="0081066F">
        <w:rPr>
          <w:b/>
          <w:bCs/>
          <w:noProof/>
        </w:rPr>
        <w:t>38</w:t>
      </w:r>
      <w:r w:rsidRPr="0081066F">
        <w:rPr>
          <w:noProof/>
        </w:rPr>
        <w:t>, 1–12. (doi:10.1093/nar/gkp1163)</w:t>
      </w:r>
    </w:p>
    <w:p w14:paraId="43AA07E7" w14:textId="77777777" w:rsidR="0081066F" w:rsidRPr="0081066F" w:rsidRDefault="0081066F" w:rsidP="0081066F">
      <w:pPr>
        <w:widowControl w:val="0"/>
        <w:autoSpaceDE w:val="0"/>
        <w:autoSpaceDN w:val="0"/>
        <w:adjustRightInd w:val="0"/>
        <w:ind w:left="640" w:hanging="640"/>
        <w:rPr>
          <w:noProof/>
        </w:rPr>
      </w:pPr>
      <w:r w:rsidRPr="0081066F">
        <w:rPr>
          <w:noProof/>
        </w:rPr>
        <w:t>3.</w:t>
      </w:r>
      <w:r w:rsidRPr="0081066F">
        <w:rPr>
          <w:noProof/>
        </w:rPr>
        <w:tab/>
        <w:t xml:space="preserve">Kircher M, Sawyer S, Meyer M. 2012 Double indexing overcomes inaccuracies in multiplex sequencing on the Illumina platform. </w:t>
      </w:r>
      <w:r w:rsidRPr="0081066F">
        <w:rPr>
          <w:i/>
          <w:iCs/>
          <w:noProof/>
        </w:rPr>
        <w:t>Nucleic Acids Res.</w:t>
      </w:r>
      <w:r w:rsidRPr="0081066F">
        <w:rPr>
          <w:noProof/>
        </w:rPr>
        <w:t xml:space="preserve"> </w:t>
      </w:r>
      <w:r w:rsidRPr="0081066F">
        <w:rPr>
          <w:b/>
          <w:bCs/>
          <w:noProof/>
        </w:rPr>
        <w:t>40</w:t>
      </w:r>
      <w:r w:rsidRPr="0081066F">
        <w:rPr>
          <w:noProof/>
        </w:rPr>
        <w:t>. (doi:10.1093/nar/gkr771)</w:t>
      </w:r>
    </w:p>
    <w:p w14:paraId="6CFDF857" w14:textId="77777777" w:rsidR="0081066F" w:rsidRPr="0081066F" w:rsidRDefault="0081066F" w:rsidP="0081066F">
      <w:pPr>
        <w:widowControl w:val="0"/>
        <w:autoSpaceDE w:val="0"/>
        <w:autoSpaceDN w:val="0"/>
        <w:adjustRightInd w:val="0"/>
        <w:ind w:left="640" w:hanging="640"/>
        <w:rPr>
          <w:noProof/>
        </w:rPr>
      </w:pPr>
      <w:r w:rsidRPr="0081066F">
        <w:rPr>
          <w:noProof/>
        </w:rPr>
        <w:t>4.</w:t>
      </w:r>
      <w:r w:rsidRPr="0081066F">
        <w:rPr>
          <w:noProof/>
        </w:rPr>
        <w:tab/>
        <w:t xml:space="preserve">Knapp M, Clarke AC, Horsburgh KA, Matisoo-Smith EA. 2012 Setting the stage - Building and working in an ancient DNA laboratory. </w:t>
      </w:r>
      <w:r w:rsidRPr="0081066F">
        <w:rPr>
          <w:i/>
          <w:iCs/>
          <w:noProof/>
        </w:rPr>
        <w:t>Ann. Anat.</w:t>
      </w:r>
      <w:r w:rsidRPr="0081066F">
        <w:rPr>
          <w:noProof/>
        </w:rPr>
        <w:t xml:space="preserve"> </w:t>
      </w:r>
      <w:r w:rsidRPr="0081066F">
        <w:rPr>
          <w:b/>
          <w:bCs/>
          <w:noProof/>
        </w:rPr>
        <w:t>194</w:t>
      </w:r>
      <w:r w:rsidRPr="0081066F">
        <w:rPr>
          <w:noProof/>
        </w:rPr>
        <w:t>, 3–6. (doi:10.1016/j.aanat.2011.03.008)</w:t>
      </w:r>
    </w:p>
    <w:p w14:paraId="662D101F" w14:textId="77777777" w:rsidR="0081066F" w:rsidRPr="0081066F" w:rsidRDefault="0081066F" w:rsidP="0081066F">
      <w:pPr>
        <w:widowControl w:val="0"/>
        <w:autoSpaceDE w:val="0"/>
        <w:autoSpaceDN w:val="0"/>
        <w:adjustRightInd w:val="0"/>
        <w:ind w:left="640" w:hanging="640"/>
        <w:rPr>
          <w:noProof/>
        </w:rPr>
      </w:pPr>
      <w:r w:rsidRPr="0081066F">
        <w:rPr>
          <w:noProof/>
        </w:rPr>
        <w:t>5.</w:t>
      </w:r>
      <w:r w:rsidRPr="0081066F">
        <w:rPr>
          <w:noProof/>
        </w:rPr>
        <w:tab/>
        <w:t xml:space="preserve">Camacho C, Coulouris G, Avagyan V, Ma N, Papadopoulos J, Bealer K, Madden TL. 2009 BLAST + : architecture and applications. </w:t>
      </w:r>
      <w:r w:rsidRPr="0081066F">
        <w:rPr>
          <w:i/>
          <w:iCs/>
          <w:noProof/>
        </w:rPr>
        <w:t>BMC Bioinformatics</w:t>
      </w:r>
      <w:r w:rsidRPr="0081066F">
        <w:rPr>
          <w:noProof/>
        </w:rPr>
        <w:t xml:space="preserve"> </w:t>
      </w:r>
      <w:r w:rsidRPr="0081066F">
        <w:rPr>
          <w:b/>
          <w:bCs/>
          <w:noProof/>
        </w:rPr>
        <w:t>10</w:t>
      </w:r>
      <w:r w:rsidRPr="0081066F">
        <w:rPr>
          <w:noProof/>
        </w:rPr>
        <w:t>, 421. (doi:10.1186/1471-2105-10-421)</w:t>
      </w:r>
    </w:p>
    <w:p w14:paraId="69D07277" w14:textId="77777777" w:rsidR="0081066F" w:rsidRPr="0081066F" w:rsidRDefault="0081066F" w:rsidP="0081066F">
      <w:pPr>
        <w:widowControl w:val="0"/>
        <w:autoSpaceDE w:val="0"/>
        <w:autoSpaceDN w:val="0"/>
        <w:adjustRightInd w:val="0"/>
        <w:ind w:left="640" w:hanging="640"/>
        <w:rPr>
          <w:noProof/>
        </w:rPr>
      </w:pPr>
      <w:r w:rsidRPr="0081066F">
        <w:rPr>
          <w:noProof/>
        </w:rPr>
        <w:t>6.</w:t>
      </w:r>
      <w:r w:rsidRPr="0081066F">
        <w:rPr>
          <w:noProof/>
        </w:rPr>
        <w:tab/>
        <w:t xml:space="preserve">Smit AFA, Hubley R, Green P. 2010 RepeatMasker Open-3.0. 1996-2010. </w:t>
      </w:r>
      <w:r w:rsidRPr="0081066F">
        <w:rPr>
          <w:i/>
          <w:iCs/>
          <w:noProof/>
        </w:rPr>
        <w:t>Inst. Syst. Biol.</w:t>
      </w:r>
      <w:r w:rsidRPr="0081066F">
        <w:rPr>
          <w:noProof/>
        </w:rPr>
        <w:t xml:space="preserve"> </w:t>
      </w:r>
    </w:p>
    <w:p w14:paraId="7CC42D12" w14:textId="77777777" w:rsidR="0081066F" w:rsidRPr="0081066F" w:rsidRDefault="0081066F" w:rsidP="0081066F">
      <w:pPr>
        <w:widowControl w:val="0"/>
        <w:autoSpaceDE w:val="0"/>
        <w:autoSpaceDN w:val="0"/>
        <w:adjustRightInd w:val="0"/>
        <w:ind w:left="640" w:hanging="640"/>
        <w:rPr>
          <w:noProof/>
        </w:rPr>
      </w:pPr>
      <w:r w:rsidRPr="0081066F">
        <w:rPr>
          <w:noProof/>
        </w:rPr>
        <w:t>7.</w:t>
      </w:r>
      <w:r w:rsidRPr="0081066F">
        <w:rPr>
          <w:noProof/>
        </w:rPr>
        <w:tab/>
        <w:t xml:space="preserve">John JS. 2011 SeqPrep 1.1. </w:t>
      </w:r>
      <w:r w:rsidRPr="0081066F">
        <w:rPr>
          <w:i/>
          <w:iCs/>
          <w:noProof/>
        </w:rPr>
        <w:t>https://github.com/jstjohn/ SeqPrep.</w:t>
      </w:r>
      <w:r w:rsidRPr="0081066F">
        <w:rPr>
          <w:noProof/>
        </w:rPr>
        <w:t xml:space="preserve"> </w:t>
      </w:r>
    </w:p>
    <w:p w14:paraId="0D0216AF" w14:textId="77777777" w:rsidR="0081066F" w:rsidRPr="0081066F" w:rsidRDefault="0081066F" w:rsidP="0081066F">
      <w:pPr>
        <w:widowControl w:val="0"/>
        <w:autoSpaceDE w:val="0"/>
        <w:autoSpaceDN w:val="0"/>
        <w:adjustRightInd w:val="0"/>
        <w:ind w:left="640" w:hanging="640"/>
        <w:rPr>
          <w:noProof/>
        </w:rPr>
      </w:pPr>
      <w:r w:rsidRPr="0081066F">
        <w:rPr>
          <w:noProof/>
        </w:rPr>
        <w:lastRenderedPageBreak/>
        <w:t>8.</w:t>
      </w:r>
      <w:r w:rsidRPr="0081066F">
        <w:rPr>
          <w:noProof/>
        </w:rPr>
        <w:tab/>
        <w:t xml:space="preserve">Palkopoulou E </w:t>
      </w:r>
      <w:r w:rsidRPr="0081066F">
        <w:rPr>
          <w:i/>
          <w:iCs/>
          <w:noProof/>
        </w:rPr>
        <w:t>et al.</w:t>
      </w:r>
      <w:r w:rsidRPr="0081066F">
        <w:rPr>
          <w:noProof/>
        </w:rPr>
        <w:t xml:space="preserve"> 2015 Complete genomes reveal signatures of demographic and genetic declines in the woolly mammoth. </w:t>
      </w:r>
      <w:r w:rsidRPr="0081066F">
        <w:rPr>
          <w:i/>
          <w:iCs/>
          <w:noProof/>
        </w:rPr>
        <w:t>Curr. Biol.</w:t>
      </w:r>
      <w:r w:rsidRPr="0081066F">
        <w:rPr>
          <w:noProof/>
        </w:rPr>
        <w:t xml:space="preserve"> </w:t>
      </w:r>
      <w:r w:rsidRPr="0081066F">
        <w:rPr>
          <w:b/>
          <w:bCs/>
          <w:noProof/>
        </w:rPr>
        <w:t>25</w:t>
      </w:r>
      <w:r w:rsidRPr="0081066F">
        <w:rPr>
          <w:noProof/>
        </w:rPr>
        <w:t>, 1395–1400. (doi:10.1016/j.cub.2015.04.007)</w:t>
      </w:r>
    </w:p>
    <w:p w14:paraId="242CF6E4" w14:textId="77777777" w:rsidR="0081066F" w:rsidRPr="0081066F" w:rsidRDefault="0081066F" w:rsidP="0081066F">
      <w:pPr>
        <w:widowControl w:val="0"/>
        <w:autoSpaceDE w:val="0"/>
        <w:autoSpaceDN w:val="0"/>
        <w:adjustRightInd w:val="0"/>
        <w:ind w:left="640" w:hanging="640"/>
        <w:rPr>
          <w:noProof/>
        </w:rPr>
      </w:pPr>
      <w:r w:rsidRPr="0081066F">
        <w:rPr>
          <w:noProof/>
        </w:rPr>
        <w:t>9.</w:t>
      </w:r>
      <w:r w:rsidRPr="0081066F">
        <w:rPr>
          <w:noProof/>
        </w:rPr>
        <w:tab/>
        <w:t xml:space="preserve">Li H, Durbin R. 2010 Fast and accurate long-read alignment with Burrows-Wheeler transform. </w:t>
      </w:r>
      <w:r w:rsidRPr="0081066F">
        <w:rPr>
          <w:i/>
          <w:iCs/>
          <w:noProof/>
        </w:rPr>
        <w:t>Bioinformatics</w:t>
      </w:r>
      <w:r w:rsidRPr="0081066F">
        <w:rPr>
          <w:noProof/>
        </w:rPr>
        <w:t xml:space="preserve"> </w:t>
      </w:r>
      <w:r w:rsidRPr="0081066F">
        <w:rPr>
          <w:b/>
          <w:bCs/>
          <w:noProof/>
        </w:rPr>
        <w:t>26</w:t>
      </w:r>
      <w:r w:rsidRPr="0081066F">
        <w:rPr>
          <w:noProof/>
        </w:rPr>
        <w:t>, 589–595. (doi:10.1093/bioinformatics/btp698)</w:t>
      </w:r>
    </w:p>
    <w:p w14:paraId="6C084EF5" w14:textId="77777777" w:rsidR="0081066F" w:rsidRPr="0081066F" w:rsidRDefault="0081066F" w:rsidP="0081066F">
      <w:pPr>
        <w:widowControl w:val="0"/>
        <w:autoSpaceDE w:val="0"/>
        <w:autoSpaceDN w:val="0"/>
        <w:adjustRightInd w:val="0"/>
        <w:ind w:left="640" w:hanging="640"/>
        <w:rPr>
          <w:noProof/>
        </w:rPr>
      </w:pPr>
      <w:r w:rsidRPr="0081066F">
        <w:rPr>
          <w:noProof/>
        </w:rPr>
        <w:t>10.</w:t>
      </w:r>
      <w:r w:rsidRPr="0081066F">
        <w:rPr>
          <w:noProof/>
        </w:rPr>
        <w:tab/>
        <w:t xml:space="preserve">McKenna A </w:t>
      </w:r>
      <w:r w:rsidRPr="0081066F">
        <w:rPr>
          <w:i/>
          <w:iCs/>
          <w:noProof/>
        </w:rPr>
        <w:t>et al.</w:t>
      </w:r>
      <w:r w:rsidRPr="0081066F">
        <w:rPr>
          <w:noProof/>
        </w:rPr>
        <w:t xml:space="preserve"> 2010 The Genome Analysis Toolkit: A MapReduce framework for analyzing next-generation DNA sequencing data. </w:t>
      </w:r>
      <w:r w:rsidRPr="0081066F">
        <w:rPr>
          <w:i/>
          <w:iCs/>
          <w:noProof/>
        </w:rPr>
        <w:t>Genome Res.</w:t>
      </w:r>
      <w:r w:rsidRPr="0081066F">
        <w:rPr>
          <w:noProof/>
        </w:rPr>
        <w:t xml:space="preserve"> </w:t>
      </w:r>
      <w:r w:rsidRPr="0081066F">
        <w:rPr>
          <w:b/>
          <w:bCs/>
          <w:noProof/>
        </w:rPr>
        <w:t>20</w:t>
      </w:r>
      <w:r w:rsidRPr="0081066F">
        <w:rPr>
          <w:noProof/>
        </w:rPr>
        <w:t>, 1297–1303. (doi:10.1101/gr.107524.110.20)</w:t>
      </w:r>
    </w:p>
    <w:p w14:paraId="15CA0DCF" w14:textId="77777777" w:rsidR="0081066F" w:rsidRPr="0081066F" w:rsidRDefault="0081066F" w:rsidP="0081066F">
      <w:pPr>
        <w:widowControl w:val="0"/>
        <w:autoSpaceDE w:val="0"/>
        <w:autoSpaceDN w:val="0"/>
        <w:adjustRightInd w:val="0"/>
        <w:ind w:left="640" w:hanging="640"/>
        <w:rPr>
          <w:noProof/>
        </w:rPr>
      </w:pPr>
      <w:r w:rsidRPr="0081066F">
        <w:rPr>
          <w:noProof/>
        </w:rPr>
        <w:t>11.</w:t>
      </w:r>
      <w:r w:rsidRPr="0081066F">
        <w:rPr>
          <w:noProof/>
        </w:rPr>
        <w:tab/>
        <w:t xml:space="preserve">Quinlan AR, Hall IM. 2010 BEDTools: A flexible suite of utilities for comparing genomic features. </w:t>
      </w:r>
      <w:r w:rsidRPr="0081066F">
        <w:rPr>
          <w:i/>
          <w:iCs/>
          <w:noProof/>
        </w:rPr>
        <w:t>Bioinformatics</w:t>
      </w:r>
      <w:r w:rsidRPr="0081066F">
        <w:rPr>
          <w:noProof/>
        </w:rPr>
        <w:t xml:space="preserve"> </w:t>
      </w:r>
      <w:r w:rsidRPr="0081066F">
        <w:rPr>
          <w:b/>
          <w:bCs/>
          <w:noProof/>
        </w:rPr>
        <w:t>26</w:t>
      </w:r>
      <w:r w:rsidRPr="0081066F">
        <w:rPr>
          <w:noProof/>
        </w:rPr>
        <w:t>, 841–842. (doi:10.1093/bioinformatics/btq033)</w:t>
      </w:r>
    </w:p>
    <w:p w14:paraId="03807AF8" w14:textId="77777777" w:rsidR="0081066F" w:rsidRPr="0081066F" w:rsidRDefault="0081066F" w:rsidP="0081066F">
      <w:pPr>
        <w:widowControl w:val="0"/>
        <w:autoSpaceDE w:val="0"/>
        <w:autoSpaceDN w:val="0"/>
        <w:adjustRightInd w:val="0"/>
        <w:ind w:left="640" w:hanging="640"/>
        <w:rPr>
          <w:noProof/>
        </w:rPr>
      </w:pPr>
      <w:r w:rsidRPr="0081066F">
        <w:rPr>
          <w:noProof/>
        </w:rPr>
        <w:t>12.</w:t>
      </w:r>
      <w:r w:rsidRPr="0081066F">
        <w:rPr>
          <w:noProof/>
        </w:rPr>
        <w:tab/>
        <w:t xml:space="preserve">Okonechnikov K, Conesa A, García-Alcalde F. 2015 Qualimap 2: Advanced multi-sample quality control for high-throughput sequencing data. </w:t>
      </w:r>
      <w:r w:rsidRPr="0081066F">
        <w:rPr>
          <w:i/>
          <w:iCs/>
          <w:noProof/>
        </w:rPr>
        <w:t>Bioinformatics</w:t>
      </w:r>
      <w:r w:rsidRPr="0081066F">
        <w:rPr>
          <w:noProof/>
        </w:rPr>
        <w:t xml:space="preserve"> </w:t>
      </w:r>
      <w:r w:rsidRPr="0081066F">
        <w:rPr>
          <w:b/>
          <w:bCs/>
          <w:noProof/>
        </w:rPr>
        <w:t>32</w:t>
      </w:r>
      <w:r w:rsidRPr="0081066F">
        <w:rPr>
          <w:noProof/>
        </w:rPr>
        <w:t>, 292–294. (doi:10.1093/bioinformatics/btv566)</w:t>
      </w:r>
    </w:p>
    <w:p w14:paraId="72FA3B7B" w14:textId="77777777" w:rsidR="0081066F" w:rsidRPr="0081066F" w:rsidRDefault="0081066F" w:rsidP="0081066F">
      <w:pPr>
        <w:widowControl w:val="0"/>
        <w:autoSpaceDE w:val="0"/>
        <w:autoSpaceDN w:val="0"/>
        <w:adjustRightInd w:val="0"/>
        <w:ind w:left="640" w:hanging="640"/>
        <w:rPr>
          <w:noProof/>
        </w:rPr>
      </w:pPr>
      <w:r w:rsidRPr="0081066F">
        <w:rPr>
          <w:noProof/>
        </w:rPr>
        <w:t>13.</w:t>
      </w:r>
      <w:r w:rsidRPr="0081066F">
        <w:rPr>
          <w:noProof/>
        </w:rPr>
        <w:tab/>
        <w:t xml:space="preserve">Li H, Handsaker B, Wysoker A, Fennell T, Ruan J, Homer N, Marth G, Abecasis G, Durbin R. 2009 The Sequence Alignment/Map format and SAMtools. </w:t>
      </w:r>
      <w:r w:rsidRPr="0081066F">
        <w:rPr>
          <w:i/>
          <w:iCs/>
          <w:noProof/>
        </w:rPr>
        <w:t>Bioinformatics</w:t>
      </w:r>
      <w:r w:rsidRPr="0081066F">
        <w:rPr>
          <w:noProof/>
        </w:rPr>
        <w:t xml:space="preserve"> </w:t>
      </w:r>
      <w:r w:rsidRPr="0081066F">
        <w:rPr>
          <w:b/>
          <w:bCs/>
          <w:noProof/>
        </w:rPr>
        <w:t>25</w:t>
      </w:r>
      <w:r w:rsidRPr="0081066F">
        <w:rPr>
          <w:noProof/>
        </w:rPr>
        <w:t>, 2078–2079. (doi:10.1093/bioinformatics/btp352)</w:t>
      </w:r>
    </w:p>
    <w:p w14:paraId="04C8D127" w14:textId="77777777" w:rsidR="0081066F" w:rsidRPr="0081066F" w:rsidRDefault="0081066F" w:rsidP="0081066F">
      <w:pPr>
        <w:widowControl w:val="0"/>
        <w:autoSpaceDE w:val="0"/>
        <w:autoSpaceDN w:val="0"/>
        <w:adjustRightInd w:val="0"/>
        <w:ind w:left="640" w:hanging="640"/>
        <w:rPr>
          <w:noProof/>
        </w:rPr>
      </w:pPr>
      <w:r w:rsidRPr="0081066F">
        <w:rPr>
          <w:noProof/>
        </w:rPr>
        <w:t>14.</w:t>
      </w:r>
      <w:r w:rsidRPr="0081066F">
        <w:rPr>
          <w:noProof/>
        </w:rPr>
        <w:tab/>
        <w:t xml:space="preserve">Li H, Durbin R. 2011 Inference of human population history from individual whole-genome sequences. </w:t>
      </w:r>
      <w:r w:rsidRPr="0081066F">
        <w:rPr>
          <w:i/>
          <w:iCs/>
          <w:noProof/>
        </w:rPr>
        <w:t>Nature</w:t>
      </w:r>
      <w:r w:rsidRPr="0081066F">
        <w:rPr>
          <w:noProof/>
        </w:rPr>
        <w:t xml:space="preserve"> </w:t>
      </w:r>
      <w:r w:rsidRPr="0081066F">
        <w:rPr>
          <w:b/>
          <w:bCs/>
          <w:noProof/>
        </w:rPr>
        <w:t>475</w:t>
      </w:r>
      <w:r w:rsidRPr="0081066F">
        <w:rPr>
          <w:noProof/>
        </w:rPr>
        <w:t>, 493–496. (doi:10.1038/nature10231)</w:t>
      </w:r>
    </w:p>
    <w:p w14:paraId="270C7533" w14:textId="77777777" w:rsidR="0081066F" w:rsidRPr="0081066F" w:rsidRDefault="0081066F" w:rsidP="0081066F">
      <w:pPr>
        <w:widowControl w:val="0"/>
        <w:autoSpaceDE w:val="0"/>
        <w:autoSpaceDN w:val="0"/>
        <w:adjustRightInd w:val="0"/>
        <w:ind w:left="640" w:hanging="640"/>
        <w:rPr>
          <w:noProof/>
        </w:rPr>
      </w:pPr>
      <w:r w:rsidRPr="0081066F">
        <w:rPr>
          <w:noProof/>
        </w:rPr>
        <w:t>15.</w:t>
      </w:r>
      <w:r w:rsidRPr="0081066F">
        <w:rPr>
          <w:noProof/>
        </w:rPr>
        <w:tab/>
        <w:t xml:space="preserve">Double M, Murphy S. 2000 Genetic variation within and among populations of North Island kokako. </w:t>
      </w:r>
      <w:r w:rsidRPr="0081066F">
        <w:rPr>
          <w:i/>
          <w:iCs/>
          <w:noProof/>
        </w:rPr>
        <w:t>New Zeal. Dept Conserv.</w:t>
      </w:r>
      <w:r w:rsidRPr="0081066F">
        <w:rPr>
          <w:noProof/>
        </w:rPr>
        <w:t xml:space="preserve"> </w:t>
      </w:r>
    </w:p>
    <w:p w14:paraId="23F8E990" w14:textId="77777777" w:rsidR="0081066F" w:rsidRPr="0081066F" w:rsidRDefault="0081066F" w:rsidP="0081066F">
      <w:pPr>
        <w:widowControl w:val="0"/>
        <w:autoSpaceDE w:val="0"/>
        <w:autoSpaceDN w:val="0"/>
        <w:adjustRightInd w:val="0"/>
        <w:ind w:left="640" w:hanging="640"/>
        <w:rPr>
          <w:noProof/>
        </w:rPr>
      </w:pPr>
      <w:r w:rsidRPr="0081066F">
        <w:rPr>
          <w:noProof/>
        </w:rPr>
        <w:t>16.</w:t>
      </w:r>
      <w:r w:rsidRPr="0081066F">
        <w:rPr>
          <w:noProof/>
        </w:rPr>
        <w:tab/>
        <w:t xml:space="preserve">Armstrong DP, Davidson RS, Perrott JK, Roygard J, Buchanan L. 2005 Density-dependent population growth in a reintroduced population of North Island saddlebacks. </w:t>
      </w:r>
      <w:r w:rsidRPr="0081066F">
        <w:rPr>
          <w:i/>
          <w:iCs/>
          <w:noProof/>
        </w:rPr>
        <w:t>J. Anim. Ecol.</w:t>
      </w:r>
      <w:r w:rsidRPr="0081066F">
        <w:rPr>
          <w:noProof/>
        </w:rPr>
        <w:t xml:space="preserve"> </w:t>
      </w:r>
      <w:r w:rsidRPr="0081066F">
        <w:rPr>
          <w:b/>
          <w:bCs/>
          <w:noProof/>
        </w:rPr>
        <w:t>74</w:t>
      </w:r>
      <w:r w:rsidRPr="0081066F">
        <w:rPr>
          <w:noProof/>
        </w:rPr>
        <w:t>, 160–170. (doi:10.1111/j.1365-2656.2004.00908.x)</w:t>
      </w:r>
    </w:p>
    <w:p w14:paraId="1F251075" w14:textId="77777777" w:rsidR="0081066F" w:rsidRPr="0081066F" w:rsidRDefault="0081066F" w:rsidP="0081066F">
      <w:pPr>
        <w:widowControl w:val="0"/>
        <w:autoSpaceDE w:val="0"/>
        <w:autoSpaceDN w:val="0"/>
        <w:adjustRightInd w:val="0"/>
        <w:ind w:left="640" w:hanging="640"/>
        <w:rPr>
          <w:noProof/>
        </w:rPr>
      </w:pPr>
      <w:r w:rsidRPr="0081066F">
        <w:rPr>
          <w:noProof/>
        </w:rPr>
        <w:t>17.</w:t>
      </w:r>
      <w:r w:rsidRPr="0081066F">
        <w:rPr>
          <w:noProof/>
        </w:rPr>
        <w:tab/>
        <w:t xml:space="preserve">Smeds L, Qvarnström A, Ellegren H. 2016 Direct estimate of the rate of germline mutation in a bird. </w:t>
      </w:r>
      <w:r w:rsidRPr="0081066F">
        <w:rPr>
          <w:i/>
          <w:iCs/>
          <w:noProof/>
        </w:rPr>
        <w:t>Genome Res.</w:t>
      </w:r>
      <w:r w:rsidRPr="0081066F">
        <w:rPr>
          <w:noProof/>
        </w:rPr>
        <w:t xml:space="preserve"> </w:t>
      </w:r>
      <w:r w:rsidRPr="0081066F">
        <w:rPr>
          <w:b/>
          <w:bCs/>
          <w:noProof/>
        </w:rPr>
        <w:t>26</w:t>
      </w:r>
      <w:r w:rsidRPr="0081066F">
        <w:rPr>
          <w:noProof/>
        </w:rPr>
        <w:t>, 1211–1218. (doi:10.1101/gr.204669.116)</w:t>
      </w:r>
    </w:p>
    <w:p w14:paraId="6BF5157E" w14:textId="77777777" w:rsidR="0081066F" w:rsidRPr="0081066F" w:rsidRDefault="0081066F" w:rsidP="0081066F">
      <w:pPr>
        <w:widowControl w:val="0"/>
        <w:autoSpaceDE w:val="0"/>
        <w:autoSpaceDN w:val="0"/>
        <w:adjustRightInd w:val="0"/>
        <w:ind w:left="640" w:hanging="640"/>
        <w:rPr>
          <w:noProof/>
        </w:rPr>
      </w:pPr>
      <w:r w:rsidRPr="0081066F">
        <w:rPr>
          <w:noProof/>
        </w:rPr>
        <w:t>18.</w:t>
      </w:r>
      <w:r w:rsidRPr="0081066F">
        <w:rPr>
          <w:noProof/>
        </w:rPr>
        <w:tab/>
        <w:t xml:space="preserve">Zhang G </w:t>
      </w:r>
      <w:r w:rsidRPr="0081066F">
        <w:rPr>
          <w:i/>
          <w:iCs/>
          <w:noProof/>
        </w:rPr>
        <w:t>et al.</w:t>
      </w:r>
      <w:r w:rsidRPr="0081066F">
        <w:rPr>
          <w:noProof/>
        </w:rPr>
        <w:t xml:space="preserve"> 2014 Comparative genomics reveals insights into avian genome evolution and adaptation. </w:t>
      </w:r>
      <w:r w:rsidRPr="0081066F">
        <w:rPr>
          <w:i/>
          <w:iCs/>
          <w:noProof/>
        </w:rPr>
        <w:t>Science</w:t>
      </w:r>
      <w:r w:rsidRPr="0081066F">
        <w:rPr>
          <w:noProof/>
        </w:rPr>
        <w:t xml:space="preserve"> </w:t>
      </w:r>
      <w:r w:rsidRPr="0081066F">
        <w:rPr>
          <w:b/>
          <w:bCs/>
          <w:noProof/>
        </w:rPr>
        <w:t>346</w:t>
      </w:r>
      <w:r w:rsidRPr="0081066F">
        <w:rPr>
          <w:noProof/>
        </w:rPr>
        <w:t xml:space="preserve">, 1311–1321. </w:t>
      </w:r>
    </w:p>
    <w:p w14:paraId="34467D6F" w14:textId="77777777" w:rsidR="0081066F" w:rsidRPr="0081066F" w:rsidRDefault="0081066F" w:rsidP="0081066F">
      <w:pPr>
        <w:widowControl w:val="0"/>
        <w:autoSpaceDE w:val="0"/>
        <w:autoSpaceDN w:val="0"/>
        <w:adjustRightInd w:val="0"/>
        <w:ind w:left="640" w:hanging="640"/>
        <w:rPr>
          <w:noProof/>
        </w:rPr>
      </w:pPr>
      <w:r w:rsidRPr="0081066F">
        <w:rPr>
          <w:noProof/>
        </w:rPr>
        <w:t>19.</w:t>
      </w:r>
      <w:r w:rsidRPr="0081066F">
        <w:rPr>
          <w:noProof/>
        </w:rPr>
        <w:tab/>
        <w:t xml:space="preserve">Nadachowska-Brzyska K, Burri R, Smeds L, Ellegren H. 2016 PSMC analysis of effective population sizes in molecular ecology and its application to black-and-white Ficedula flycatchers. </w:t>
      </w:r>
      <w:r w:rsidRPr="0081066F">
        <w:rPr>
          <w:i/>
          <w:iCs/>
          <w:noProof/>
        </w:rPr>
        <w:t>Mol. Ecol.</w:t>
      </w:r>
      <w:r w:rsidRPr="0081066F">
        <w:rPr>
          <w:noProof/>
        </w:rPr>
        <w:t xml:space="preserve"> </w:t>
      </w:r>
      <w:r w:rsidRPr="0081066F">
        <w:rPr>
          <w:b/>
          <w:bCs/>
          <w:noProof/>
        </w:rPr>
        <w:t>25</w:t>
      </w:r>
      <w:r w:rsidRPr="0081066F">
        <w:rPr>
          <w:noProof/>
        </w:rPr>
        <w:t>, 1058–1072. (doi:10.1111/mec.13540)</w:t>
      </w:r>
    </w:p>
    <w:p w14:paraId="0F46CC24" w14:textId="77777777" w:rsidR="0081066F" w:rsidRPr="0081066F" w:rsidRDefault="0081066F" w:rsidP="0081066F">
      <w:pPr>
        <w:widowControl w:val="0"/>
        <w:autoSpaceDE w:val="0"/>
        <w:autoSpaceDN w:val="0"/>
        <w:adjustRightInd w:val="0"/>
        <w:ind w:left="640" w:hanging="640"/>
        <w:rPr>
          <w:noProof/>
        </w:rPr>
      </w:pPr>
      <w:r w:rsidRPr="0081066F">
        <w:rPr>
          <w:noProof/>
        </w:rPr>
        <w:t>20.</w:t>
      </w:r>
      <w:r w:rsidRPr="0081066F">
        <w:rPr>
          <w:noProof/>
        </w:rPr>
        <w:tab/>
        <w:t xml:space="preserve">Haubold B, Pfaffelhuber P, Lynch M. 2010 MlRho - A program for estimating the population mutation and recombination rates from shotgunsequenced diploid genomes. </w:t>
      </w:r>
      <w:r w:rsidRPr="0081066F">
        <w:rPr>
          <w:i/>
          <w:iCs/>
          <w:noProof/>
        </w:rPr>
        <w:t>Mol. Ecol.</w:t>
      </w:r>
      <w:r w:rsidRPr="0081066F">
        <w:rPr>
          <w:noProof/>
        </w:rPr>
        <w:t xml:space="preserve"> </w:t>
      </w:r>
      <w:r w:rsidRPr="0081066F">
        <w:rPr>
          <w:b/>
          <w:bCs/>
          <w:noProof/>
        </w:rPr>
        <w:t>19</w:t>
      </w:r>
      <w:r w:rsidRPr="0081066F">
        <w:rPr>
          <w:noProof/>
        </w:rPr>
        <w:t>, 277–284. (doi:10.1111/j.1365-294X.2009.04482.x)</w:t>
      </w:r>
    </w:p>
    <w:p w14:paraId="2A123920" w14:textId="77777777" w:rsidR="0081066F" w:rsidRPr="0081066F" w:rsidRDefault="0081066F" w:rsidP="0081066F">
      <w:pPr>
        <w:widowControl w:val="0"/>
        <w:autoSpaceDE w:val="0"/>
        <w:autoSpaceDN w:val="0"/>
        <w:adjustRightInd w:val="0"/>
        <w:ind w:left="640" w:hanging="640"/>
        <w:rPr>
          <w:noProof/>
        </w:rPr>
      </w:pPr>
      <w:r w:rsidRPr="0081066F">
        <w:rPr>
          <w:noProof/>
        </w:rPr>
        <w:t>21.</w:t>
      </w:r>
      <w:r w:rsidRPr="0081066F">
        <w:rPr>
          <w:noProof/>
        </w:rPr>
        <w:tab/>
        <w:t xml:space="preserve">Lynch M. 2008 Estimation of nucleotide diversity, disequilibrium coefficients, and mutation rates from high-coverage genome-sequencing projects. </w:t>
      </w:r>
      <w:r w:rsidRPr="0081066F">
        <w:rPr>
          <w:i/>
          <w:iCs/>
          <w:noProof/>
        </w:rPr>
        <w:t>Mol. Biol. Evol.</w:t>
      </w:r>
      <w:r w:rsidRPr="0081066F">
        <w:rPr>
          <w:noProof/>
        </w:rPr>
        <w:t xml:space="preserve"> </w:t>
      </w:r>
      <w:r w:rsidRPr="0081066F">
        <w:rPr>
          <w:b/>
          <w:bCs/>
          <w:noProof/>
        </w:rPr>
        <w:t>25</w:t>
      </w:r>
      <w:r w:rsidRPr="0081066F">
        <w:rPr>
          <w:noProof/>
        </w:rPr>
        <w:t>, 2409–2419. (doi:10.1093/molbev/msn185)</w:t>
      </w:r>
    </w:p>
    <w:p w14:paraId="1826555F" w14:textId="77777777" w:rsidR="0081066F" w:rsidRPr="0081066F" w:rsidRDefault="0081066F" w:rsidP="0081066F">
      <w:pPr>
        <w:widowControl w:val="0"/>
        <w:autoSpaceDE w:val="0"/>
        <w:autoSpaceDN w:val="0"/>
        <w:adjustRightInd w:val="0"/>
        <w:ind w:left="640" w:hanging="640"/>
        <w:rPr>
          <w:noProof/>
        </w:rPr>
      </w:pPr>
      <w:r w:rsidRPr="0081066F">
        <w:rPr>
          <w:noProof/>
        </w:rPr>
        <w:t>22.</w:t>
      </w:r>
      <w:r w:rsidRPr="0081066F">
        <w:rPr>
          <w:noProof/>
        </w:rPr>
        <w:tab/>
        <w:t xml:space="preserve">Purcell S </w:t>
      </w:r>
      <w:r w:rsidRPr="0081066F">
        <w:rPr>
          <w:i/>
          <w:iCs/>
          <w:noProof/>
        </w:rPr>
        <w:t>et al.</w:t>
      </w:r>
      <w:r w:rsidRPr="0081066F">
        <w:rPr>
          <w:noProof/>
        </w:rPr>
        <w:t xml:space="preserve"> 2007 PLINK: a tool set for whole-genome association and population-based linkage analyses. </w:t>
      </w:r>
      <w:r w:rsidRPr="0081066F">
        <w:rPr>
          <w:i/>
          <w:iCs/>
          <w:noProof/>
        </w:rPr>
        <w:t>Am. J. Hum. Genet.</w:t>
      </w:r>
      <w:r w:rsidRPr="0081066F">
        <w:rPr>
          <w:noProof/>
        </w:rPr>
        <w:t xml:space="preserve"> </w:t>
      </w:r>
      <w:r w:rsidRPr="0081066F">
        <w:rPr>
          <w:b/>
          <w:bCs/>
          <w:noProof/>
        </w:rPr>
        <w:t>81</w:t>
      </w:r>
      <w:r w:rsidRPr="0081066F">
        <w:rPr>
          <w:noProof/>
        </w:rPr>
        <w:t>, 559–575. (doi:10.1086/519795)</w:t>
      </w:r>
    </w:p>
    <w:p w14:paraId="33E725D4" w14:textId="5B573585" w:rsidR="000562E9" w:rsidRPr="004C6B04" w:rsidRDefault="000562E9" w:rsidP="0081066F">
      <w:pPr>
        <w:widowControl w:val="0"/>
        <w:autoSpaceDE w:val="0"/>
        <w:autoSpaceDN w:val="0"/>
        <w:adjustRightInd w:val="0"/>
        <w:ind w:left="640" w:hanging="640"/>
        <w:rPr>
          <w:color w:val="000000" w:themeColor="text1"/>
        </w:rPr>
      </w:pPr>
      <w:r w:rsidRPr="004C6B04">
        <w:rPr>
          <w:color w:val="000000" w:themeColor="text1"/>
        </w:rPr>
        <w:fldChar w:fldCharType="end"/>
      </w:r>
    </w:p>
    <w:sectPr w:rsidR="000562E9" w:rsidRPr="004C6B04" w:rsidSect="00C95C16">
      <w:pgSz w:w="11900" w:h="16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4F0"/>
    <w:rsid w:val="00031691"/>
    <w:rsid w:val="000562E9"/>
    <w:rsid w:val="00060EB4"/>
    <w:rsid w:val="00062D5C"/>
    <w:rsid w:val="0009461E"/>
    <w:rsid w:val="000D6EEC"/>
    <w:rsid w:val="000E0E60"/>
    <w:rsid w:val="00131140"/>
    <w:rsid w:val="0013380C"/>
    <w:rsid w:val="001340F7"/>
    <w:rsid w:val="00135C19"/>
    <w:rsid w:val="00180971"/>
    <w:rsid w:val="001C24C2"/>
    <w:rsid w:val="001D58CA"/>
    <w:rsid w:val="001E7890"/>
    <w:rsid w:val="001F64FF"/>
    <w:rsid w:val="00212232"/>
    <w:rsid w:val="002A7C52"/>
    <w:rsid w:val="002F61C5"/>
    <w:rsid w:val="00325458"/>
    <w:rsid w:val="003349B9"/>
    <w:rsid w:val="003354FF"/>
    <w:rsid w:val="00337F1F"/>
    <w:rsid w:val="00346A8E"/>
    <w:rsid w:val="003473F3"/>
    <w:rsid w:val="00357F8B"/>
    <w:rsid w:val="003811D5"/>
    <w:rsid w:val="003869C3"/>
    <w:rsid w:val="003A7575"/>
    <w:rsid w:val="003C7CFD"/>
    <w:rsid w:val="003D06FA"/>
    <w:rsid w:val="003D252C"/>
    <w:rsid w:val="003D65B1"/>
    <w:rsid w:val="003E2239"/>
    <w:rsid w:val="0042078B"/>
    <w:rsid w:val="004526DD"/>
    <w:rsid w:val="00486198"/>
    <w:rsid w:val="00496EE9"/>
    <w:rsid w:val="004B5576"/>
    <w:rsid w:val="004C6B04"/>
    <w:rsid w:val="004E63AB"/>
    <w:rsid w:val="004F6D9B"/>
    <w:rsid w:val="00500688"/>
    <w:rsid w:val="00502EF9"/>
    <w:rsid w:val="005043C4"/>
    <w:rsid w:val="00514127"/>
    <w:rsid w:val="005212DA"/>
    <w:rsid w:val="00574364"/>
    <w:rsid w:val="005801B6"/>
    <w:rsid w:val="005C44F0"/>
    <w:rsid w:val="0064462C"/>
    <w:rsid w:val="00653DBD"/>
    <w:rsid w:val="00672622"/>
    <w:rsid w:val="006726E9"/>
    <w:rsid w:val="006761B8"/>
    <w:rsid w:val="00677241"/>
    <w:rsid w:val="006924E3"/>
    <w:rsid w:val="006B4402"/>
    <w:rsid w:val="006D531A"/>
    <w:rsid w:val="0070350C"/>
    <w:rsid w:val="00713F4E"/>
    <w:rsid w:val="00742591"/>
    <w:rsid w:val="00744CE2"/>
    <w:rsid w:val="00784544"/>
    <w:rsid w:val="007932AF"/>
    <w:rsid w:val="00796F72"/>
    <w:rsid w:val="00797555"/>
    <w:rsid w:val="00807FBC"/>
    <w:rsid w:val="0081066F"/>
    <w:rsid w:val="00823977"/>
    <w:rsid w:val="00834294"/>
    <w:rsid w:val="0083437F"/>
    <w:rsid w:val="00865921"/>
    <w:rsid w:val="008A7DE1"/>
    <w:rsid w:val="008E3688"/>
    <w:rsid w:val="00962636"/>
    <w:rsid w:val="009867C1"/>
    <w:rsid w:val="009A20C9"/>
    <w:rsid w:val="00A01796"/>
    <w:rsid w:val="00A23DBF"/>
    <w:rsid w:val="00A451C0"/>
    <w:rsid w:val="00A84C8F"/>
    <w:rsid w:val="00B2777F"/>
    <w:rsid w:val="00B47A7C"/>
    <w:rsid w:val="00B71851"/>
    <w:rsid w:val="00B764F6"/>
    <w:rsid w:val="00B84B07"/>
    <w:rsid w:val="00BB4710"/>
    <w:rsid w:val="00BF2D4E"/>
    <w:rsid w:val="00C048F2"/>
    <w:rsid w:val="00C62288"/>
    <w:rsid w:val="00C8752E"/>
    <w:rsid w:val="00C95C16"/>
    <w:rsid w:val="00CA407E"/>
    <w:rsid w:val="00CD0FFC"/>
    <w:rsid w:val="00D15161"/>
    <w:rsid w:val="00D259F4"/>
    <w:rsid w:val="00D3575A"/>
    <w:rsid w:val="00D47BFC"/>
    <w:rsid w:val="00D65F7C"/>
    <w:rsid w:val="00DB5B5B"/>
    <w:rsid w:val="00DC4E21"/>
    <w:rsid w:val="00DC7CFF"/>
    <w:rsid w:val="00DD36A6"/>
    <w:rsid w:val="00DF42BA"/>
    <w:rsid w:val="00E03F80"/>
    <w:rsid w:val="00E072E1"/>
    <w:rsid w:val="00E229CE"/>
    <w:rsid w:val="00E25907"/>
    <w:rsid w:val="00E34852"/>
    <w:rsid w:val="00E370DB"/>
    <w:rsid w:val="00E72444"/>
    <w:rsid w:val="00ED165B"/>
    <w:rsid w:val="00EE0CEA"/>
    <w:rsid w:val="00EF1703"/>
    <w:rsid w:val="00F02316"/>
    <w:rsid w:val="00F22E00"/>
    <w:rsid w:val="00F43943"/>
    <w:rsid w:val="00F81887"/>
    <w:rsid w:val="00FB3F32"/>
    <w:rsid w:val="00FC5BA6"/>
    <w:rsid w:val="00FD0FA9"/>
    <w:rsid w:val="00FD3F81"/>
    <w:rsid w:val="00FF4055"/>
    <w:rsid w:val="00FF4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D1DD"/>
  <w15:chartTrackingRefBased/>
  <w15:docId w15:val="{6CB31562-2097-DB49-ADC8-A2352C25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4F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44F0"/>
    <w:rPr>
      <w:sz w:val="16"/>
      <w:szCs w:val="16"/>
    </w:rPr>
  </w:style>
  <w:style w:type="paragraph" w:styleId="CommentText">
    <w:name w:val="annotation text"/>
    <w:basedOn w:val="Normal"/>
    <w:link w:val="CommentTextChar"/>
    <w:uiPriority w:val="99"/>
    <w:unhideWhenUsed/>
    <w:rsid w:val="005C44F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C44F0"/>
    <w:rPr>
      <w:sz w:val="20"/>
      <w:szCs w:val="20"/>
    </w:rPr>
  </w:style>
  <w:style w:type="character" w:styleId="Hyperlink">
    <w:name w:val="Hyperlink"/>
    <w:basedOn w:val="DefaultParagraphFont"/>
    <w:uiPriority w:val="99"/>
    <w:semiHidden/>
    <w:unhideWhenUsed/>
    <w:rsid w:val="005C44F0"/>
    <w:rPr>
      <w:color w:val="0000FF"/>
      <w:u w:val="single"/>
    </w:rPr>
  </w:style>
  <w:style w:type="paragraph" w:styleId="BalloonText">
    <w:name w:val="Balloon Text"/>
    <w:basedOn w:val="Normal"/>
    <w:link w:val="BalloonTextChar"/>
    <w:uiPriority w:val="99"/>
    <w:semiHidden/>
    <w:unhideWhenUsed/>
    <w:rsid w:val="005C44F0"/>
    <w:rPr>
      <w:sz w:val="18"/>
      <w:szCs w:val="18"/>
    </w:rPr>
  </w:style>
  <w:style w:type="character" w:customStyle="1" w:styleId="BalloonTextChar">
    <w:name w:val="Balloon Text Char"/>
    <w:basedOn w:val="DefaultParagraphFont"/>
    <w:link w:val="BalloonText"/>
    <w:uiPriority w:val="99"/>
    <w:semiHidden/>
    <w:rsid w:val="005C44F0"/>
    <w:rPr>
      <w:rFonts w:ascii="Times New Roman" w:eastAsia="Times New Roman" w:hAnsi="Times New Roman" w:cs="Times New Roman"/>
      <w:sz w:val="18"/>
      <w:szCs w:val="18"/>
    </w:rPr>
  </w:style>
  <w:style w:type="character" w:styleId="LineNumber">
    <w:name w:val="line number"/>
    <w:basedOn w:val="DefaultParagraphFont"/>
    <w:uiPriority w:val="99"/>
    <w:semiHidden/>
    <w:unhideWhenUsed/>
    <w:rsid w:val="00C95C16"/>
  </w:style>
  <w:style w:type="paragraph" w:styleId="CommentSubject">
    <w:name w:val="annotation subject"/>
    <w:basedOn w:val="CommentText"/>
    <w:next w:val="CommentText"/>
    <w:link w:val="CommentSubjectChar"/>
    <w:uiPriority w:val="99"/>
    <w:semiHidden/>
    <w:unhideWhenUsed/>
    <w:rsid w:val="00A23DBF"/>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23DBF"/>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3D25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A15C8-2C68-244C-9AF7-D0A533BF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16473</Words>
  <Characters>93897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Dussex</dc:creator>
  <cp:keywords/>
  <dc:description/>
  <cp:lastModifiedBy>Nicolas Dussex</cp:lastModifiedBy>
  <cp:revision>14</cp:revision>
  <dcterms:created xsi:type="dcterms:W3CDTF">2019-07-01T13:11:00Z</dcterms:created>
  <dcterms:modified xsi:type="dcterms:W3CDTF">2019-08-07T11:37:00Z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5665a3fd-b1fb-3c87-8057-9006814be626</vt:lpwstr>
  </property>
  <property fmtid="{D5CDD505-2E9C-101B-9397-08002B2CF9AE}" pid="4" name="Mendeley Citation Style_1">
    <vt:lpwstr>http://www.zotero.org/styles/biology-letters</vt:lpwstr>
  </property>
  <property fmtid="{D5CDD505-2E9C-101B-9397-08002B2CF9AE}" pid="5" name="Mendeley Recent Style Id 0_1">
    <vt:lpwstr>http://www.zotero.org/styles/biology-letters</vt:lpwstr>
  </property>
  <property fmtid="{D5CDD505-2E9C-101B-9397-08002B2CF9AE}" pid="6" name="Mendeley Recent Style Name 0_1">
    <vt:lpwstr>Biology Letters</vt:lpwstr>
  </property>
  <property fmtid="{D5CDD505-2E9C-101B-9397-08002B2CF9AE}" pid="7" name="Mendeley Recent Style Id 1_1">
    <vt:lpwstr>http://www.zotero.org/styles/current-biology</vt:lpwstr>
  </property>
  <property fmtid="{D5CDD505-2E9C-101B-9397-08002B2CF9AE}" pid="8" name="Mendeley Recent Style Name 1_1">
    <vt:lpwstr>Current Biology</vt:lpwstr>
  </property>
  <property fmtid="{D5CDD505-2E9C-101B-9397-08002B2CF9AE}" pid="9" name="Mendeley Recent Style Id 2_1">
    <vt:lpwstr>http://www.zotero.org/styles/evolution</vt:lpwstr>
  </property>
  <property fmtid="{D5CDD505-2E9C-101B-9397-08002B2CF9AE}" pid="10" name="Mendeley Recent Style Name 2_1">
    <vt:lpwstr>Evolution</vt:lpwstr>
  </property>
  <property fmtid="{D5CDD505-2E9C-101B-9397-08002B2CF9AE}" pid="11" name="Mendeley Recent Style Id 3_1">
    <vt:lpwstr>http://www.zotero.org/styles/genomics</vt:lpwstr>
  </property>
  <property fmtid="{D5CDD505-2E9C-101B-9397-08002B2CF9AE}" pid="12" name="Mendeley Recent Style Name 3_1">
    <vt:lpwstr>Genomics</vt:lpwstr>
  </property>
  <property fmtid="{D5CDD505-2E9C-101B-9397-08002B2CF9AE}" pid="13" name="Mendeley Recent Style Id 4_1">
    <vt:lpwstr>http://www.zotero.org/styles/molecular-ecology</vt:lpwstr>
  </property>
  <property fmtid="{D5CDD505-2E9C-101B-9397-08002B2CF9AE}" pid="14" name="Mendeley Recent Style Name 4_1">
    <vt:lpwstr>Molecular Ecology</vt:lpwstr>
  </property>
  <property fmtid="{D5CDD505-2E9C-101B-9397-08002B2CF9AE}" pid="15" name="Mendeley Recent Style Id 5_1">
    <vt:lpwstr>http://csl.mendeley.com/styles/23072521/nature-short-VR</vt:lpwstr>
  </property>
  <property fmtid="{D5CDD505-2E9C-101B-9397-08002B2CF9AE}" pid="16" name="Mendeley Recent Style Name 5_1">
    <vt:lpwstr>Nature - Nicolas dussex - Nicolas Dussex</vt:lpwstr>
  </property>
  <property fmtid="{D5CDD505-2E9C-101B-9397-08002B2CF9AE}" pid="17" name="Mendeley Recent Style Id 6_1">
    <vt:lpwstr>http://csl.mendeley.com/styles/23072521/nature-short-forams</vt:lpwstr>
  </property>
  <property fmtid="{D5CDD505-2E9C-101B-9397-08002B2CF9AE}" pid="18" name="Mendeley Recent Style Name 6_1">
    <vt:lpwstr>Nature - Nicolas dussex - Nicolas Dussex</vt:lpwstr>
  </property>
  <property fmtid="{D5CDD505-2E9C-101B-9397-08002B2CF9AE}" pid="19" name="Mendeley Recent Style Id 7_1">
    <vt:lpwstr>http://www.zotero.org/styles/plos-biology</vt:lpwstr>
  </property>
  <property fmtid="{D5CDD505-2E9C-101B-9397-08002B2CF9AE}" pid="20" name="Mendeley Recent Style Name 7_1">
    <vt:lpwstr>PLOS Biology</vt:lpwstr>
  </property>
  <property fmtid="{D5CDD505-2E9C-101B-9397-08002B2CF9AE}" pid="21" name="Mendeley Recent Style Id 8_1">
    <vt:lpwstr>http://www.zotero.org/styles/plos-genetics</vt:lpwstr>
  </property>
  <property fmtid="{D5CDD505-2E9C-101B-9397-08002B2CF9AE}" pid="22" name="Mendeley Recent Style Name 8_1">
    <vt:lpwstr>PLOS Genetics</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