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A1" w:rsidRPr="003B541D" w:rsidRDefault="002534A1" w:rsidP="003B541D">
      <w:pPr>
        <w:rPr>
          <w:b/>
        </w:rPr>
      </w:pPr>
      <w:r w:rsidRPr="003B541D">
        <w:rPr>
          <w:b/>
        </w:rPr>
        <w:t xml:space="preserve">Land sparing to make space for species dependent on natural habitats and </w:t>
      </w:r>
      <w:r w:rsidR="00DC3BDA" w:rsidRPr="003B541D">
        <w:rPr>
          <w:b/>
        </w:rPr>
        <w:t>High Nature Value farmland</w:t>
      </w:r>
    </w:p>
    <w:p w:rsidR="002534A1" w:rsidRPr="00DC3BDA" w:rsidRDefault="002534A1" w:rsidP="00DC3BDA">
      <w:pPr>
        <w:rPr>
          <w:rFonts w:cs="Arial"/>
          <w:b/>
        </w:rPr>
      </w:pPr>
      <w:r w:rsidRPr="00DC3BDA">
        <w:rPr>
          <w:rFonts w:cs="Arial"/>
          <w:b/>
        </w:rPr>
        <w:t xml:space="preserve">Claire </w:t>
      </w:r>
      <w:proofErr w:type="spellStart"/>
      <w:r w:rsidRPr="00DC3BDA">
        <w:rPr>
          <w:rFonts w:cs="Arial"/>
          <w:b/>
        </w:rPr>
        <w:t>Feniuk</w:t>
      </w:r>
      <w:proofErr w:type="spellEnd"/>
      <w:r w:rsidRPr="00DC3BDA">
        <w:rPr>
          <w:rFonts w:cs="Arial"/>
          <w:b/>
        </w:rPr>
        <w:t xml:space="preserve">, Andrew </w:t>
      </w:r>
      <w:proofErr w:type="spellStart"/>
      <w:r w:rsidRPr="00DC3BDA">
        <w:rPr>
          <w:rFonts w:cs="Arial"/>
          <w:b/>
        </w:rPr>
        <w:t>Balmford</w:t>
      </w:r>
      <w:proofErr w:type="spellEnd"/>
      <w:r w:rsidRPr="00DC3BDA">
        <w:rPr>
          <w:rFonts w:cs="Arial"/>
          <w:b/>
        </w:rPr>
        <w:t xml:space="preserve"> and Rhys E. Green</w:t>
      </w:r>
    </w:p>
    <w:p w:rsidR="002534A1" w:rsidRPr="00DC3BDA" w:rsidRDefault="002534A1" w:rsidP="00DC3BDA">
      <w:pPr>
        <w:rPr>
          <w:rFonts w:cs="Arial"/>
          <w:b/>
        </w:rPr>
      </w:pPr>
    </w:p>
    <w:p w:rsidR="002534A1" w:rsidRPr="00DC3BDA" w:rsidRDefault="002534A1" w:rsidP="00DC3BDA">
      <w:pPr>
        <w:rPr>
          <w:rFonts w:cs="Arial"/>
          <w:b/>
        </w:rPr>
      </w:pPr>
      <w:r w:rsidRPr="00DC3BDA">
        <w:rPr>
          <w:rFonts w:cs="Arial"/>
          <w:b/>
        </w:rPr>
        <w:t>ELECTRONIC SUPPLEMENTARY</w:t>
      </w:r>
      <w:r w:rsidR="00FB4BCD">
        <w:rPr>
          <w:rFonts w:cs="Arial"/>
          <w:b/>
        </w:rPr>
        <w:t xml:space="preserve"> </w:t>
      </w:r>
      <w:r w:rsidR="003E7023" w:rsidRPr="00DC3BDA">
        <w:rPr>
          <w:rFonts w:cs="Arial"/>
          <w:b/>
        </w:rPr>
        <w:t>MATERIAL</w:t>
      </w:r>
    </w:p>
    <w:p w:rsidR="00600387" w:rsidRPr="00DC3BDA" w:rsidRDefault="00322CEB" w:rsidP="00DC3BDA">
      <w:pPr>
        <w:pStyle w:val="ListParagraph"/>
        <w:numPr>
          <w:ilvl w:val="0"/>
          <w:numId w:val="2"/>
        </w:numPr>
        <w:rPr>
          <w:rFonts w:cs="Arial"/>
          <w:b/>
        </w:rPr>
      </w:pPr>
      <w:r w:rsidRPr="00DC3BDA">
        <w:rPr>
          <w:rFonts w:cs="Arial"/>
          <w:b/>
        </w:rPr>
        <w:t xml:space="preserve">Study region </w:t>
      </w:r>
      <w:r w:rsidR="008A5802" w:rsidRPr="00DC3BDA">
        <w:rPr>
          <w:rFonts w:cs="Arial"/>
          <w:b/>
        </w:rPr>
        <w:t>and sites</w:t>
      </w:r>
    </w:p>
    <w:p w:rsidR="00EE2111" w:rsidRPr="00AF22A0" w:rsidRDefault="000B265C" w:rsidP="00C8013C">
      <w:pPr>
        <w:rPr>
          <w:rFonts w:cs="Arial"/>
          <w:color w:val="000000" w:themeColor="text1"/>
        </w:rPr>
      </w:pPr>
      <w:r w:rsidRPr="000B265C">
        <w:rPr>
          <w:rFonts w:cs="Arial"/>
          <w:color w:val="000000" w:themeColor="text1"/>
        </w:rPr>
        <w:t>The study region covered an area of c.14</w:t>
      </w:r>
      <w:proofErr w:type="gramStart"/>
      <w:r w:rsidRPr="000B265C">
        <w:rPr>
          <w:rFonts w:cs="Arial"/>
          <w:color w:val="000000" w:themeColor="text1"/>
        </w:rPr>
        <w:t>,000</w:t>
      </w:r>
      <w:proofErr w:type="gramEnd"/>
      <w:r w:rsidR="00F9160D">
        <w:rPr>
          <w:rFonts w:cs="Arial"/>
          <w:color w:val="000000" w:themeColor="text1"/>
        </w:rPr>
        <w:t xml:space="preserve"> </w:t>
      </w:r>
      <w:r w:rsidRPr="000B265C">
        <w:rPr>
          <w:rFonts w:cs="Arial"/>
          <w:color w:val="000000" w:themeColor="text1"/>
        </w:rPr>
        <w:t>km</w:t>
      </w:r>
      <w:r w:rsidRPr="000B265C">
        <w:rPr>
          <w:rFonts w:cs="Arial"/>
          <w:color w:val="000000" w:themeColor="text1"/>
          <w:vertAlign w:val="superscript"/>
        </w:rPr>
        <w:t>2</w:t>
      </w:r>
      <w:r w:rsidRPr="000B265C">
        <w:rPr>
          <w:rFonts w:cs="Arial"/>
          <w:color w:val="000000" w:themeColor="text1"/>
        </w:rPr>
        <w:t xml:space="preserve"> of the western edge of the </w:t>
      </w:r>
      <w:proofErr w:type="spellStart"/>
      <w:r w:rsidRPr="000B265C">
        <w:rPr>
          <w:rFonts w:cs="Arial"/>
          <w:color w:val="000000" w:themeColor="text1"/>
        </w:rPr>
        <w:t>Polesian</w:t>
      </w:r>
      <w:proofErr w:type="spellEnd"/>
      <w:r w:rsidRPr="000B265C">
        <w:rPr>
          <w:rFonts w:cs="Arial"/>
          <w:color w:val="000000" w:themeColor="text1"/>
        </w:rPr>
        <w:t xml:space="preserve"> lowlands in the </w:t>
      </w:r>
      <w:proofErr w:type="spellStart"/>
      <w:r w:rsidRPr="000B265C">
        <w:rPr>
          <w:rFonts w:cs="Arial"/>
          <w:color w:val="000000" w:themeColor="text1"/>
        </w:rPr>
        <w:t>Lubelskie</w:t>
      </w:r>
      <w:proofErr w:type="spellEnd"/>
      <w:r w:rsidRPr="000B265C">
        <w:rPr>
          <w:rFonts w:cs="Arial"/>
          <w:color w:val="000000" w:themeColor="text1"/>
        </w:rPr>
        <w:t xml:space="preserve"> region of eastern Poland (</w:t>
      </w:r>
      <w:r w:rsidR="00F36DA1">
        <w:rPr>
          <w:rFonts w:cs="Arial"/>
          <w:color w:val="000000" w:themeColor="text1"/>
        </w:rPr>
        <w:t>f</w:t>
      </w:r>
      <w:r w:rsidRPr="000B265C">
        <w:rPr>
          <w:rFonts w:cs="Arial"/>
          <w:color w:val="000000" w:themeColor="text1"/>
        </w:rPr>
        <w:t xml:space="preserve">igure S1). </w:t>
      </w:r>
      <w:r w:rsidR="00DA76D0">
        <w:rPr>
          <w:rFonts w:cs="Arial"/>
          <w:color w:val="000000" w:themeColor="text1"/>
        </w:rPr>
        <w:t xml:space="preserve"> </w:t>
      </w:r>
      <w:r w:rsidRPr="000B265C">
        <w:rPr>
          <w:rFonts w:cs="Arial"/>
          <w:color w:val="000000" w:themeColor="text1"/>
        </w:rPr>
        <w:t>Soils associated with wetlands (</w:t>
      </w:r>
      <w:proofErr w:type="spellStart"/>
      <w:r w:rsidRPr="000B265C">
        <w:rPr>
          <w:rFonts w:cs="Arial"/>
          <w:color w:val="000000" w:themeColor="text1"/>
        </w:rPr>
        <w:t>histosols</w:t>
      </w:r>
      <w:proofErr w:type="spellEnd"/>
      <w:r w:rsidRPr="000B265C">
        <w:rPr>
          <w:rFonts w:cs="Arial"/>
          <w:color w:val="000000" w:themeColor="text1"/>
        </w:rPr>
        <w:t xml:space="preserve">, </w:t>
      </w:r>
      <w:proofErr w:type="spellStart"/>
      <w:r w:rsidRPr="000B265C">
        <w:rPr>
          <w:rFonts w:cs="Arial"/>
          <w:color w:val="000000" w:themeColor="text1"/>
        </w:rPr>
        <w:t>fluvisols</w:t>
      </w:r>
      <w:proofErr w:type="spellEnd"/>
      <w:r w:rsidRPr="000B265C">
        <w:rPr>
          <w:rFonts w:cs="Arial"/>
          <w:color w:val="000000" w:themeColor="text1"/>
        </w:rPr>
        <w:t xml:space="preserve"> &amp; </w:t>
      </w:r>
      <w:proofErr w:type="spellStart"/>
      <w:r w:rsidRPr="000B265C">
        <w:rPr>
          <w:rFonts w:cs="Arial"/>
          <w:color w:val="000000" w:themeColor="text1"/>
        </w:rPr>
        <w:t>gleysols</w:t>
      </w:r>
      <w:proofErr w:type="spellEnd"/>
      <w:r w:rsidRPr="000B265C">
        <w:rPr>
          <w:rFonts w:cs="Arial"/>
          <w:color w:val="000000" w:themeColor="text1"/>
        </w:rPr>
        <w:t xml:space="preserve"> </w:t>
      </w:r>
      <w:r w:rsidR="00FB4BCD">
        <w:rPr>
          <w:rFonts w:cs="Arial"/>
        </w:rPr>
        <w:t>–</w:t>
      </w:r>
      <w:r w:rsidRPr="000B265C">
        <w:rPr>
          <w:rFonts w:cs="Arial"/>
          <w:color w:val="000000" w:themeColor="text1"/>
        </w:rPr>
        <w:t xml:space="preserve"> hereafter called ‘wetland soils’) cover 3,473</w:t>
      </w:r>
      <w:r w:rsidR="00F9160D">
        <w:rPr>
          <w:rFonts w:cs="Arial"/>
          <w:color w:val="000000" w:themeColor="text1"/>
        </w:rPr>
        <w:t xml:space="preserve"> </w:t>
      </w:r>
      <w:r w:rsidRPr="000B265C">
        <w:rPr>
          <w:rFonts w:cs="Arial"/>
          <w:color w:val="000000" w:themeColor="text1"/>
        </w:rPr>
        <w:t>km</w:t>
      </w:r>
      <w:r w:rsidRPr="000B265C">
        <w:rPr>
          <w:rFonts w:cs="Arial"/>
          <w:color w:val="000000" w:themeColor="text1"/>
          <w:vertAlign w:val="superscript"/>
        </w:rPr>
        <w:t>2</w:t>
      </w:r>
      <w:r w:rsidRPr="000B265C">
        <w:rPr>
          <w:rFonts w:cs="Arial"/>
          <w:color w:val="000000" w:themeColor="text1"/>
        </w:rPr>
        <w:t xml:space="preserve"> (25% of the study region), mostly in low-lying areas and river valleys, while soils likely to be found in areas formerly with forest cover (</w:t>
      </w:r>
      <w:proofErr w:type="spellStart"/>
      <w:r w:rsidRPr="000B265C">
        <w:rPr>
          <w:rFonts w:cs="Arial"/>
          <w:color w:val="000000" w:themeColor="text1"/>
        </w:rPr>
        <w:t>podzols</w:t>
      </w:r>
      <w:proofErr w:type="spellEnd"/>
      <w:r w:rsidRPr="000B265C">
        <w:rPr>
          <w:rFonts w:cs="Arial"/>
          <w:color w:val="000000" w:themeColor="text1"/>
        </w:rPr>
        <w:t xml:space="preserve">, </w:t>
      </w:r>
      <w:proofErr w:type="spellStart"/>
      <w:r w:rsidRPr="000B265C">
        <w:rPr>
          <w:rFonts w:cs="Arial"/>
          <w:color w:val="000000" w:themeColor="text1"/>
        </w:rPr>
        <w:t>cambisols</w:t>
      </w:r>
      <w:proofErr w:type="spellEnd"/>
      <w:r w:rsidRPr="000B265C">
        <w:rPr>
          <w:rFonts w:cs="Arial"/>
          <w:color w:val="000000" w:themeColor="text1"/>
        </w:rPr>
        <w:t xml:space="preserve">, </w:t>
      </w:r>
      <w:proofErr w:type="spellStart"/>
      <w:r w:rsidRPr="000B265C">
        <w:rPr>
          <w:rFonts w:cs="Arial"/>
          <w:color w:val="000000" w:themeColor="text1"/>
        </w:rPr>
        <w:t>arenosols</w:t>
      </w:r>
      <w:proofErr w:type="spellEnd"/>
      <w:r w:rsidRPr="000B265C">
        <w:rPr>
          <w:rFonts w:cs="Arial"/>
          <w:color w:val="000000" w:themeColor="text1"/>
        </w:rPr>
        <w:t xml:space="preserve">, </w:t>
      </w:r>
      <w:proofErr w:type="spellStart"/>
      <w:r w:rsidRPr="000B265C">
        <w:rPr>
          <w:rFonts w:cs="Arial"/>
          <w:color w:val="000000" w:themeColor="text1"/>
        </w:rPr>
        <w:t>luvisols</w:t>
      </w:r>
      <w:proofErr w:type="spellEnd"/>
      <w:r w:rsidRPr="000B265C">
        <w:rPr>
          <w:rFonts w:cs="Arial"/>
          <w:color w:val="000000" w:themeColor="text1"/>
        </w:rPr>
        <w:t xml:space="preserve"> and </w:t>
      </w:r>
      <w:proofErr w:type="spellStart"/>
      <w:r w:rsidRPr="000B265C">
        <w:rPr>
          <w:rFonts w:cs="Arial"/>
          <w:color w:val="000000" w:themeColor="text1"/>
        </w:rPr>
        <w:t>albeluvisols</w:t>
      </w:r>
      <w:proofErr w:type="spellEnd"/>
      <w:r w:rsidRPr="000B265C">
        <w:rPr>
          <w:rFonts w:cs="Arial"/>
          <w:color w:val="000000" w:themeColor="text1"/>
        </w:rPr>
        <w:t xml:space="preserve"> – hereafter called ‘forest soils’), cover 10,444</w:t>
      </w:r>
      <w:r w:rsidR="00F9160D">
        <w:rPr>
          <w:rFonts w:cs="Arial"/>
          <w:color w:val="000000" w:themeColor="text1"/>
        </w:rPr>
        <w:t xml:space="preserve"> </w:t>
      </w:r>
      <w:r w:rsidRPr="000B265C">
        <w:rPr>
          <w:rFonts w:cs="Arial"/>
          <w:color w:val="000000" w:themeColor="text1"/>
        </w:rPr>
        <w:t>km</w:t>
      </w:r>
      <w:r w:rsidRPr="000B265C">
        <w:rPr>
          <w:rFonts w:cs="Arial"/>
          <w:color w:val="000000" w:themeColor="text1"/>
          <w:vertAlign w:val="superscript"/>
        </w:rPr>
        <w:t>2</w:t>
      </w:r>
      <w:r w:rsidRPr="000B265C">
        <w:rPr>
          <w:rFonts w:cs="Arial"/>
          <w:color w:val="000000" w:themeColor="text1"/>
        </w:rPr>
        <w:t xml:space="preserve"> (75%) [1]</w:t>
      </w:r>
      <w:proofErr w:type="gramStart"/>
      <w:r w:rsidRPr="000B265C">
        <w:rPr>
          <w:rFonts w:cs="Arial"/>
          <w:color w:val="000000" w:themeColor="text1"/>
        </w:rPr>
        <w:t>.  Within</w:t>
      </w:r>
      <w:proofErr w:type="gramEnd"/>
      <w:r w:rsidRPr="000B265C">
        <w:rPr>
          <w:rFonts w:cs="Arial"/>
          <w:color w:val="000000" w:themeColor="text1"/>
        </w:rPr>
        <w:t xml:space="preserve"> the ‘cultivable area’ of the region (which excludes areas unsuitable for agriculture e.g. urban land), principal land uses include permanent arable land (54%), mosaics of mixed agriculture (16%), and grassland (13% including meadows, pastures and some natural floodplains). 16% of the region is classified as forest (natural and managed), and 2% as wetlands (marshes and </w:t>
      </w:r>
      <w:proofErr w:type="spellStart"/>
      <w:r w:rsidRPr="000B265C">
        <w:rPr>
          <w:rFonts w:cs="Arial"/>
          <w:color w:val="000000" w:themeColor="text1"/>
        </w:rPr>
        <w:t>peatbogs</w:t>
      </w:r>
      <w:proofErr w:type="spellEnd"/>
      <w:r w:rsidRPr="000B265C">
        <w:rPr>
          <w:rFonts w:cs="Arial"/>
          <w:color w:val="000000" w:themeColor="text1"/>
        </w:rPr>
        <w:t>) [2</w:t>
      </w:r>
      <w:r w:rsidR="002A2EBA">
        <w:rPr>
          <w:rFonts w:cs="Arial"/>
          <w:color w:val="000000" w:themeColor="text1"/>
        </w:rPr>
        <w:t>]</w:t>
      </w:r>
      <w:r w:rsidRPr="000B265C">
        <w:rPr>
          <w:rFonts w:cs="Arial"/>
          <w:color w:val="000000" w:themeColor="text1"/>
        </w:rPr>
        <w:t>.</w:t>
      </w:r>
    </w:p>
    <w:p w:rsidR="00EE2111" w:rsidRPr="00DC3BDA" w:rsidRDefault="000B265C" w:rsidP="00C8013C">
      <w:pPr>
        <w:rPr>
          <w:rFonts w:cs="Arial"/>
        </w:rPr>
      </w:pPr>
      <w:r w:rsidRPr="000B265C">
        <w:rPr>
          <w:rFonts w:cs="Arial"/>
          <w:color w:val="000000" w:themeColor="text1"/>
        </w:rPr>
        <w:t>Twenty-six 1</w:t>
      </w:r>
      <w:r w:rsidR="004F61EB">
        <w:rPr>
          <w:rFonts w:cs="Arial"/>
          <w:color w:val="000000" w:themeColor="text1"/>
        </w:rPr>
        <w:t xml:space="preserve"> </w:t>
      </w:r>
      <w:r w:rsidRPr="000B265C">
        <w:rPr>
          <w:rFonts w:cs="Arial"/>
          <w:color w:val="000000" w:themeColor="text1"/>
        </w:rPr>
        <w:t>km x 1</w:t>
      </w:r>
      <w:r w:rsidR="004F61EB">
        <w:rPr>
          <w:rFonts w:cs="Arial"/>
          <w:color w:val="000000" w:themeColor="text1"/>
        </w:rPr>
        <w:t xml:space="preserve"> </w:t>
      </w:r>
      <w:r w:rsidRPr="000B265C">
        <w:rPr>
          <w:rFonts w:cs="Arial"/>
          <w:color w:val="000000" w:themeColor="text1"/>
        </w:rPr>
        <w:t xml:space="preserve">km study sites were selected: 12 on forest soils and 14 on wetland soils (figure S1b). </w:t>
      </w:r>
      <w:r w:rsidR="00DA76D0">
        <w:rPr>
          <w:rFonts w:cs="Arial"/>
          <w:color w:val="000000" w:themeColor="text1"/>
        </w:rPr>
        <w:t xml:space="preserve"> </w:t>
      </w:r>
      <w:r w:rsidRPr="000B265C">
        <w:rPr>
          <w:rFonts w:cs="Arial"/>
          <w:color w:val="000000" w:themeColor="text1"/>
        </w:rPr>
        <w:t>Sites were selected to cover a gradient of agricultural use. Zero-yielding natural habitat sites, all of which were within protected areas, comprised mixed/deciduous forests on forest soils (n=4), and floodplains and fen mires on wetland soils (n=5).  Seventeen of the 26 study sites included farmed land.</w:t>
      </w:r>
      <w:r w:rsidR="00DA76D0">
        <w:rPr>
          <w:rFonts w:cs="Arial"/>
          <w:color w:val="000000" w:themeColor="text1"/>
        </w:rPr>
        <w:t xml:space="preserve"> </w:t>
      </w:r>
      <w:r w:rsidRPr="000B265C">
        <w:rPr>
          <w:rFonts w:cs="Arial"/>
          <w:color w:val="000000" w:themeColor="text1"/>
        </w:rPr>
        <w:t xml:space="preserve"> Farmed</w:t>
      </w:r>
      <w:r w:rsidR="00EE2111" w:rsidRPr="00DC3BDA">
        <w:rPr>
          <w:rFonts w:cs="Arial"/>
        </w:rPr>
        <w:t xml:space="preserve"> sites were chosen on both soil types to include a range from low-yielding through to high-</w:t>
      </w:r>
      <w:r w:rsidRPr="000B265C">
        <w:rPr>
          <w:rFonts w:cs="Arial"/>
          <w:color w:val="000000" w:themeColor="text1"/>
        </w:rPr>
        <w:t xml:space="preserve">yielding agricultural land (see </w:t>
      </w:r>
      <w:r w:rsidR="00F36DA1">
        <w:rPr>
          <w:rFonts w:cs="Arial"/>
          <w:color w:val="000000" w:themeColor="text1"/>
        </w:rPr>
        <w:t>t</w:t>
      </w:r>
      <w:r w:rsidRPr="000B265C">
        <w:rPr>
          <w:rFonts w:cs="Arial"/>
          <w:color w:val="000000" w:themeColor="text1"/>
        </w:rPr>
        <w:t>ables S1, S2).</w:t>
      </w:r>
      <w:r w:rsidR="00EE2111" w:rsidRPr="00DC3BDA">
        <w:rPr>
          <w:rFonts w:cs="Arial"/>
        </w:rPr>
        <w:t xml:space="preserve"> </w:t>
      </w:r>
      <w:r w:rsidR="00DA76D0">
        <w:rPr>
          <w:rFonts w:cs="Arial"/>
        </w:rPr>
        <w:t xml:space="preserve"> </w:t>
      </w:r>
      <w:r w:rsidR="00EE2111" w:rsidRPr="00DC3BDA">
        <w:rPr>
          <w:rFonts w:cs="Arial"/>
        </w:rPr>
        <w:t xml:space="preserve">Within soil types, sites were </w:t>
      </w:r>
      <w:r w:rsidR="009F3CF8" w:rsidRPr="00DC3BDA">
        <w:rPr>
          <w:rFonts w:cs="Arial"/>
        </w:rPr>
        <w:t xml:space="preserve">broadly </w:t>
      </w:r>
      <w:r w:rsidR="00EE2111" w:rsidRPr="00DC3BDA">
        <w:rPr>
          <w:rFonts w:cs="Arial"/>
        </w:rPr>
        <w:t xml:space="preserve">matched </w:t>
      </w:r>
      <w:r w:rsidR="009F3CF8" w:rsidRPr="00DC3BDA">
        <w:rPr>
          <w:rFonts w:cs="Arial"/>
        </w:rPr>
        <w:t>in terms of</w:t>
      </w:r>
      <w:r w:rsidR="00EE2111" w:rsidRPr="00DC3BDA">
        <w:rPr>
          <w:rFonts w:cs="Arial"/>
        </w:rPr>
        <w:t xml:space="preserve"> altitude, topography and climate.</w:t>
      </w:r>
    </w:p>
    <w:p w:rsidR="00E275A8" w:rsidRPr="00DC3BDA" w:rsidRDefault="00E275A8" w:rsidP="00DC3BDA">
      <w:pPr>
        <w:rPr>
          <w:rFonts w:cs="Arial"/>
        </w:rPr>
      </w:pPr>
      <w:r w:rsidRPr="00DC3BDA">
        <w:rPr>
          <w:rFonts w:cs="Arial"/>
        </w:rPr>
        <w:br w:type="page"/>
      </w:r>
    </w:p>
    <w:p w:rsidR="00EE2111" w:rsidRPr="00DC3BDA" w:rsidRDefault="00EE2111" w:rsidP="00DC3BDA">
      <w:pPr>
        <w:spacing w:after="0"/>
        <w:rPr>
          <w:rFonts w:cs="Arial"/>
        </w:rPr>
      </w:pPr>
    </w:p>
    <w:p w:rsidR="00322CEB" w:rsidRPr="00DC3BDA" w:rsidRDefault="00322CEB" w:rsidP="00DC3BDA">
      <w:pPr>
        <w:rPr>
          <w:rFonts w:cs="Arial"/>
        </w:rPr>
      </w:pPr>
      <w:r w:rsidRPr="00DC3BDA">
        <w:rPr>
          <w:rFonts w:cs="Arial"/>
          <w:noProof/>
          <w:lang w:eastAsia="en-GB"/>
        </w:rPr>
        <w:drawing>
          <wp:inline distT="0" distB="0" distL="0" distR="0">
            <wp:extent cx="5670297" cy="3710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5162" cy="3746357"/>
                    </a:xfrm>
                    <a:prstGeom prst="rect">
                      <a:avLst/>
                    </a:prstGeom>
                    <a:noFill/>
                  </pic:spPr>
                </pic:pic>
              </a:graphicData>
            </a:graphic>
          </wp:inline>
        </w:drawing>
      </w:r>
    </w:p>
    <w:p w:rsidR="00322CEB" w:rsidRPr="00DC3BDA" w:rsidRDefault="00322CEB" w:rsidP="00DC3BDA">
      <w:pPr>
        <w:rPr>
          <w:rFonts w:cs="Arial"/>
        </w:rPr>
      </w:pPr>
      <w:r w:rsidRPr="00DC3BDA">
        <w:rPr>
          <w:rFonts w:cs="Arial"/>
          <w:b/>
        </w:rPr>
        <w:t>Figure S1.</w:t>
      </w:r>
      <w:r w:rsidRPr="00DC3BDA">
        <w:rPr>
          <w:rFonts w:cs="Arial"/>
        </w:rPr>
        <w:t xml:space="preserve"> Map of the study area (dark grey), situated </w:t>
      </w:r>
      <w:r w:rsidR="00932026" w:rsidRPr="00DC3BDA">
        <w:rPr>
          <w:rFonts w:cs="Arial"/>
        </w:rPr>
        <w:t>with</w:t>
      </w:r>
      <w:r w:rsidRPr="00DC3BDA">
        <w:rPr>
          <w:rFonts w:cs="Arial"/>
        </w:rPr>
        <w:t xml:space="preserve">in the </w:t>
      </w:r>
      <w:proofErr w:type="spellStart"/>
      <w:r w:rsidRPr="00DC3BDA">
        <w:rPr>
          <w:rFonts w:cs="Arial"/>
        </w:rPr>
        <w:t>Lubelskie</w:t>
      </w:r>
      <w:proofErr w:type="spellEnd"/>
      <w:r w:rsidRPr="00DC3BDA">
        <w:rPr>
          <w:rFonts w:cs="Arial"/>
        </w:rPr>
        <w:t xml:space="preserve"> region of eastern Poland. </w:t>
      </w:r>
      <w:r w:rsidR="00DA76D0">
        <w:rPr>
          <w:rFonts w:cs="Arial"/>
        </w:rPr>
        <w:t xml:space="preserve"> </w:t>
      </w:r>
      <w:r w:rsidRPr="00DC3BDA">
        <w:rPr>
          <w:rFonts w:cs="Arial"/>
        </w:rPr>
        <w:t>Inset map shows the distribution of ‘forest soils’ (</w:t>
      </w:r>
      <w:proofErr w:type="spellStart"/>
      <w:r w:rsidRPr="00DC3BDA">
        <w:rPr>
          <w:rFonts w:cs="Arial"/>
        </w:rPr>
        <w:t>podzols</w:t>
      </w:r>
      <w:proofErr w:type="spellEnd"/>
      <w:r w:rsidRPr="00DC3BDA">
        <w:rPr>
          <w:rFonts w:cs="Arial"/>
        </w:rPr>
        <w:t xml:space="preserve">, </w:t>
      </w:r>
      <w:proofErr w:type="spellStart"/>
      <w:r w:rsidRPr="00DC3BDA">
        <w:rPr>
          <w:rFonts w:cs="Arial"/>
        </w:rPr>
        <w:t>cambisols</w:t>
      </w:r>
      <w:proofErr w:type="spellEnd"/>
      <w:r w:rsidRPr="00DC3BDA">
        <w:rPr>
          <w:rFonts w:cs="Arial"/>
        </w:rPr>
        <w:t xml:space="preserve">, </w:t>
      </w:r>
      <w:proofErr w:type="spellStart"/>
      <w:r w:rsidRPr="00DC3BDA">
        <w:rPr>
          <w:rFonts w:cs="Arial"/>
        </w:rPr>
        <w:t>arenosols</w:t>
      </w:r>
      <w:proofErr w:type="spellEnd"/>
      <w:r w:rsidRPr="00DC3BDA">
        <w:rPr>
          <w:rFonts w:cs="Arial"/>
        </w:rPr>
        <w:t xml:space="preserve">, </w:t>
      </w:r>
      <w:proofErr w:type="spellStart"/>
      <w:r w:rsidRPr="00DC3BDA">
        <w:rPr>
          <w:rFonts w:cs="Arial"/>
        </w:rPr>
        <w:t>luvisols</w:t>
      </w:r>
      <w:proofErr w:type="spellEnd"/>
      <w:r w:rsidRPr="00DC3BDA">
        <w:rPr>
          <w:rFonts w:cs="Arial"/>
        </w:rPr>
        <w:t xml:space="preserve"> and </w:t>
      </w:r>
      <w:proofErr w:type="spellStart"/>
      <w:r w:rsidRPr="00DC3BDA">
        <w:rPr>
          <w:rFonts w:cs="Arial"/>
        </w:rPr>
        <w:t>albeluvisols</w:t>
      </w:r>
      <w:proofErr w:type="spellEnd"/>
      <w:r w:rsidRPr="00DC3BDA">
        <w:rPr>
          <w:rFonts w:cs="Arial"/>
        </w:rPr>
        <w:t xml:space="preserve"> – shown in dark grey) and ‘wetland soils’ (</w:t>
      </w:r>
      <w:proofErr w:type="spellStart"/>
      <w:r w:rsidRPr="00DC3BDA">
        <w:rPr>
          <w:rFonts w:cs="Arial"/>
        </w:rPr>
        <w:t>histosols</w:t>
      </w:r>
      <w:proofErr w:type="spellEnd"/>
      <w:r w:rsidRPr="00DC3BDA">
        <w:rPr>
          <w:rFonts w:cs="Arial"/>
        </w:rPr>
        <w:t xml:space="preserve">, </w:t>
      </w:r>
      <w:proofErr w:type="spellStart"/>
      <w:r w:rsidRPr="00DC3BDA">
        <w:rPr>
          <w:rFonts w:cs="Arial"/>
        </w:rPr>
        <w:t>fluvisols</w:t>
      </w:r>
      <w:proofErr w:type="spellEnd"/>
      <w:r w:rsidRPr="00DC3BDA">
        <w:rPr>
          <w:rFonts w:cs="Arial"/>
        </w:rPr>
        <w:t xml:space="preserve"> and </w:t>
      </w:r>
      <w:proofErr w:type="spellStart"/>
      <w:r w:rsidRPr="00DC3BDA">
        <w:rPr>
          <w:rFonts w:cs="Arial"/>
        </w:rPr>
        <w:t>gleysols</w:t>
      </w:r>
      <w:proofErr w:type="spellEnd"/>
      <w:r w:rsidRPr="00DC3BDA">
        <w:rPr>
          <w:rFonts w:cs="Arial"/>
        </w:rPr>
        <w:t xml:space="preserve"> – light grey) within the study area.</w:t>
      </w:r>
      <w:r w:rsidR="00DA76D0">
        <w:rPr>
          <w:rFonts w:cs="Arial"/>
        </w:rPr>
        <w:t xml:space="preserve"> </w:t>
      </w:r>
      <w:r w:rsidRPr="00DC3BDA">
        <w:rPr>
          <w:rFonts w:cs="Arial"/>
        </w:rPr>
        <w:t xml:space="preserve"> Study sites on forest and wetland soils are shown by squares and circles respectively.</w:t>
      </w:r>
      <w:r w:rsidR="00DA76D0">
        <w:rPr>
          <w:rFonts w:cs="Arial"/>
        </w:rPr>
        <w:t xml:space="preserve"> </w:t>
      </w:r>
      <w:r w:rsidRPr="00DC3BDA">
        <w:rPr>
          <w:rFonts w:cs="Arial"/>
        </w:rPr>
        <w:t xml:space="preserve"> Filled symbols indicate zero-yielding </w:t>
      </w:r>
      <w:r w:rsidR="009F3CF8" w:rsidRPr="00DC3BDA">
        <w:rPr>
          <w:rFonts w:cs="Arial"/>
        </w:rPr>
        <w:t>natural habitat</w:t>
      </w:r>
      <w:r w:rsidRPr="00DC3BDA">
        <w:rPr>
          <w:rFonts w:cs="Arial"/>
        </w:rPr>
        <w:t xml:space="preserve"> sites, and un-filled symbols indicate farmed sites covering a gradient of agricultural yields.</w:t>
      </w:r>
    </w:p>
    <w:p w:rsidR="00F60513" w:rsidRPr="00DC3BDA" w:rsidRDefault="00F60513" w:rsidP="00DC3BDA">
      <w:pPr>
        <w:rPr>
          <w:rFonts w:cs="Arial"/>
          <w:b/>
        </w:rPr>
      </w:pPr>
      <w:r w:rsidRPr="00DC3BDA">
        <w:rPr>
          <w:rFonts w:cs="Arial"/>
          <w:b/>
        </w:rPr>
        <w:br w:type="page"/>
      </w:r>
    </w:p>
    <w:p w:rsidR="00322CEB" w:rsidRPr="00DC3BDA" w:rsidRDefault="0097568C" w:rsidP="00DC3BDA">
      <w:pPr>
        <w:rPr>
          <w:rFonts w:cs="Arial"/>
        </w:rPr>
      </w:pPr>
      <w:r w:rsidRPr="00DC3BDA">
        <w:rPr>
          <w:rFonts w:cs="Arial"/>
          <w:b/>
        </w:rPr>
        <w:lastRenderedPageBreak/>
        <w:t>Table S</w:t>
      </w:r>
      <w:r w:rsidR="00322CEB" w:rsidRPr="00DC3BDA">
        <w:rPr>
          <w:rFonts w:cs="Arial"/>
          <w:b/>
        </w:rPr>
        <w:t>1.</w:t>
      </w:r>
      <w:r w:rsidR="00322CEB" w:rsidRPr="00DC3BDA">
        <w:rPr>
          <w:rFonts w:cs="Arial"/>
        </w:rPr>
        <w:t xml:space="preserve"> Overview of main habitat types surveyed. </w:t>
      </w:r>
      <w:r w:rsidR="00DA76D0">
        <w:rPr>
          <w:rFonts w:cs="Arial"/>
        </w:rPr>
        <w:t xml:space="preserve"> </w:t>
      </w:r>
      <w:r w:rsidR="00322CEB" w:rsidRPr="00DC3BDA">
        <w:rPr>
          <w:rFonts w:cs="Arial"/>
        </w:rPr>
        <w:t>Land cover statistics used for site selection were based on the CORINE land cover data</w:t>
      </w:r>
      <w:r w:rsidR="00F60513" w:rsidRPr="00DC3BDA">
        <w:rPr>
          <w:rFonts w:cs="Arial"/>
        </w:rPr>
        <w:t xml:space="preserve"> [2].</w:t>
      </w:r>
    </w:p>
    <w:tbl>
      <w:tblPr>
        <w:tblW w:w="8902" w:type="dxa"/>
        <w:tblInd w:w="108" w:type="dxa"/>
        <w:tblLayout w:type="fixed"/>
        <w:tblLook w:val="00A0"/>
      </w:tblPr>
      <w:tblGrid>
        <w:gridCol w:w="1418"/>
        <w:gridCol w:w="1305"/>
        <w:gridCol w:w="6179"/>
      </w:tblGrid>
      <w:tr w:rsidR="00322CEB" w:rsidRPr="00DC3BDA" w:rsidTr="00C8013C">
        <w:trPr>
          <w:trHeight w:val="483"/>
        </w:trPr>
        <w:tc>
          <w:tcPr>
            <w:tcW w:w="1418"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Land-use type</w:t>
            </w:r>
          </w:p>
        </w:tc>
        <w:tc>
          <w:tcPr>
            <w:tcW w:w="1305"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No. of sites/</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soil types</w:t>
            </w:r>
          </w:p>
        </w:tc>
        <w:tc>
          <w:tcPr>
            <w:tcW w:w="6179"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 xml:space="preserve">Description </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(with CORINE land cover statistics where applicable)</w:t>
            </w:r>
          </w:p>
        </w:tc>
      </w:tr>
      <w:tr w:rsidR="00322CEB" w:rsidRPr="00DC3BDA" w:rsidTr="00C8013C">
        <w:trPr>
          <w:trHeight w:val="1044"/>
        </w:trPr>
        <w:tc>
          <w:tcPr>
            <w:tcW w:w="1418"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Mixed/ deciduous forests</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w:t>
            </w:r>
            <w:r w:rsidR="009F3CF8" w:rsidRPr="00DC3BDA">
              <w:rPr>
                <w:rFonts w:ascii="Palatino Linotype" w:hAnsi="Palatino Linotype" w:cs="Arial"/>
                <w:sz w:val="22"/>
                <w:szCs w:val="22"/>
              </w:rPr>
              <w:t>natural habitat</w:t>
            </w:r>
            <w:r w:rsidRPr="00DC3BDA">
              <w:rPr>
                <w:rFonts w:ascii="Palatino Linotype" w:hAnsi="Palatino Linotype" w:cs="Arial"/>
                <w:sz w:val="22"/>
                <w:szCs w:val="22"/>
              </w:rPr>
              <w:t>)</w:t>
            </w:r>
          </w:p>
        </w:tc>
        <w:tc>
          <w:tcPr>
            <w:tcW w:w="1305"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4</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Forest</w:t>
            </w:r>
          </w:p>
          <w:p w:rsidR="00322CEB" w:rsidRPr="00DC3BDA" w:rsidRDefault="008A5802" w:rsidP="00DC3BDA">
            <w:pPr>
              <w:pStyle w:val="Table"/>
              <w:rPr>
                <w:rFonts w:ascii="Palatino Linotype" w:hAnsi="Palatino Linotype" w:cs="Arial"/>
                <w:sz w:val="22"/>
                <w:szCs w:val="22"/>
              </w:rPr>
            </w:pPr>
            <w:r w:rsidRPr="00DC3BDA">
              <w:rPr>
                <w:rFonts w:ascii="Palatino Linotype" w:hAnsi="Palatino Linotype" w:cs="Arial"/>
                <w:sz w:val="22"/>
                <w:szCs w:val="22"/>
              </w:rPr>
              <w:t>O</w:t>
            </w:r>
            <w:r w:rsidR="00322CEB" w:rsidRPr="00DC3BDA">
              <w:rPr>
                <w:rFonts w:ascii="Palatino Linotype" w:hAnsi="Palatino Linotype" w:cs="Arial"/>
                <w:sz w:val="22"/>
                <w:szCs w:val="22"/>
              </w:rPr>
              <w:t>nly</w:t>
            </w:r>
          </w:p>
        </w:tc>
        <w:tc>
          <w:tcPr>
            <w:tcW w:w="6179"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Mixed</w:t>
            </w:r>
            <w:r w:rsidR="00446609">
              <w:rPr>
                <w:rFonts w:ascii="Palatino Linotype" w:hAnsi="Palatino Linotype" w:cs="Arial"/>
                <w:sz w:val="22"/>
                <w:szCs w:val="22"/>
              </w:rPr>
              <w:t>/</w:t>
            </w:r>
            <w:r w:rsidRPr="00DC3BDA">
              <w:rPr>
                <w:rFonts w:ascii="Palatino Linotype" w:hAnsi="Palatino Linotype" w:cs="Arial"/>
                <w:sz w:val="22"/>
                <w:szCs w:val="22"/>
              </w:rPr>
              <w:t>deciduous forests are largely restricted to Nature Reserves. Site selection focussed on old-growth reserves larger than 1</w:t>
            </w:r>
            <w:r w:rsidR="004F61EB">
              <w:rPr>
                <w:rFonts w:ascii="Palatino Linotype" w:hAnsi="Palatino Linotype" w:cs="Arial"/>
                <w:sz w:val="22"/>
                <w:szCs w:val="22"/>
              </w:rPr>
              <w:t xml:space="preserve"> </w:t>
            </w:r>
            <w:r w:rsidRPr="00DC3BDA">
              <w:rPr>
                <w:rFonts w:ascii="Palatino Linotype" w:hAnsi="Palatino Linotype" w:cs="Arial"/>
                <w:sz w:val="22"/>
                <w:szCs w:val="22"/>
              </w:rPr>
              <w:t>km</w:t>
            </w:r>
            <w:r w:rsidRPr="00DC3BDA">
              <w:rPr>
                <w:rFonts w:ascii="Palatino Linotype" w:hAnsi="Palatino Linotype" w:cs="Arial"/>
                <w:sz w:val="22"/>
                <w:szCs w:val="22"/>
                <w:vertAlign w:val="superscript"/>
              </w:rPr>
              <w:t>2</w:t>
            </w:r>
            <w:r w:rsidRPr="00DC3BDA">
              <w:rPr>
                <w:rFonts w:ascii="Palatino Linotype" w:hAnsi="Palatino Linotype" w:cs="Arial"/>
                <w:sz w:val="22"/>
                <w:szCs w:val="22"/>
              </w:rPr>
              <w:t xml:space="preserve"> located within a larger forest complex (often lower quality plantation forest). Study sites were placed centrally within the reserve to maximise the distance to nearest adjacent land use, and sites where this distance was &lt;100</w:t>
            </w:r>
            <w:r w:rsidR="004F61EB">
              <w:rPr>
                <w:rFonts w:ascii="Palatino Linotype" w:hAnsi="Palatino Linotype" w:cs="Arial"/>
                <w:sz w:val="22"/>
                <w:szCs w:val="22"/>
              </w:rPr>
              <w:t xml:space="preserve"> </w:t>
            </w:r>
            <w:r w:rsidRPr="00DC3BDA">
              <w:rPr>
                <w:rFonts w:ascii="Palatino Linotype" w:hAnsi="Palatino Linotype" w:cs="Arial"/>
                <w:sz w:val="22"/>
                <w:szCs w:val="22"/>
              </w:rPr>
              <w:t>m were rejected (typically this buffer was much larger).</w:t>
            </w:r>
          </w:p>
        </w:tc>
      </w:tr>
      <w:tr w:rsidR="00322CEB" w:rsidRPr="00DC3BDA" w:rsidTr="00C8013C">
        <w:trPr>
          <w:trHeight w:val="842"/>
        </w:trPr>
        <w:tc>
          <w:tcPr>
            <w:tcW w:w="1418"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Fen mires</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w:t>
            </w:r>
            <w:r w:rsidR="009F3CF8" w:rsidRPr="00DC3BDA">
              <w:rPr>
                <w:rFonts w:ascii="Palatino Linotype" w:hAnsi="Palatino Linotype" w:cs="Arial"/>
                <w:sz w:val="22"/>
                <w:szCs w:val="22"/>
              </w:rPr>
              <w:t>natural habitat</w:t>
            </w:r>
            <w:r w:rsidRPr="00DC3BDA">
              <w:rPr>
                <w:rFonts w:ascii="Palatino Linotype" w:hAnsi="Palatino Linotype" w:cs="Arial"/>
                <w:sz w:val="22"/>
                <w:szCs w:val="22"/>
              </w:rPr>
              <w:t>)</w:t>
            </w:r>
          </w:p>
        </w:tc>
        <w:tc>
          <w:tcPr>
            <w:tcW w:w="1305"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3</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Wetland only</w:t>
            </w:r>
          </w:p>
        </w:tc>
        <w:tc>
          <w:tcPr>
            <w:tcW w:w="6179" w:type="dxa"/>
            <w:tcBorders>
              <w:top w:val="single" w:sz="4" w:space="0" w:color="auto"/>
              <w:bottom w:val="single" w:sz="4" w:space="0" w:color="auto"/>
            </w:tcBorders>
            <w:shd w:val="clear" w:color="auto" w:fill="auto"/>
            <w:vAlign w:val="center"/>
          </w:tcPr>
          <w:p w:rsidR="00322CEB" w:rsidRPr="00DC3BDA" w:rsidRDefault="00322CEB" w:rsidP="00446609">
            <w:pPr>
              <w:pStyle w:val="Table"/>
              <w:rPr>
                <w:rFonts w:ascii="Palatino Linotype" w:hAnsi="Palatino Linotype" w:cs="Arial"/>
                <w:sz w:val="22"/>
                <w:szCs w:val="22"/>
              </w:rPr>
            </w:pPr>
            <w:r w:rsidRPr="00DC3BDA">
              <w:rPr>
                <w:rFonts w:ascii="Palatino Linotype" w:hAnsi="Palatino Linotype" w:cs="Arial"/>
                <w:sz w:val="22"/>
                <w:szCs w:val="22"/>
              </w:rPr>
              <w:t xml:space="preserve">Site selection focussed on protected wetlands </w:t>
            </w:r>
            <w:r w:rsidR="0096680B" w:rsidRPr="00DC3BDA">
              <w:rPr>
                <w:rFonts w:ascii="Palatino Linotype" w:hAnsi="Palatino Linotype" w:cs="Arial"/>
                <w:sz w:val="22"/>
                <w:szCs w:val="22"/>
              </w:rPr>
              <w:t xml:space="preserve">within National Parks, </w:t>
            </w:r>
            <w:r w:rsidRPr="00DC3BDA">
              <w:rPr>
                <w:rFonts w:ascii="Palatino Linotype" w:hAnsi="Palatino Linotype" w:cs="Arial"/>
                <w:sz w:val="22"/>
                <w:szCs w:val="22"/>
              </w:rPr>
              <w:t>comprising of complexes of fens, transition mires and springs. Within these areas, sites were placed centrally within the areas of intact natural fen mire habitats in order to maximise buffer distances. These fen mires also contain natural hummocks of drier grassland and scrub, and small patches of birch/alder woodland.</w:t>
            </w:r>
          </w:p>
        </w:tc>
      </w:tr>
      <w:tr w:rsidR="00322CEB" w:rsidRPr="00DC3BDA" w:rsidTr="00C8013C">
        <w:trPr>
          <w:trHeight w:val="1042"/>
        </w:trPr>
        <w:tc>
          <w:tcPr>
            <w:tcW w:w="1418"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Floodplains</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w:t>
            </w:r>
            <w:r w:rsidR="009F3CF8" w:rsidRPr="00DC3BDA">
              <w:rPr>
                <w:rFonts w:ascii="Palatino Linotype" w:hAnsi="Palatino Linotype" w:cs="Arial"/>
                <w:sz w:val="22"/>
                <w:szCs w:val="22"/>
              </w:rPr>
              <w:t>natural habitat</w:t>
            </w:r>
            <w:r w:rsidRPr="00DC3BDA">
              <w:rPr>
                <w:rFonts w:ascii="Palatino Linotype" w:hAnsi="Palatino Linotype" w:cs="Arial"/>
                <w:sz w:val="22"/>
                <w:szCs w:val="22"/>
              </w:rPr>
              <w:t>)</w:t>
            </w:r>
          </w:p>
        </w:tc>
        <w:tc>
          <w:tcPr>
            <w:tcW w:w="1305"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2</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Wetland only</w:t>
            </w:r>
          </w:p>
        </w:tc>
        <w:tc>
          <w:tcPr>
            <w:tcW w:w="6179"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 xml:space="preserve">Sites were located within two of the region’s major river valleys: the middle course of the Bug River, and the lower course of the </w:t>
            </w:r>
            <w:proofErr w:type="spellStart"/>
            <w:r w:rsidRPr="00DC3BDA">
              <w:rPr>
                <w:rFonts w:ascii="Palatino Linotype" w:hAnsi="Palatino Linotype" w:cs="Arial"/>
                <w:sz w:val="22"/>
                <w:szCs w:val="22"/>
              </w:rPr>
              <w:t>Wierpz</w:t>
            </w:r>
            <w:proofErr w:type="spellEnd"/>
            <w:r w:rsidRPr="00DC3BDA">
              <w:rPr>
                <w:rFonts w:ascii="Palatino Linotype" w:hAnsi="Palatino Linotype" w:cs="Arial"/>
                <w:sz w:val="22"/>
                <w:szCs w:val="22"/>
              </w:rPr>
              <w:t xml:space="preserve"> River. Although a large proportion of both valleys are now farmed, study sites were placed within restricted areas of natural humid grassland and sedge meadows that are not managed for agriculture. Sites were placed centrally in the largest possible area of contiguous natural habitat in each valley.</w:t>
            </w:r>
          </w:p>
        </w:tc>
      </w:tr>
      <w:tr w:rsidR="00322CEB" w:rsidRPr="00DC3BDA" w:rsidTr="00C8013C">
        <w:trPr>
          <w:trHeight w:val="958"/>
        </w:trPr>
        <w:tc>
          <w:tcPr>
            <w:tcW w:w="1418"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Hay meadows</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&amp; pastures</w:t>
            </w:r>
          </w:p>
        </w:tc>
        <w:tc>
          <w:tcPr>
            <w:tcW w:w="1305"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4</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Wetland only</w:t>
            </w:r>
          </w:p>
        </w:tc>
        <w:tc>
          <w:tcPr>
            <w:tcW w:w="6179"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Sites comprised of large areas of grass meadows with clear indicators of agricultural management (annual mowing</w:t>
            </w:r>
            <w:r w:rsidR="0096680B" w:rsidRPr="00DC3BDA">
              <w:rPr>
                <w:rFonts w:ascii="Palatino Linotype" w:hAnsi="Palatino Linotype" w:cs="Arial"/>
                <w:sz w:val="22"/>
                <w:szCs w:val="22"/>
              </w:rPr>
              <w:t>, maintained drainage channels</w:t>
            </w:r>
            <w:r w:rsidRPr="00DC3BDA">
              <w:rPr>
                <w:rFonts w:ascii="Palatino Linotype" w:hAnsi="Palatino Linotype" w:cs="Arial"/>
                <w:sz w:val="22"/>
                <w:szCs w:val="22"/>
              </w:rPr>
              <w:t>). Such large contiguous areas of hay meadows were largely restricted to wetland soils.</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Land use statistics of sites (CORINE):</w:t>
            </w:r>
          </w:p>
          <w:p w:rsidR="0096680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 xml:space="preserve">     Pastures &gt;95%</w:t>
            </w:r>
          </w:p>
        </w:tc>
      </w:tr>
      <w:tr w:rsidR="00322CEB" w:rsidRPr="00DC3BDA" w:rsidTr="00C8013C">
        <w:trPr>
          <w:trHeight w:val="971"/>
        </w:trPr>
        <w:tc>
          <w:tcPr>
            <w:tcW w:w="1418"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Mixed farm</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mosaics</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(low/mid-yield)</w:t>
            </w:r>
          </w:p>
        </w:tc>
        <w:tc>
          <w:tcPr>
            <w:tcW w:w="1305"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8</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Forest: 6</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Wetland: 2</w:t>
            </w:r>
          </w:p>
        </w:tc>
        <w:tc>
          <w:tcPr>
            <w:tcW w:w="6179"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Sites comprised of mosaics of mixed farmland (arable, meadow, pasture) plus areas of non-crop habitat, including small patches of woodland/</w:t>
            </w:r>
            <w:r w:rsidR="0096680B" w:rsidRPr="00DC3BDA">
              <w:rPr>
                <w:rFonts w:ascii="Palatino Linotype" w:hAnsi="Palatino Linotype" w:cs="Arial"/>
                <w:sz w:val="22"/>
                <w:szCs w:val="22"/>
              </w:rPr>
              <w:t>scrub and wet features (streams, ponds)</w:t>
            </w:r>
            <w:r w:rsidRPr="00DC3BDA">
              <w:rPr>
                <w:rFonts w:ascii="Palatino Linotype" w:hAnsi="Palatino Linotype" w:cs="Arial"/>
                <w:sz w:val="22"/>
                <w:szCs w:val="22"/>
              </w:rPr>
              <w:t xml:space="preserve">. </w:t>
            </w:r>
          </w:p>
          <w:p w:rsidR="0096680B" w:rsidRPr="00DC3BDA" w:rsidRDefault="008F5A31" w:rsidP="00DC3BDA">
            <w:pPr>
              <w:pStyle w:val="Table"/>
              <w:rPr>
                <w:rFonts w:ascii="Palatino Linotype" w:hAnsi="Palatino Linotype" w:cs="Arial"/>
                <w:sz w:val="22"/>
                <w:szCs w:val="22"/>
              </w:rPr>
            </w:pPr>
            <w:r w:rsidRPr="00DC3BDA">
              <w:rPr>
                <w:rFonts w:ascii="Palatino Linotype" w:hAnsi="Palatino Linotype" w:cs="Arial"/>
                <w:sz w:val="22"/>
                <w:szCs w:val="22"/>
              </w:rPr>
              <w:t>Major crop plants included oats, rye, triticale and potatoes.</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Land use statistics of sites (CORINE):</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 xml:space="preserve">     Heterogeneous agriculture + pastures &gt;50%</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 xml:space="preserve">     Total agricultural area &gt;95%</w:t>
            </w:r>
          </w:p>
        </w:tc>
      </w:tr>
      <w:tr w:rsidR="00322CEB" w:rsidRPr="00DC3BDA" w:rsidTr="00C8013C">
        <w:trPr>
          <w:trHeight w:val="579"/>
        </w:trPr>
        <w:tc>
          <w:tcPr>
            <w:tcW w:w="1418"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Arable</w:t>
            </w:r>
          </w:p>
          <w:p w:rsidR="00322CEB" w:rsidRPr="00DC3BDA" w:rsidRDefault="005D619D" w:rsidP="00DC3BDA">
            <w:pPr>
              <w:pStyle w:val="Table"/>
              <w:rPr>
                <w:rFonts w:ascii="Palatino Linotype" w:hAnsi="Palatino Linotype" w:cs="Arial"/>
                <w:sz w:val="22"/>
                <w:szCs w:val="22"/>
              </w:rPr>
            </w:pPr>
            <w:r w:rsidRPr="00DC3BDA">
              <w:rPr>
                <w:rFonts w:ascii="Palatino Linotype" w:hAnsi="Palatino Linotype" w:cs="Arial"/>
                <w:sz w:val="22"/>
                <w:szCs w:val="22"/>
              </w:rPr>
              <w:t>F</w:t>
            </w:r>
            <w:r w:rsidR="00322CEB" w:rsidRPr="00DC3BDA">
              <w:rPr>
                <w:rFonts w:ascii="Palatino Linotype" w:hAnsi="Palatino Linotype" w:cs="Arial"/>
                <w:sz w:val="22"/>
                <w:szCs w:val="22"/>
              </w:rPr>
              <w:t>armland</w:t>
            </w:r>
          </w:p>
        </w:tc>
        <w:tc>
          <w:tcPr>
            <w:tcW w:w="1305"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5</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Forest: 2</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Wetland: 3</w:t>
            </w:r>
          </w:p>
        </w:tc>
        <w:tc>
          <w:tcPr>
            <w:tcW w:w="6179" w:type="dxa"/>
            <w:tcBorders>
              <w:top w:val="single" w:sz="4" w:space="0" w:color="auto"/>
              <w:bottom w:val="single" w:sz="4" w:space="0" w:color="auto"/>
            </w:tcBorders>
            <w:shd w:val="clear" w:color="auto" w:fill="auto"/>
            <w:vAlign w:val="center"/>
          </w:tcPr>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 xml:space="preserve">Sites primarily comprised of arable land with no significant areas of non-crop habitat. </w:t>
            </w:r>
          </w:p>
          <w:p w:rsidR="008F5A31" w:rsidRPr="00DC3BDA" w:rsidRDefault="008F5A31" w:rsidP="00DC3BDA">
            <w:pPr>
              <w:pStyle w:val="Table"/>
              <w:rPr>
                <w:rFonts w:ascii="Palatino Linotype" w:hAnsi="Palatino Linotype" w:cs="Arial"/>
                <w:sz w:val="22"/>
                <w:szCs w:val="22"/>
              </w:rPr>
            </w:pPr>
            <w:r w:rsidRPr="00DC3BDA">
              <w:rPr>
                <w:rFonts w:ascii="Palatino Linotype" w:hAnsi="Palatino Linotype" w:cs="Arial"/>
                <w:sz w:val="22"/>
                <w:szCs w:val="22"/>
              </w:rPr>
              <w:t>Major crops include wheat, barley, oilseed rape and maize.</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Land use statistics of sites (CORINE):</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 xml:space="preserve">     Non-irrigated arable land &gt;75%</w:t>
            </w:r>
          </w:p>
          <w:p w:rsidR="00322CEB" w:rsidRPr="00DC3BDA" w:rsidRDefault="00322CEB" w:rsidP="00DC3BDA">
            <w:pPr>
              <w:pStyle w:val="Table"/>
              <w:rPr>
                <w:rFonts w:ascii="Palatino Linotype" w:hAnsi="Palatino Linotype" w:cs="Arial"/>
                <w:sz w:val="22"/>
                <w:szCs w:val="22"/>
              </w:rPr>
            </w:pPr>
            <w:r w:rsidRPr="00DC3BDA">
              <w:rPr>
                <w:rFonts w:ascii="Palatino Linotype" w:hAnsi="Palatino Linotype" w:cs="Arial"/>
                <w:sz w:val="22"/>
                <w:szCs w:val="22"/>
              </w:rPr>
              <w:t xml:space="preserve">     Total agricultural area &gt;95%</w:t>
            </w:r>
          </w:p>
        </w:tc>
      </w:tr>
    </w:tbl>
    <w:p w:rsidR="008F5A31" w:rsidRPr="00DC3BDA" w:rsidRDefault="008F5A31" w:rsidP="00DC3BDA">
      <w:pPr>
        <w:rPr>
          <w:rFonts w:cs="Arial"/>
        </w:rPr>
      </w:pPr>
      <w:r w:rsidRPr="00DC3BDA">
        <w:rPr>
          <w:rFonts w:cs="Arial"/>
          <w:b/>
        </w:rPr>
        <w:lastRenderedPageBreak/>
        <w:t>Table S2</w:t>
      </w:r>
      <w:r w:rsidRPr="00DC3BDA">
        <w:rPr>
          <w:rFonts w:cs="Arial"/>
        </w:rPr>
        <w:t>. Summary of variation in yields</w:t>
      </w:r>
      <w:r w:rsidR="00F20B5C" w:rsidRPr="00DC3BDA">
        <w:rPr>
          <w:rFonts w:cs="Arial"/>
        </w:rPr>
        <w:t xml:space="preserve"> of major crops </w:t>
      </w:r>
      <w:r w:rsidR="00415D67" w:rsidRPr="00DC3BDA">
        <w:rPr>
          <w:rFonts w:cs="Arial"/>
        </w:rPr>
        <w:t>(</w:t>
      </w:r>
      <w:r w:rsidR="008922DF" w:rsidRPr="00DC3BDA">
        <w:rPr>
          <w:rFonts w:cs="Arial"/>
        </w:rPr>
        <w:t xml:space="preserve">harvested </w:t>
      </w:r>
      <w:r w:rsidR="00415D67" w:rsidRPr="00DC3BDA">
        <w:rPr>
          <w:rFonts w:cs="Arial"/>
        </w:rPr>
        <w:t>tonnes ha</w:t>
      </w:r>
      <w:r w:rsidR="001747BA" w:rsidRPr="00DC3BDA">
        <w:rPr>
          <w:rFonts w:cs="Arial"/>
          <w:vertAlign w:val="superscript"/>
        </w:rPr>
        <w:t>-1</w:t>
      </w:r>
      <w:r w:rsidR="00415D67" w:rsidRPr="00DC3BDA">
        <w:rPr>
          <w:rFonts w:cs="Arial"/>
        </w:rPr>
        <w:t xml:space="preserve"> yr</w:t>
      </w:r>
      <w:r w:rsidR="001747BA" w:rsidRPr="00DC3BDA">
        <w:rPr>
          <w:rFonts w:cs="Arial"/>
          <w:vertAlign w:val="superscript"/>
        </w:rPr>
        <w:t>-1</w:t>
      </w:r>
      <w:r w:rsidR="00415D67" w:rsidRPr="00DC3BDA">
        <w:rPr>
          <w:rFonts w:cs="Arial"/>
        </w:rPr>
        <w:t>) in our</w:t>
      </w:r>
      <w:r w:rsidR="009F3CF8" w:rsidRPr="00DC3BDA">
        <w:rPr>
          <w:rFonts w:cs="Arial"/>
        </w:rPr>
        <w:t xml:space="preserve"> mixed-farming and arable </w:t>
      </w:r>
      <w:proofErr w:type="gramStart"/>
      <w:r w:rsidR="00F20B5C" w:rsidRPr="00DC3BDA">
        <w:rPr>
          <w:rFonts w:cs="Arial"/>
        </w:rPr>
        <w:t>site</w:t>
      </w:r>
      <w:r w:rsidR="009F3CF8" w:rsidRPr="00DC3BDA">
        <w:rPr>
          <w:rFonts w:cs="Arial"/>
        </w:rPr>
        <w:t>s</w:t>
      </w:r>
      <w:r w:rsidRPr="00DC3BDA">
        <w:rPr>
          <w:rFonts w:cs="Arial"/>
        </w:rPr>
        <w:t>,</w:t>
      </w:r>
      <w:proofErr w:type="gramEnd"/>
      <w:r w:rsidRPr="00DC3BDA">
        <w:rPr>
          <w:rFonts w:cs="Arial"/>
        </w:rPr>
        <w:t xml:space="preserve"> </w:t>
      </w:r>
      <w:r w:rsidR="00415D67" w:rsidRPr="00DC3BDA">
        <w:rPr>
          <w:rFonts w:cs="Arial"/>
        </w:rPr>
        <w:t>compared with</w:t>
      </w:r>
      <w:r w:rsidRPr="00DC3BDA">
        <w:rPr>
          <w:rFonts w:cs="Arial"/>
        </w:rPr>
        <w:t xml:space="preserve"> the wider study region, similar EU New Member States and the UK. </w:t>
      </w:r>
    </w:p>
    <w:tbl>
      <w:tblPr>
        <w:tblW w:w="8530" w:type="dxa"/>
        <w:tblInd w:w="108" w:type="dxa"/>
        <w:tblLook w:val="04A0"/>
      </w:tblPr>
      <w:tblGrid>
        <w:gridCol w:w="1480"/>
        <w:gridCol w:w="1072"/>
        <w:gridCol w:w="851"/>
        <w:gridCol w:w="992"/>
        <w:gridCol w:w="1701"/>
        <w:gridCol w:w="1134"/>
        <w:gridCol w:w="1300"/>
      </w:tblGrid>
      <w:tr w:rsidR="008F5A31" w:rsidRPr="00DC3BDA" w:rsidTr="00C8013C">
        <w:trPr>
          <w:trHeight w:val="300"/>
        </w:trPr>
        <w:tc>
          <w:tcPr>
            <w:tcW w:w="1480" w:type="dxa"/>
            <w:tcBorders>
              <w:top w:val="single" w:sz="4" w:space="0" w:color="auto"/>
              <w:left w:val="nil"/>
              <w:bottom w:val="nil"/>
              <w:right w:val="nil"/>
            </w:tcBorders>
            <w:shd w:val="clear" w:color="auto" w:fill="auto"/>
            <w:noWrap/>
            <w:vAlign w:val="bottom"/>
            <w:hideMark/>
          </w:tcPr>
          <w:p w:rsidR="008F5A31" w:rsidRPr="00DC3BDA" w:rsidRDefault="008F5A31" w:rsidP="00DC3BDA">
            <w:pPr>
              <w:pStyle w:val="Table"/>
              <w:rPr>
                <w:rFonts w:ascii="Palatino Linotype" w:hAnsi="Palatino Linotype" w:cs="Arial"/>
                <w:sz w:val="22"/>
                <w:szCs w:val="22"/>
                <w:lang w:eastAsia="en-GB"/>
              </w:rPr>
            </w:pPr>
          </w:p>
        </w:tc>
        <w:tc>
          <w:tcPr>
            <w:tcW w:w="2915" w:type="dxa"/>
            <w:gridSpan w:val="3"/>
            <w:tcBorders>
              <w:top w:val="single" w:sz="4" w:space="0" w:color="auto"/>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b/>
                <w:bCs/>
                <w:smallCaps/>
                <w:kern w:val="32"/>
                <w:sz w:val="22"/>
                <w:szCs w:val="22"/>
                <w:lang w:eastAsia="en-GB"/>
              </w:rPr>
            </w:pPr>
            <w:r w:rsidRPr="00DC3BDA">
              <w:rPr>
                <w:rFonts w:ascii="Palatino Linotype" w:hAnsi="Palatino Linotype" w:cs="Arial"/>
                <w:sz w:val="22"/>
                <w:szCs w:val="22"/>
                <w:lang w:eastAsia="en-GB"/>
              </w:rPr>
              <w:t>Mosaic/Arable Study Sites</w:t>
            </w:r>
          </w:p>
        </w:tc>
        <w:tc>
          <w:tcPr>
            <w:tcW w:w="1701" w:type="dxa"/>
            <w:tcBorders>
              <w:top w:val="single" w:sz="4" w:space="0" w:color="auto"/>
              <w:left w:val="nil"/>
              <w:bottom w:val="nil"/>
              <w:right w:val="nil"/>
            </w:tcBorders>
            <w:shd w:val="clear" w:color="auto" w:fill="auto"/>
            <w:noWrap/>
            <w:vAlign w:val="center"/>
            <w:hideMark/>
          </w:tcPr>
          <w:p w:rsidR="00600387" w:rsidRPr="00DC3BDA" w:rsidRDefault="00600387" w:rsidP="00DC3BDA">
            <w:pPr>
              <w:pStyle w:val="Table"/>
              <w:rPr>
                <w:rFonts w:ascii="Palatino Linotype" w:hAnsi="Palatino Linotype" w:cs="Arial"/>
                <w:sz w:val="22"/>
                <w:szCs w:val="22"/>
                <w:lang w:eastAsia="en-GB"/>
              </w:rPr>
            </w:pPr>
          </w:p>
        </w:tc>
        <w:tc>
          <w:tcPr>
            <w:tcW w:w="1134" w:type="dxa"/>
            <w:tcBorders>
              <w:top w:val="single" w:sz="4" w:space="0" w:color="auto"/>
              <w:left w:val="nil"/>
              <w:bottom w:val="nil"/>
              <w:right w:val="nil"/>
            </w:tcBorders>
            <w:shd w:val="clear" w:color="auto" w:fill="auto"/>
            <w:noWrap/>
            <w:vAlign w:val="center"/>
            <w:hideMark/>
          </w:tcPr>
          <w:p w:rsidR="00600387" w:rsidRPr="00DC3BDA" w:rsidRDefault="00600387" w:rsidP="00DC3BDA">
            <w:pPr>
              <w:pStyle w:val="Table"/>
              <w:rPr>
                <w:rFonts w:ascii="Palatino Linotype" w:hAnsi="Palatino Linotype" w:cs="Arial"/>
                <w:sz w:val="22"/>
                <w:szCs w:val="22"/>
                <w:lang w:eastAsia="en-GB"/>
              </w:rPr>
            </w:pPr>
          </w:p>
        </w:tc>
        <w:tc>
          <w:tcPr>
            <w:tcW w:w="1300" w:type="dxa"/>
            <w:tcBorders>
              <w:top w:val="single" w:sz="4" w:space="0" w:color="auto"/>
              <w:left w:val="nil"/>
              <w:bottom w:val="nil"/>
              <w:right w:val="nil"/>
            </w:tcBorders>
            <w:shd w:val="clear" w:color="auto" w:fill="auto"/>
            <w:noWrap/>
            <w:vAlign w:val="center"/>
            <w:hideMark/>
          </w:tcPr>
          <w:p w:rsidR="00600387" w:rsidRPr="00DC3BDA" w:rsidRDefault="00600387" w:rsidP="00DC3BDA">
            <w:pPr>
              <w:pStyle w:val="Table"/>
              <w:rPr>
                <w:rFonts w:ascii="Palatino Linotype" w:hAnsi="Palatino Linotype" w:cs="Arial"/>
                <w:sz w:val="22"/>
                <w:szCs w:val="22"/>
                <w:lang w:eastAsia="en-GB"/>
              </w:rPr>
            </w:pPr>
          </w:p>
        </w:tc>
      </w:tr>
      <w:tr w:rsidR="008F5A31" w:rsidRPr="00DC3BDA" w:rsidTr="00C8013C">
        <w:trPr>
          <w:trHeight w:val="300"/>
        </w:trPr>
        <w:tc>
          <w:tcPr>
            <w:tcW w:w="1480" w:type="dxa"/>
            <w:tcBorders>
              <w:top w:val="nil"/>
              <w:left w:val="nil"/>
              <w:bottom w:val="single" w:sz="8" w:space="0" w:color="auto"/>
              <w:right w:val="nil"/>
            </w:tcBorders>
            <w:shd w:val="clear" w:color="auto" w:fill="auto"/>
            <w:noWrap/>
            <w:vAlign w:val="center"/>
            <w:hideMark/>
          </w:tcPr>
          <w:p w:rsidR="008F5A31"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Crop</w:t>
            </w:r>
          </w:p>
        </w:tc>
        <w:tc>
          <w:tcPr>
            <w:tcW w:w="1072"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Min.</w:t>
            </w:r>
          </w:p>
        </w:tc>
        <w:tc>
          <w:tcPr>
            <w:tcW w:w="851"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Max.</w:t>
            </w:r>
          </w:p>
        </w:tc>
        <w:tc>
          <w:tcPr>
            <w:tcW w:w="992"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Mean</w:t>
            </w:r>
          </w:p>
        </w:tc>
        <w:tc>
          <w:tcPr>
            <w:tcW w:w="1701"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proofErr w:type="spellStart"/>
            <w:r w:rsidRPr="00DC3BDA">
              <w:rPr>
                <w:rFonts w:ascii="Palatino Linotype" w:hAnsi="Palatino Linotype" w:cs="Arial"/>
                <w:sz w:val="22"/>
                <w:szCs w:val="22"/>
                <w:lang w:eastAsia="en-GB"/>
              </w:rPr>
              <w:t>Lubelskie</w:t>
            </w:r>
            <w:proofErr w:type="spellEnd"/>
            <w:r w:rsidRPr="00DC3BDA">
              <w:rPr>
                <w:rFonts w:ascii="Palatino Linotype" w:hAnsi="Palatino Linotype" w:cs="Arial"/>
                <w:sz w:val="22"/>
                <w:szCs w:val="22"/>
                <w:lang w:eastAsia="en-GB"/>
              </w:rPr>
              <w:t xml:space="preserve"> region</w:t>
            </w:r>
          </w:p>
        </w:tc>
        <w:tc>
          <w:tcPr>
            <w:tcW w:w="1134"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EU Ref.</w:t>
            </w:r>
          </w:p>
        </w:tc>
        <w:tc>
          <w:tcPr>
            <w:tcW w:w="1300"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UK</w:t>
            </w:r>
          </w:p>
        </w:tc>
      </w:tr>
      <w:tr w:rsidR="008F5A31" w:rsidRPr="00DC3BDA" w:rsidTr="00C8013C">
        <w:trPr>
          <w:trHeight w:val="300"/>
        </w:trPr>
        <w:tc>
          <w:tcPr>
            <w:tcW w:w="1480" w:type="dxa"/>
            <w:tcBorders>
              <w:top w:val="nil"/>
              <w:left w:val="nil"/>
              <w:bottom w:val="nil"/>
              <w:right w:val="nil"/>
            </w:tcBorders>
            <w:shd w:val="clear" w:color="auto" w:fill="auto"/>
            <w:noWrap/>
            <w:vAlign w:val="center"/>
            <w:hideMark/>
          </w:tcPr>
          <w:p w:rsidR="008F5A31"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Wheat</w:t>
            </w:r>
          </w:p>
        </w:tc>
        <w:tc>
          <w:tcPr>
            <w:tcW w:w="107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w:t>
            </w:r>
          </w:p>
        </w:tc>
        <w:tc>
          <w:tcPr>
            <w:tcW w:w="85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5.9</w:t>
            </w:r>
          </w:p>
        </w:tc>
        <w:tc>
          <w:tcPr>
            <w:tcW w:w="99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3.7</w:t>
            </w:r>
          </w:p>
        </w:tc>
        <w:tc>
          <w:tcPr>
            <w:tcW w:w="170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3.7</w:t>
            </w:r>
          </w:p>
        </w:tc>
        <w:tc>
          <w:tcPr>
            <w:tcW w:w="1134"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4.5</w:t>
            </w:r>
          </w:p>
        </w:tc>
        <w:tc>
          <w:tcPr>
            <w:tcW w:w="1300"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7.4</w:t>
            </w:r>
          </w:p>
        </w:tc>
      </w:tr>
      <w:tr w:rsidR="008F5A31" w:rsidRPr="00DC3BDA" w:rsidTr="00C8013C">
        <w:trPr>
          <w:trHeight w:val="300"/>
        </w:trPr>
        <w:tc>
          <w:tcPr>
            <w:tcW w:w="1480" w:type="dxa"/>
            <w:tcBorders>
              <w:top w:val="nil"/>
              <w:left w:val="nil"/>
              <w:bottom w:val="nil"/>
              <w:right w:val="nil"/>
            </w:tcBorders>
            <w:shd w:val="clear" w:color="auto" w:fill="auto"/>
            <w:noWrap/>
            <w:vAlign w:val="center"/>
            <w:hideMark/>
          </w:tcPr>
          <w:p w:rsidR="008F5A31"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Barley</w:t>
            </w:r>
          </w:p>
        </w:tc>
        <w:tc>
          <w:tcPr>
            <w:tcW w:w="107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2.5</w:t>
            </w:r>
          </w:p>
        </w:tc>
        <w:tc>
          <w:tcPr>
            <w:tcW w:w="85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4.8</w:t>
            </w:r>
          </w:p>
        </w:tc>
        <w:tc>
          <w:tcPr>
            <w:tcW w:w="99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3.8</w:t>
            </w:r>
          </w:p>
        </w:tc>
        <w:tc>
          <w:tcPr>
            <w:tcW w:w="170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3.2</w:t>
            </w:r>
          </w:p>
        </w:tc>
        <w:tc>
          <w:tcPr>
            <w:tcW w:w="1134"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3.7</w:t>
            </w:r>
          </w:p>
        </w:tc>
        <w:tc>
          <w:tcPr>
            <w:tcW w:w="1300"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5.8</w:t>
            </w:r>
          </w:p>
        </w:tc>
      </w:tr>
      <w:tr w:rsidR="008F5A31" w:rsidRPr="00DC3BDA" w:rsidTr="00C8013C">
        <w:trPr>
          <w:trHeight w:val="300"/>
        </w:trPr>
        <w:tc>
          <w:tcPr>
            <w:tcW w:w="1480" w:type="dxa"/>
            <w:tcBorders>
              <w:top w:val="nil"/>
              <w:left w:val="nil"/>
              <w:bottom w:val="nil"/>
              <w:right w:val="nil"/>
            </w:tcBorders>
            <w:shd w:val="clear" w:color="auto" w:fill="auto"/>
            <w:noWrap/>
            <w:vAlign w:val="center"/>
            <w:hideMark/>
          </w:tcPr>
          <w:p w:rsidR="008F5A31"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Oats</w:t>
            </w:r>
          </w:p>
        </w:tc>
        <w:tc>
          <w:tcPr>
            <w:tcW w:w="107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1.7</w:t>
            </w:r>
          </w:p>
        </w:tc>
        <w:tc>
          <w:tcPr>
            <w:tcW w:w="85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4</w:t>
            </w:r>
          </w:p>
        </w:tc>
        <w:tc>
          <w:tcPr>
            <w:tcW w:w="99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2.9</w:t>
            </w:r>
          </w:p>
        </w:tc>
        <w:tc>
          <w:tcPr>
            <w:tcW w:w="170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2.7</w:t>
            </w:r>
          </w:p>
        </w:tc>
        <w:tc>
          <w:tcPr>
            <w:tcW w:w="1134"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2.5</w:t>
            </w:r>
          </w:p>
        </w:tc>
        <w:tc>
          <w:tcPr>
            <w:tcW w:w="1300"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5.5</w:t>
            </w:r>
          </w:p>
        </w:tc>
      </w:tr>
      <w:tr w:rsidR="008F5A31" w:rsidRPr="00DC3BDA" w:rsidTr="00C8013C">
        <w:trPr>
          <w:trHeight w:val="300"/>
        </w:trPr>
        <w:tc>
          <w:tcPr>
            <w:tcW w:w="1480" w:type="dxa"/>
            <w:tcBorders>
              <w:top w:val="nil"/>
              <w:left w:val="nil"/>
              <w:bottom w:val="nil"/>
              <w:right w:val="nil"/>
            </w:tcBorders>
            <w:shd w:val="clear" w:color="auto" w:fill="auto"/>
            <w:noWrap/>
            <w:vAlign w:val="center"/>
            <w:hideMark/>
          </w:tcPr>
          <w:p w:rsidR="008F5A31"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Rye</w:t>
            </w:r>
          </w:p>
        </w:tc>
        <w:tc>
          <w:tcPr>
            <w:tcW w:w="107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1.8</w:t>
            </w:r>
          </w:p>
        </w:tc>
        <w:tc>
          <w:tcPr>
            <w:tcW w:w="85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w:t>
            </w:r>
          </w:p>
        </w:tc>
        <w:tc>
          <w:tcPr>
            <w:tcW w:w="99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2.6</w:t>
            </w:r>
          </w:p>
        </w:tc>
        <w:tc>
          <w:tcPr>
            <w:tcW w:w="170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2.5</w:t>
            </w:r>
          </w:p>
        </w:tc>
        <w:tc>
          <w:tcPr>
            <w:tcW w:w="1134"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w:t>
            </w:r>
          </w:p>
        </w:tc>
        <w:tc>
          <w:tcPr>
            <w:tcW w:w="1300"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5.6</w:t>
            </w:r>
          </w:p>
        </w:tc>
      </w:tr>
      <w:tr w:rsidR="008F5A31" w:rsidRPr="00DC3BDA" w:rsidTr="00C8013C">
        <w:trPr>
          <w:trHeight w:val="300"/>
        </w:trPr>
        <w:tc>
          <w:tcPr>
            <w:tcW w:w="1480" w:type="dxa"/>
            <w:tcBorders>
              <w:top w:val="nil"/>
              <w:left w:val="nil"/>
              <w:bottom w:val="nil"/>
              <w:right w:val="nil"/>
            </w:tcBorders>
            <w:shd w:val="clear" w:color="auto" w:fill="auto"/>
            <w:noWrap/>
            <w:vAlign w:val="center"/>
            <w:hideMark/>
          </w:tcPr>
          <w:p w:rsidR="008F5A31"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Triticale</w:t>
            </w:r>
          </w:p>
        </w:tc>
        <w:tc>
          <w:tcPr>
            <w:tcW w:w="107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1.7</w:t>
            </w:r>
          </w:p>
        </w:tc>
        <w:tc>
          <w:tcPr>
            <w:tcW w:w="85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5</w:t>
            </w:r>
          </w:p>
        </w:tc>
        <w:tc>
          <w:tcPr>
            <w:tcW w:w="992"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3.4</w:t>
            </w:r>
          </w:p>
        </w:tc>
        <w:tc>
          <w:tcPr>
            <w:tcW w:w="1701"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2.9</w:t>
            </w:r>
          </w:p>
        </w:tc>
        <w:tc>
          <w:tcPr>
            <w:tcW w:w="1134"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3.5</w:t>
            </w:r>
          </w:p>
        </w:tc>
        <w:tc>
          <w:tcPr>
            <w:tcW w:w="1300" w:type="dxa"/>
            <w:tcBorders>
              <w:top w:val="nil"/>
              <w:left w:val="nil"/>
              <w:bottom w:val="nil"/>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3.9</w:t>
            </w:r>
          </w:p>
        </w:tc>
      </w:tr>
      <w:tr w:rsidR="008F5A31" w:rsidRPr="00DC3BDA" w:rsidTr="00C8013C">
        <w:trPr>
          <w:trHeight w:val="300"/>
        </w:trPr>
        <w:tc>
          <w:tcPr>
            <w:tcW w:w="1480" w:type="dxa"/>
            <w:tcBorders>
              <w:top w:val="nil"/>
              <w:left w:val="nil"/>
              <w:bottom w:val="single" w:sz="8" w:space="0" w:color="auto"/>
              <w:right w:val="nil"/>
            </w:tcBorders>
            <w:shd w:val="clear" w:color="auto" w:fill="auto"/>
            <w:noWrap/>
            <w:vAlign w:val="center"/>
            <w:hideMark/>
          </w:tcPr>
          <w:p w:rsidR="008F5A31"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Oilseed rape</w:t>
            </w:r>
          </w:p>
        </w:tc>
        <w:tc>
          <w:tcPr>
            <w:tcW w:w="1072"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1.5</w:t>
            </w:r>
          </w:p>
        </w:tc>
        <w:tc>
          <w:tcPr>
            <w:tcW w:w="851"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4</w:t>
            </w:r>
          </w:p>
        </w:tc>
        <w:tc>
          <w:tcPr>
            <w:tcW w:w="992"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3.1</w:t>
            </w:r>
          </w:p>
        </w:tc>
        <w:tc>
          <w:tcPr>
            <w:tcW w:w="1701"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2.5</w:t>
            </w:r>
          </w:p>
        </w:tc>
        <w:tc>
          <w:tcPr>
            <w:tcW w:w="1134"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2.6</w:t>
            </w:r>
          </w:p>
        </w:tc>
        <w:tc>
          <w:tcPr>
            <w:tcW w:w="1300" w:type="dxa"/>
            <w:tcBorders>
              <w:top w:val="nil"/>
              <w:left w:val="nil"/>
              <w:bottom w:val="single" w:sz="8" w:space="0" w:color="auto"/>
              <w:right w:val="nil"/>
            </w:tcBorders>
            <w:shd w:val="clear" w:color="auto" w:fill="auto"/>
            <w:noWrap/>
            <w:vAlign w:val="center"/>
            <w:hideMark/>
          </w:tcPr>
          <w:p w:rsidR="00600387" w:rsidRPr="00DC3BDA" w:rsidRDefault="008F5A31"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w:t>
            </w:r>
          </w:p>
        </w:tc>
      </w:tr>
    </w:tbl>
    <w:p w:rsidR="008F5A31" w:rsidRPr="00A850E3" w:rsidRDefault="008F5A31" w:rsidP="00C8013C">
      <w:pPr>
        <w:spacing w:before="120"/>
      </w:pPr>
      <w:r w:rsidRPr="00A850E3">
        <w:t>Yields for</w:t>
      </w:r>
      <w:r w:rsidRPr="00A850E3">
        <w:rPr>
          <w:b/>
        </w:rPr>
        <w:t xml:space="preserve"> </w:t>
      </w:r>
      <w:r w:rsidRPr="00A850E3">
        <w:t xml:space="preserve">eight </w:t>
      </w:r>
      <w:r w:rsidR="005D69A9" w:rsidRPr="00A850E3">
        <w:t>‘</w:t>
      </w:r>
      <w:r w:rsidRPr="00A850E3">
        <w:t>mosaic</w:t>
      </w:r>
      <w:r w:rsidR="005D69A9" w:rsidRPr="00A850E3">
        <w:t>’</w:t>
      </w:r>
      <w:r w:rsidRPr="00A850E3">
        <w:t xml:space="preserve"> study sites and five </w:t>
      </w:r>
      <w:r w:rsidR="005D69A9" w:rsidRPr="00A850E3">
        <w:t>‘</w:t>
      </w:r>
      <w:r w:rsidRPr="00A850E3">
        <w:t>arable</w:t>
      </w:r>
      <w:r w:rsidR="005D69A9" w:rsidRPr="00A850E3">
        <w:t>’</w:t>
      </w:r>
      <w:r w:rsidRPr="00A850E3">
        <w:t xml:space="preserve"> study sites, compared with average yields for the Lublin region </w:t>
      </w:r>
      <w:r w:rsidR="00992000" w:rsidRPr="00A850E3">
        <w:t>from ref. [3]</w:t>
      </w:r>
      <w:r w:rsidRPr="00A850E3">
        <w:t>.</w:t>
      </w:r>
      <w:r w:rsidR="00DA76D0" w:rsidRPr="00A850E3">
        <w:t xml:space="preserve"> </w:t>
      </w:r>
      <w:r w:rsidRPr="00A850E3">
        <w:t xml:space="preserve"> </w:t>
      </w:r>
      <w:r w:rsidR="005D69A9" w:rsidRPr="00A850E3">
        <w:t>‘</w:t>
      </w:r>
      <w:r w:rsidRPr="00A850E3">
        <w:t>EU Ref.</w:t>
      </w:r>
      <w:r w:rsidR="005D69A9" w:rsidRPr="00A850E3">
        <w:t>’</w:t>
      </w:r>
      <w:r w:rsidRPr="00A850E3">
        <w:t xml:space="preserve"> refers to Poland, Hungary, Lithuania, Slovakia and Slovenia, and the numbers presented are the mean of national average yields in 2013 </w:t>
      </w:r>
      <w:r w:rsidR="00BB3282" w:rsidRPr="00A850E3">
        <w:t>[4]</w:t>
      </w:r>
      <w:r w:rsidR="00C8013C">
        <w:t xml:space="preserve">.  </w:t>
      </w:r>
      <w:r w:rsidRPr="00A850E3">
        <w:t>UK cereal yields for 2013 are also included for reference</w:t>
      </w:r>
      <w:r w:rsidR="007A046D" w:rsidRPr="00A850E3">
        <w:t xml:space="preserve"> [5</w:t>
      </w:r>
      <w:proofErr w:type="gramStart"/>
      <w:r w:rsidR="007A046D" w:rsidRPr="00A850E3">
        <w:t>,6</w:t>
      </w:r>
      <w:proofErr w:type="gramEnd"/>
      <w:r w:rsidR="007A046D" w:rsidRPr="00A850E3">
        <w:t>]</w:t>
      </w:r>
      <w:r w:rsidRPr="00A850E3">
        <w:t>.</w:t>
      </w:r>
    </w:p>
    <w:p w:rsidR="008F5A31" w:rsidRPr="00DC3BDA" w:rsidRDefault="008F5A31" w:rsidP="00DC3BDA">
      <w:pPr>
        <w:rPr>
          <w:rFonts w:cs="Arial"/>
          <w:u w:val="single"/>
        </w:rPr>
      </w:pPr>
    </w:p>
    <w:p w:rsidR="00322CEB" w:rsidRPr="00DC3BDA" w:rsidRDefault="003E7023" w:rsidP="00DC3BDA">
      <w:pPr>
        <w:pStyle w:val="ListParagraph"/>
        <w:numPr>
          <w:ilvl w:val="0"/>
          <w:numId w:val="2"/>
        </w:numPr>
        <w:rPr>
          <w:rFonts w:cs="Arial"/>
          <w:b/>
        </w:rPr>
      </w:pPr>
      <w:r w:rsidRPr="00DC3BDA">
        <w:rPr>
          <w:rFonts w:cs="Arial"/>
          <w:b/>
        </w:rPr>
        <w:t xml:space="preserve">Measuring </w:t>
      </w:r>
      <w:r w:rsidR="00FB4BCD">
        <w:rPr>
          <w:rFonts w:cs="Arial"/>
          <w:b/>
        </w:rPr>
        <w:t>a</w:t>
      </w:r>
      <w:r w:rsidRPr="00DC3BDA">
        <w:rPr>
          <w:rFonts w:cs="Arial"/>
          <w:b/>
        </w:rPr>
        <w:t xml:space="preserve">gricultural </w:t>
      </w:r>
      <w:r w:rsidR="00FB4BCD">
        <w:rPr>
          <w:rFonts w:cs="Arial"/>
          <w:b/>
        </w:rPr>
        <w:t>y</w:t>
      </w:r>
      <w:r w:rsidRPr="00DC3BDA">
        <w:rPr>
          <w:rFonts w:cs="Arial"/>
          <w:b/>
        </w:rPr>
        <w:t>ield</w:t>
      </w:r>
    </w:p>
    <w:p w:rsidR="003E7023" w:rsidRPr="00DC3BDA" w:rsidRDefault="003E7023" w:rsidP="00DC3BDA">
      <w:pPr>
        <w:rPr>
          <w:rFonts w:cs="Arial"/>
          <w:b/>
        </w:rPr>
      </w:pPr>
      <w:r w:rsidRPr="00DC3BDA">
        <w:rPr>
          <w:rFonts w:cs="Arial"/>
          <w:b/>
        </w:rPr>
        <w:t xml:space="preserve">Data </w:t>
      </w:r>
      <w:r w:rsidR="00FB4BCD">
        <w:rPr>
          <w:rFonts w:cs="Arial"/>
          <w:b/>
        </w:rPr>
        <w:t>c</w:t>
      </w:r>
      <w:r w:rsidRPr="00DC3BDA">
        <w:rPr>
          <w:rFonts w:cs="Arial"/>
          <w:b/>
        </w:rPr>
        <w:t>ollection</w:t>
      </w:r>
    </w:p>
    <w:p w:rsidR="00322CEB" w:rsidRPr="00DC3BDA" w:rsidRDefault="00322CEB" w:rsidP="00DC3BDA">
      <w:pPr>
        <w:rPr>
          <w:rFonts w:cs="Arial"/>
        </w:rPr>
      </w:pPr>
      <w:r w:rsidRPr="00DC3BDA">
        <w:rPr>
          <w:rFonts w:cs="Arial"/>
        </w:rPr>
        <w:t xml:space="preserve">Of the 26 study sites, nine were zero-yielding </w:t>
      </w:r>
      <w:r w:rsidR="009F3CF8" w:rsidRPr="00DC3BDA">
        <w:rPr>
          <w:rFonts w:cs="Arial"/>
        </w:rPr>
        <w:t xml:space="preserve">natural habitat </w:t>
      </w:r>
      <w:r w:rsidRPr="00DC3BDA">
        <w:rPr>
          <w:rFonts w:cs="Arial"/>
        </w:rPr>
        <w:t>sites.</w:t>
      </w:r>
      <w:r w:rsidR="00DA76D0">
        <w:rPr>
          <w:rFonts w:cs="Arial"/>
        </w:rPr>
        <w:t xml:space="preserve"> </w:t>
      </w:r>
      <w:r w:rsidRPr="00DC3BDA">
        <w:rPr>
          <w:rFonts w:cs="Arial"/>
        </w:rPr>
        <w:t xml:space="preserve"> The remaining 17 sites supported some level of agriculture. </w:t>
      </w:r>
      <w:r w:rsidR="00DA76D0">
        <w:rPr>
          <w:rFonts w:cs="Arial"/>
        </w:rPr>
        <w:t xml:space="preserve"> </w:t>
      </w:r>
      <w:r w:rsidRPr="00DC3BDA">
        <w:rPr>
          <w:rFonts w:cs="Arial"/>
        </w:rPr>
        <w:t>For each</w:t>
      </w:r>
      <w:r w:rsidR="009F3CF8" w:rsidRPr="00DC3BDA">
        <w:rPr>
          <w:rFonts w:cs="Arial"/>
        </w:rPr>
        <w:t xml:space="preserve"> agricultural</w:t>
      </w:r>
      <w:r w:rsidRPr="00DC3BDA">
        <w:rPr>
          <w:rFonts w:cs="Arial"/>
        </w:rPr>
        <w:t xml:space="preserve"> site a detailed field boundary map was produced in a GIS using a combination of satellite imagery and cadastral data. </w:t>
      </w:r>
      <w:r w:rsidR="00DA76D0">
        <w:rPr>
          <w:rFonts w:cs="Arial"/>
        </w:rPr>
        <w:t xml:space="preserve"> </w:t>
      </w:r>
      <w:r w:rsidRPr="00DC3BDA">
        <w:rPr>
          <w:rFonts w:cs="Arial"/>
        </w:rPr>
        <w:t xml:space="preserve">Crops were then mapped within each field </w:t>
      </w:r>
      <w:r w:rsidR="009F3CF8" w:rsidRPr="00DC3BDA">
        <w:rPr>
          <w:rFonts w:cs="Arial"/>
        </w:rPr>
        <w:t xml:space="preserve">by visiting </w:t>
      </w:r>
      <w:r w:rsidRPr="00DC3BDA">
        <w:rPr>
          <w:rFonts w:cs="Arial"/>
        </w:rPr>
        <w:t>the whole site (</w:t>
      </w:r>
      <w:r w:rsidR="00F36DA1">
        <w:rPr>
          <w:rFonts w:cs="Arial"/>
        </w:rPr>
        <w:t>f</w:t>
      </w:r>
      <w:r w:rsidR="0097568C" w:rsidRPr="00DC3BDA">
        <w:rPr>
          <w:rFonts w:cs="Arial"/>
        </w:rPr>
        <w:t>igure S</w:t>
      </w:r>
      <w:r w:rsidRPr="00DC3BDA">
        <w:rPr>
          <w:rFonts w:cs="Arial"/>
        </w:rPr>
        <w:t xml:space="preserve">2). In order to capture data on crop-rotation, crop mapping was completed in both 2013 and 2014. </w:t>
      </w:r>
      <w:r w:rsidR="00DA76D0">
        <w:rPr>
          <w:rFonts w:cs="Arial"/>
        </w:rPr>
        <w:t xml:space="preserve"> </w:t>
      </w:r>
      <w:r w:rsidRPr="00DC3BDA">
        <w:rPr>
          <w:rFonts w:cs="Arial"/>
        </w:rPr>
        <w:t>The extent and type of non-crop areas (including semi-natural habitat patches, abandoned land, roads and buildings) were also mapped.</w:t>
      </w:r>
    </w:p>
    <w:p w:rsidR="00322CEB" w:rsidRPr="00DC3BDA" w:rsidRDefault="00322CEB" w:rsidP="00DC3BDA">
      <w:pPr>
        <w:rPr>
          <w:rFonts w:cs="Arial"/>
        </w:rPr>
      </w:pPr>
      <w:r w:rsidRPr="00DC3BDA">
        <w:rPr>
          <w:rFonts w:cs="Arial"/>
          <w:noProof/>
          <w:lang w:eastAsia="en-GB"/>
        </w:rPr>
        <w:drawing>
          <wp:inline distT="0" distB="0" distL="0" distR="0">
            <wp:extent cx="4408148" cy="1418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9181" cy="1428793"/>
                    </a:xfrm>
                    <a:prstGeom prst="rect">
                      <a:avLst/>
                    </a:prstGeom>
                    <a:noFill/>
                  </pic:spPr>
                </pic:pic>
              </a:graphicData>
            </a:graphic>
          </wp:inline>
        </w:drawing>
      </w:r>
    </w:p>
    <w:p w:rsidR="00322CEB" w:rsidRPr="00DC3BDA" w:rsidRDefault="0097568C" w:rsidP="00C8013C">
      <w:pPr>
        <w:pStyle w:val="Caption"/>
        <w:spacing w:after="160" w:line="259" w:lineRule="auto"/>
        <w:rPr>
          <w:rFonts w:ascii="Palatino Linotype" w:hAnsi="Palatino Linotype" w:cs="Arial"/>
          <w:sz w:val="22"/>
        </w:rPr>
      </w:pPr>
      <w:r w:rsidRPr="00DC3BDA">
        <w:rPr>
          <w:rFonts w:ascii="Palatino Linotype" w:hAnsi="Palatino Linotype" w:cs="Arial"/>
          <w:b/>
          <w:sz w:val="22"/>
        </w:rPr>
        <w:t>Figure S2.</w:t>
      </w:r>
      <w:r w:rsidR="00322CEB" w:rsidRPr="00DC3BDA">
        <w:rPr>
          <w:rFonts w:ascii="Palatino Linotype" w:hAnsi="Palatino Linotype" w:cs="Arial"/>
          <w:sz w:val="22"/>
        </w:rPr>
        <w:t xml:space="preserve"> </w:t>
      </w:r>
      <w:proofErr w:type="gramStart"/>
      <w:r w:rsidR="00322CEB" w:rsidRPr="00DC3BDA">
        <w:rPr>
          <w:rFonts w:ascii="Palatino Linotype" w:hAnsi="Palatino Linotype" w:cs="Arial"/>
          <w:sz w:val="22"/>
        </w:rPr>
        <w:t>An example showing the process for mapping crops within each study site.</w:t>
      </w:r>
      <w:proofErr w:type="gramEnd"/>
      <w:r w:rsidR="00DA76D0">
        <w:rPr>
          <w:rFonts w:ascii="Palatino Linotype" w:hAnsi="Palatino Linotype" w:cs="Arial"/>
          <w:sz w:val="22"/>
        </w:rPr>
        <w:t xml:space="preserve"> </w:t>
      </w:r>
      <w:r w:rsidR="00322CEB" w:rsidRPr="00DC3BDA">
        <w:rPr>
          <w:rFonts w:ascii="Palatino Linotype" w:hAnsi="Palatino Linotype" w:cs="Arial"/>
          <w:sz w:val="22"/>
        </w:rPr>
        <w:t xml:space="preserve"> Based on satellite imagery (A) and aided by cadastral data, an approximate land cover map was drawn, including field boundaries (B).</w:t>
      </w:r>
      <w:r w:rsidR="00DA76D0">
        <w:rPr>
          <w:rFonts w:ascii="Palatino Linotype" w:hAnsi="Palatino Linotype" w:cs="Arial"/>
          <w:sz w:val="22"/>
        </w:rPr>
        <w:t xml:space="preserve"> </w:t>
      </w:r>
      <w:r w:rsidR="00322CEB" w:rsidRPr="00DC3BDA">
        <w:rPr>
          <w:rFonts w:ascii="Palatino Linotype" w:hAnsi="Palatino Linotype" w:cs="Arial"/>
          <w:sz w:val="22"/>
        </w:rPr>
        <w:t xml:space="preserve"> Detailed crop mapping was then carried </w:t>
      </w:r>
      <w:r w:rsidR="009F3CF8" w:rsidRPr="00DC3BDA">
        <w:rPr>
          <w:rFonts w:ascii="Palatino Linotype" w:hAnsi="Palatino Linotype" w:cs="Arial"/>
          <w:sz w:val="22"/>
        </w:rPr>
        <w:t>through site visits in</w:t>
      </w:r>
      <w:r w:rsidR="00322CEB" w:rsidRPr="00DC3BDA">
        <w:rPr>
          <w:rFonts w:ascii="Palatino Linotype" w:hAnsi="Palatino Linotype" w:cs="Arial"/>
          <w:sz w:val="22"/>
        </w:rPr>
        <w:t xml:space="preserve"> both 2013 and 2014 (C). </w:t>
      </w:r>
      <w:r w:rsidR="00DA76D0">
        <w:rPr>
          <w:rFonts w:ascii="Palatino Linotype" w:hAnsi="Palatino Linotype" w:cs="Arial"/>
          <w:sz w:val="22"/>
        </w:rPr>
        <w:t xml:space="preserve"> </w:t>
      </w:r>
      <w:r w:rsidR="00322CEB" w:rsidRPr="00DC3BDA">
        <w:rPr>
          <w:rFonts w:ascii="Palatino Linotype" w:hAnsi="Palatino Linotype" w:cs="Arial"/>
          <w:sz w:val="22"/>
        </w:rPr>
        <w:t xml:space="preserve">From this, the total area under each crop in each site was calculated. Colours represent different land uses (B) and crop types (C). </w:t>
      </w:r>
    </w:p>
    <w:p w:rsidR="00322CEB" w:rsidRPr="00DC3BDA" w:rsidRDefault="00322CEB" w:rsidP="00DC3BDA">
      <w:pPr>
        <w:rPr>
          <w:rFonts w:cs="Arial"/>
        </w:rPr>
      </w:pPr>
      <w:r w:rsidRPr="00DC3BDA">
        <w:rPr>
          <w:rFonts w:cs="Arial"/>
        </w:rPr>
        <w:lastRenderedPageBreak/>
        <w:t xml:space="preserve">Local yields were estimated from a combination of </w:t>
      </w:r>
      <w:r w:rsidR="000A006E" w:rsidRPr="00DC3BDA">
        <w:rPr>
          <w:rFonts w:cs="Arial"/>
        </w:rPr>
        <w:t>interviews with farmers, data submitted by</w:t>
      </w:r>
      <w:r w:rsidRPr="00DC3BDA">
        <w:rPr>
          <w:rFonts w:cs="Arial"/>
        </w:rPr>
        <w:t xml:space="preserve"> agricultural advisors</w:t>
      </w:r>
      <w:r w:rsidR="002778E3">
        <w:rPr>
          <w:rFonts w:cs="Arial"/>
        </w:rPr>
        <w:t>,</w:t>
      </w:r>
      <w:r w:rsidRPr="00DC3BDA">
        <w:rPr>
          <w:rFonts w:cs="Arial"/>
        </w:rPr>
        <w:t xml:space="preserve"> and agricultural statistics</w:t>
      </w:r>
      <w:r w:rsidR="000A006E" w:rsidRPr="00DC3BDA">
        <w:rPr>
          <w:rFonts w:cs="Arial"/>
        </w:rPr>
        <w:t xml:space="preserve"> published by the regional government</w:t>
      </w:r>
      <w:r w:rsidRPr="00DC3BDA">
        <w:rPr>
          <w:rFonts w:cs="Arial"/>
        </w:rPr>
        <w:t xml:space="preserve">. </w:t>
      </w:r>
      <w:r w:rsidR="00DA76D0">
        <w:rPr>
          <w:rFonts w:cs="Arial"/>
        </w:rPr>
        <w:t xml:space="preserve"> </w:t>
      </w:r>
      <w:r w:rsidRPr="00DC3BDA">
        <w:rPr>
          <w:rFonts w:cs="Arial"/>
        </w:rPr>
        <w:t>A total of 70 farmers were interviewed across all farmed sites.</w:t>
      </w:r>
      <w:r w:rsidR="00DA76D0">
        <w:rPr>
          <w:rFonts w:cs="Arial"/>
        </w:rPr>
        <w:t xml:space="preserve"> </w:t>
      </w:r>
      <w:r w:rsidRPr="00DC3BDA">
        <w:rPr>
          <w:rFonts w:cs="Arial"/>
        </w:rPr>
        <w:t xml:space="preserve"> The complex pattern of land ownership meant that locating and interviewing farmers involved in the management of specific fields within some sites was challenging, so interviews with farmers based in the nearest village and farming locally (within 2</w:t>
      </w:r>
      <w:r w:rsidR="004F61EB">
        <w:rPr>
          <w:rFonts w:cs="Arial"/>
        </w:rPr>
        <w:t xml:space="preserve"> </w:t>
      </w:r>
      <w:r w:rsidRPr="00DC3BDA">
        <w:rPr>
          <w:rFonts w:cs="Arial"/>
        </w:rPr>
        <w:t xml:space="preserve">km) were also accepted. </w:t>
      </w:r>
      <w:r w:rsidR="00DA76D0">
        <w:rPr>
          <w:rFonts w:cs="Arial"/>
        </w:rPr>
        <w:t xml:space="preserve"> </w:t>
      </w:r>
      <w:r w:rsidRPr="00DC3BDA">
        <w:rPr>
          <w:rFonts w:cs="Arial"/>
        </w:rPr>
        <w:t xml:space="preserve">A minimum of two farmers were interviewed per site, with the exception of one site where only a single farmer was available. Information was gathered on crop area, harvest quantities. </w:t>
      </w:r>
    </w:p>
    <w:p w:rsidR="00322CEB" w:rsidRPr="00DC3BDA" w:rsidRDefault="00322CEB" w:rsidP="00DC3BDA">
      <w:pPr>
        <w:rPr>
          <w:rFonts w:cs="Arial"/>
        </w:rPr>
      </w:pPr>
      <w:r w:rsidRPr="00DC3BDA">
        <w:rPr>
          <w:rFonts w:cs="Arial"/>
        </w:rPr>
        <w:t>In order to supplement and validate the information obtained through interviews, additional data were obtained from two further sources: estimates of average crop yields at a county level obtained from local agricultural advisors; and village-, county- and region-level agricultural statistics reported through the Central Statistical Office of Poland (</w:t>
      </w:r>
      <w:proofErr w:type="spellStart"/>
      <w:r w:rsidRPr="00DC3BDA">
        <w:rPr>
          <w:rFonts w:cs="Arial"/>
        </w:rPr>
        <w:t>Główny</w:t>
      </w:r>
      <w:proofErr w:type="spellEnd"/>
      <w:r w:rsidRPr="00DC3BDA">
        <w:rPr>
          <w:rFonts w:cs="Arial"/>
        </w:rPr>
        <w:t xml:space="preserve"> </w:t>
      </w:r>
      <w:proofErr w:type="spellStart"/>
      <w:r w:rsidRPr="00DC3BDA">
        <w:rPr>
          <w:rFonts w:cs="Arial"/>
        </w:rPr>
        <w:t>Urząd</w:t>
      </w:r>
      <w:proofErr w:type="spellEnd"/>
      <w:r w:rsidRPr="00DC3BDA">
        <w:rPr>
          <w:rFonts w:cs="Arial"/>
        </w:rPr>
        <w:t xml:space="preserve"> </w:t>
      </w:r>
      <w:proofErr w:type="spellStart"/>
      <w:r w:rsidRPr="00DC3BDA">
        <w:rPr>
          <w:rFonts w:cs="Arial"/>
        </w:rPr>
        <w:t>Statystyczny</w:t>
      </w:r>
      <w:proofErr w:type="spellEnd"/>
      <w:r w:rsidRPr="00DC3BDA">
        <w:rPr>
          <w:rFonts w:cs="Arial"/>
        </w:rPr>
        <w:t>, GUS) via the Online Database of the Statistical Office of Lublin</w:t>
      </w:r>
      <w:r w:rsidR="00992000">
        <w:rPr>
          <w:rFonts w:cs="Arial"/>
        </w:rPr>
        <w:t xml:space="preserve"> [3]</w:t>
      </w:r>
      <w:r w:rsidRPr="00DC3BDA">
        <w:rPr>
          <w:rFonts w:cs="Arial"/>
        </w:rPr>
        <w:t xml:space="preserve">.  Where reliable local estimates were available from the farmer interview data they were used. </w:t>
      </w:r>
      <w:r w:rsidR="00DA76D0">
        <w:rPr>
          <w:rFonts w:cs="Arial"/>
        </w:rPr>
        <w:t xml:space="preserve"> </w:t>
      </w:r>
      <w:r w:rsidRPr="00DC3BDA">
        <w:rPr>
          <w:rFonts w:cs="Arial"/>
        </w:rPr>
        <w:t>Where reliable data were lacking, reported data from agricultural advisors and/or GUS were used</w:t>
      </w:r>
      <w:r w:rsidR="00B22634">
        <w:rPr>
          <w:rFonts w:cs="Arial"/>
        </w:rPr>
        <w:t>. T</w:t>
      </w:r>
      <w:r w:rsidRPr="00DC3BDA">
        <w:rPr>
          <w:rFonts w:cs="Arial"/>
        </w:rPr>
        <w:t>his accounted for less than 13% of the total surveyed area.</w:t>
      </w:r>
    </w:p>
    <w:p w:rsidR="00322CEB" w:rsidRPr="00DC3BDA" w:rsidRDefault="00322CEB" w:rsidP="00DC3BDA">
      <w:pPr>
        <w:rPr>
          <w:rFonts w:cs="Arial"/>
          <w:b/>
        </w:rPr>
      </w:pPr>
      <w:r w:rsidRPr="00DC3BDA">
        <w:rPr>
          <w:rFonts w:cs="Arial"/>
          <w:b/>
        </w:rPr>
        <w:t>Calculating food energy yield</w:t>
      </w:r>
    </w:p>
    <w:p w:rsidR="00322CEB" w:rsidRPr="00DC3BDA" w:rsidRDefault="00322CEB" w:rsidP="00DC3BDA">
      <w:pPr>
        <w:rPr>
          <w:rFonts w:cs="Arial"/>
        </w:rPr>
      </w:pPr>
      <w:r w:rsidRPr="00DC3BDA">
        <w:rPr>
          <w:rFonts w:cs="Arial"/>
        </w:rPr>
        <w:t>Using these data, annual energy production for each site was calculated as follows:</w:t>
      </w:r>
    </w:p>
    <w:p w:rsidR="00322CEB" w:rsidRPr="00DC3BDA" w:rsidRDefault="00AB7F8F" w:rsidP="00DC3BDA">
      <w:pPr>
        <w:rPr>
          <w:rFonts w:cs="Arial"/>
          <w:i/>
        </w:rPr>
      </w:pPr>
      <m:oMathPara>
        <m:oMath>
          <m:sSub>
            <m:sSubPr>
              <m:ctrlPr>
                <w:rPr>
                  <w:rFonts w:ascii="Cambria Math" w:hAnsi="Cambria Math" w:cs="Arial"/>
                  <w:i/>
                </w:rPr>
              </m:ctrlPr>
            </m:sSubPr>
            <m:e>
              <m:r>
                <m:rPr>
                  <m:nor/>
                </m:rPr>
                <w:rPr>
                  <w:rFonts w:cs="Arial"/>
                  <w:i/>
                </w:rPr>
                <m:t>P</m:t>
              </m:r>
            </m:e>
            <m:sub>
              <m:r>
                <m:rPr>
                  <m:nor/>
                </m:rPr>
                <w:rPr>
                  <w:rFonts w:cs="Arial"/>
                  <w:i/>
                </w:rPr>
                <m:t>j</m:t>
              </m:r>
            </m:sub>
          </m:sSub>
          <m:r>
            <m:rPr>
              <m:nor/>
            </m:rPr>
            <w:rPr>
              <w:rFonts w:cs="Arial"/>
              <w:i/>
            </w:rPr>
            <m:t xml:space="preserve">= </m:t>
          </m:r>
          <m:nary>
            <m:naryPr>
              <m:chr m:val="∑"/>
              <m:limLoc m:val="undOvr"/>
              <m:ctrlPr>
                <w:rPr>
                  <w:rFonts w:ascii="Cambria Math" w:hAnsi="Cambria Math" w:cs="Arial"/>
                  <w:i/>
                </w:rPr>
              </m:ctrlPr>
            </m:naryPr>
            <m:sub>
              <m:r>
                <m:rPr>
                  <m:nor/>
                </m:rPr>
                <w:rPr>
                  <w:rFonts w:cs="Arial"/>
                  <w:i/>
                </w:rPr>
                <m:t>i=1</m:t>
              </m:r>
            </m:sub>
            <m:sup>
              <m:r>
                <m:rPr>
                  <m:nor/>
                </m:rPr>
                <w:rPr>
                  <w:rFonts w:cs="Arial"/>
                  <w:i/>
                </w:rPr>
                <m:t>n</m:t>
              </m:r>
            </m:sup>
            <m:e>
              <m:sSub>
                <m:sSubPr>
                  <m:ctrlPr>
                    <w:rPr>
                      <w:rFonts w:ascii="Cambria Math" w:hAnsi="Cambria Math" w:cs="Arial"/>
                      <w:i/>
                    </w:rPr>
                  </m:ctrlPr>
                </m:sSubPr>
                <m:e>
                  <m:r>
                    <m:rPr>
                      <m:nor/>
                    </m:rPr>
                    <w:rPr>
                      <w:rFonts w:cs="Arial"/>
                      <w:i/>
                    </w:rPr>
                    <m:t>A</m:t>
                  </m:r>
                </m:e>
                <m:sub>
                  <m:r>
                    <m:rPr>
                      <m:nor/>
                    </m:rPr>
                    <w:rPr>
                      <w:rFonts w:cs="Arial"/>
                      <w:i/>
                    </w:rPr>
                    <m:t>ij</m:t>
                  </m:r>
                </m:sub>
              </m:sSub>
              <m:sSub>
                <m:sSubPr>
                  <m:ctrlPr>
                    <w:rPr>
                      <w:rFonts w:ascii="Cambria Math" w:hAnsi="Cambria Math" w:cs="Arial"/>
                      <w:i/>
                    </w:rPr>
                  </m:ctrlPr>
                </m:sSubPr>
                <m:e>
                  <m:r>
                    <m:rPr>
                      <m:nor/>
                    </m:rPr>
                    <w:rPr>
                      <w:rFonts w:cs="Arial"/>
                      <w:i/>
                    </w:rPr>
                    <m:t>X</m:t>
                  </m:r>
                </m:e>
                <m:sub>
                  <m:r>
                    <m:rPr>
                      <m:nor/>
                    </m:rPr>
                    <w:rPr>
                      <w:rFonts w:cs="Arial"/>
                      <w:i/>
                    </w:rPr>
                    <m:t>ij</m:t>
                  </m:r>
                </m:sub>
              </m:sSub>
              <m:sSub>
                <m:sSubPr>
                  <m:ctrlPr>
                    <w:rPr>
                      <w:rFonts w:ascii="Cambria Math" w:hAnsi="Cambria Math" w:cs="Arial"/>
                      <w:i/>
                    </w:rPr>
                  </m:ctrlPr>
                </m:sSubPr>
                <m:e>
                  <m:r>
                    <m:rPr>
                      <m:nor/>
                    </m:rPr>
                    <w:rPr>
                      <w:rFonts w:cs="Arial"/>
                      <w:i/>
                    </w:rPr>
                    <m:t>E</m:t>
                  </m:r>
                </m:e>
                <m:sub>
                  <m:r>
                    <m:rPr>
                      <m:nor/>
                    </m:rPr>
                    <w:rPr>
                      <w:rFonts w:cs="Arial"/>
                      <w:i/>
                    </w:rPr>
                    <m:t>i</m:t>
                  </m:r>
                </m:sub>
              </m:sSub>
              <m:sSub>
                <m:sSubPr>
                  <m:ctrlPr>
                    <w:rPr>
                      <w:rFonts w:ascii="Cambria Math" w:hAnsi="Cambria Math" w:cs="Arial"/>
                      <w:i/>
                    </w:rPr>
                  </m:ctrlPr>
                </m:sSubPr>
                <m:e>
                  <m:r>
                    <m:rPr>
                      <m:nor/>
                    </m:rPr>
                    <w:rPr>
                      <w:rFonts w:cs="Arial"/>
                      <w:i/>
                    </w:rPr>
                    <m:t>G</m:t>
                  </m:r>
                </m:e>
                <m:sub>
                  <m:r>
                    <m:rPr>
                      <m:nor/>
                    </m:rPr>
                    <w:rPr>
                      <w:rFonts w:cs="Arial"/>
                      <w:i/>
                    </w:rPr>
                    <m:t>i</m:t>
                  </m:r>
                </m:sub>
              </m:sSub>
            </m:e>
          </m:nary>
          <m:r>
            <m:rPr>
              <m:nor/>
            </m:rPr>
            <w:rPr>
              <w:rFonts w:cs="Arial"/>
              <w:i/>
            </w:rPr>
            <m:t xml:space="preserve"> </m:t>
          </m:r>
        </m:oMath>
      </m:oMathPara>
    </w:p>
    <w:p w:rsidR="00322CEB" w:rsidRPr="00DC3BDA" w:rsidRDefault="00322CEB" w:rsidP="00DC3BDA">
      <w:pPr>
        <w:rPr>
          <w:rFonts w:eastAsia="Calibri" w:cs="Arial"/>
        </w:rPr>
      </w:pPr>
      <w:r w:rsidRPr="00DC3BDA">
        <w:rPr>
          <w:rFonts w:cs="Arial"/>
        </w:rPr>
        <w:t xml:space="preserve">where </w:t>
      </w:r>
      <w:r w:rsidRPr="00DC3BDA">
        <w:rPr>
          <w:rFonts w:cs="Arial"/>
          <w:i/>
        </w:rPr>
        <w:t xml:space="preserve">j </w:t>
      </w:r>
      <w:r w:rsidRPr="00DC3BDA">
        <w:rPr>
          <w:rFonts w:cs="Arial"/>
        </w:rPr>
        <w:t xml:space="preserve">refers to the individual study site, </w:t>
      </w:r>
      <w:proofErr w:type="spellStart"/>
      <w:r w:rsidRPr="00DC3BDA">
        <w:rPr>
          <w:rFonts w:cs="Arial"/>
          <w:i/>
        </w:rPr>
        <w:t>i</w:t>
      </w:r>
      <w:proofErr w:type="spellEnd"/>
      <w:r w:rsidRPr="00DC3BDA">
        <w:rPr>
          <w:rFonts w:cs="Arial"/>
        </w:rPr>
        <w:t xml:space="preserve"> refers to each crop, </w:t>
      </w:r>
      <w:r w:rsidRPr="00DC3BDA">
        <w:rPr>
          <w:rFonts w:cs="Arial"/>
          <w:i/>
        </w:rPr>
        <w:t>P</w:t>
      </w:r>
      <w:r w:rsidRPr="00DC3BDA">
        <w:rPr>
          <w:rFonts w:cs="Arial"/>
        </w:rPr>
        <w:t xml:space="preserve"> is the total energy production (in GJ y</w:t>
      </w:r>
      <w:r w:rsidR="00254869" w:rsidRPr="00DC3BDA">
        <w:rPr>
          <w:rFonts w:cs="Arial"/>
        </w:rPr>
        <w:t>r</w:t>
      </w:r>
      <w:r w:rsidRPr="00DC3BDA">
        <w:rPr>
          <w:rFonts w:cs="Arial"/>
          <w:vertAlign w:val="superscript"/>
        </w:rPr>
        <w:t>-1</w:t>
      </w:r>
      <w:r w:rsidRPr="00DC3BDA">
        <w:rPr>
          <w:rFonts w:cs="Arial"/>
        </w:rPr>
        <w:t xml:space="preserve">), </w:t>
      </w:r>
      <w:r w:rsidRPr="00DC3BDA">
        <w:rPr>
          <w:rFonts w:cs="Arial"/>
          <w:i/>
        </w:rPr>
        <w:t>A</w:t>
      </w:r>
      <w:r w:rsidRPr="00DC3BDA">
        <w:rPr>
          <w:rFonts w:cs="Arial"/>
        </w:rPr>
        <w:t xml:space="preserve"> is the cropped area (ha) obtained from crop mapping, </w:t>
      </w:r>
      <w:r w:rsidRPr="00DC3BDA">
        <w:rPr>
          <w:rFonts w:cs="Arial"/>
          <w:i/>
        </w:rPr>
        <w:t>X</w:t>
      </w:r>
      <w:r w:rsidRPr="00DC3BDA">
        <w:rPr>
          <w:rFonts w:cs="Arial"/>
        </w:rPr>
        <w:t xml:space="preserve"> is the crop yield (t ha</w:t>
      </w:r>
      <w:r w:rsidRPr="00DC3BDA">
        <w:rPr>
          <w:rFonts w:cs="Arial"/>
          <w:vertAlign w:val="superscript"/>
        </w:rPr>
        <w:t>-1</w:t>
      </w:r>
      <w:r w:rsidRPr="00DC3BDA">
        <w:rPr>
          <w:rFonts w:cs="Arial"/>
        </w:rPr>
        <w:t xml:space="preserve"> y</w:t>
      </w:r>
      <w:r w:rsidR="00254869" w:rsidRPr="00DC3BDA">
        <w:rPr>
          <w:rFonts w:cs="Arial"/>
        </w:rPr>
        <w:t>r</w:t>
      </w:r>
      <w:r w:rsidRPr="00DC3BDA">
        <w:rPr>
          <w:rFonts w:cs="Arial"/>
          <w:vertAlign w:val="superscript"/>
        </w:rPr>
        <w:t>-1</w:t>
      </w:r>
      <w:r w:rsidRPr="00DC3BDA">
        <w:rPr>
          <w:rFonts w:cs="Arial"/>
        </w:rPr>
        <w:t xml:space="preserve">) primarily from interview data, </w:t>
      </w:r>
      <w:r w:rsidRPr="00DC3BDA">
        <w:rPr>
          <w:rFonts w:cs="Arial"/>
          <w:i/>
        </w:rPr>
        <w:t>E</w:t>
      </w:r>
      <w:r w:rsidRPr="00DC3BDA">
        <w:rPr>
          <w:rFonts w:cs="Arial"/>
        </w:rPr>
        <w:t xml:space="preserve"> is the proportion of each harvested crop that </w:t>
      </w:r>
      <w:r w:rsidR="0097568C" w:rsidRPr="00DC3BDA">
        <w:rPr>
          <w:rFonts w:cs="Arial"/>
        </w:rPr>
        <w:t xml:space="preserve">is edible (between 0 and 1, see </w:t>
      </w:r>
      <w:r w:rsidR="00F36DA1">
        <w:rPr>
          <w:rFonts w:cs="Arial"/>
        </w:rPr>
        <w:t>t</w:t>
      </w:r>
      <w:r w:rsidR="0097568C" w:rsidRPr="00DC3BDA">
        <w:rPr>
          <w:rFonts w:cs="Arial"/>
        </w:rPr>
        <w:t>able S3</w:t>
      </w:r>
      <w:r w:rsidRPr="00DC3BDA">
        <w:rPr>
          <w:rFonts w:cs="Arial"/>
        </w:rPr>
        <w:t xml:space="preserve">) and </w:t>
      </w:r>
      <w:r w:rsidRPr="00DC3BDA">
        <w:rPr>
          <w:rFonts w:cs="Arial"/>
          <w:i/>
        </w:rPr>
        <w:t>G</w:t>
      </w:r>
      <w:r w:rsidRPr="00DC3BDA">
        <w:rPr>
          <w:rFonts w:cs="Arial"/>
        </w:rPr>
        <w:t xml:space="preserve"> is the energy content per unit weight of processed crop (GJ t</w:t>
      </w:r>
      <w:r w:rsidRPr="00DC3BDA">
        <w:rPr>
          <w:rFonts w:cs="Arial"/>
          <w:vertAlign w:val="superscript"/>
        </w:rPr>
        <w:t>-1</w:t>
      </w:r>
      <w:r w:rsidRPr="00DC3BDA">
        <w:rPr>
          <w:rFonts w:cs="Arial"/>
        </w:rPr>
        <w:t xml:space="preserve">, based on </w:t>
      </w:r>
      <w:r w:rsidR="00992000">
        <w:rPr>
          <w:rFonts w:cs="Arial"/>
        </w:rPr>
        <w:t>ref. [7]</w:t>
      </w:r>
      <w:r w:rsidRPr="00DC3BDA">
        <w:rPr>
          <w:rFonts w:cs="Arial"/>
        </w:rPr>
        <w:t xml:space="preserve">. </w:t>
      </w:r>
      <w:r w:rsidR="00DA76D0">
        <w:rPr>
          <w:rFonts w:cs="Arial"/>
        </w:rPr>
        <w:t xml:space="preserve"> </w:t>
      </w:r>
      <w:r w:rsidRPr="00DC3BDA">
        <w:rPr>
          <w:rFonts w:cs="Arial"/>
        </w:rPr>
        <w:t>To convert the total energy production (in GJ</w:t>
      </w:r>
      <w:r w:rsidR="00254869" w:rsidRPr="00DC3BDA">
        <w:rPr>
          <w:rFonts w:cs="Arial"/>
        </w:rPr>
        <w:t xml:space="preserve"> yr</w:t>
      </w:r>
      <w:r w:rsidR="00254869" w:rsidRPr="00DC3BDA">
        <w:rPr>
          <w:rFonts w:cs="Arial"/>
          <w:vertAlign w:val="superscript"/>
        </w:rPr>
        <w:t>-1</w:t>
      </w:r>
      <w:r w:rsidRPr="00DC3BDA">
        <w:rPr>
          <w:rFonts w:cs="Arial"/>
        </w:rPr>
        <w:t>) into a measure of site-level yield (GJ ha</w:t>
      </w:r>
      <w:r w:rsidRPr="00DC3BDA">
        <w:rPr>
          <w:rFonts w:cs="Arial"/>
          <w:vertAlign w:val="superscript"/>
        </w:rPr>
        <w:t>-1</w:t>
      </w:r>
      <w:r w:rsidRPr="00DC3BDA">
        <w:rPr>
          <w:rFonts w:cs="Arial"/>
        </w:rPr>
        <w:t xml:space="preserve"> y</w:t>
      </w:r>
      <w:r w:rsidR="002C24E3" w:rsidRPr="00DC3BDA">
        <w:rPr>
          <w:rFonts w:cs="Arial"/>
        </w:rPr>
        <w:t>r</w:t>
      </w:r>
      <w:r w:rsidRPr="00DC3BDA">
        <w:rPr>
          <w:rFonts w:cs="Arial"/>
          <w:vertAlign w:val="superscript"/>
        </w:rPr>
        <w:t>-1</w:t>
      </w:r>
      <w:r w:rsidRPr="00DC3BDA">
        <w:rPr>
          <w:rFonts w:cs="Arial"/>
        </w:rPr>
        <w:t xml:space="preserve">), total production of each site was divided by the area of the study site (100ha). </w:t>
      </w:r>
      <w:r w:rsidR="00DA76D0">
        <w:rPr>
          <w:rFonts w:cs="Arial"/>
        </w:rPr>
        <w:t xml:space="preserve"> </w:t>
      </w:r>
      <w:r w:rsidRPr="00DC3BDA">
        <w:rPr>
          <w:rFonts w:cs="Arial"/>
        </w:rPr>
        <w:t xml:space="preserve">This provides a landscape-scale measure of agricultural yield, reflecting the proportion of the site which is </w:t>
      </w:r>
      <w:r w:rsidR="00254869" w:rsidRPr="00DC3BDA">
        <w:rPr>
          <w:rFonts w:cs="Arial"/>
        </w:rPr>
        <w:t xml:space="preserve">crop </w:t>
      </w:r>
      <w:proofErr w:type="spellStart"/>
      <w:r w:rsidR="00254869" w:rsidRPr="00DC3BDA">
        <w:rPr>
          <w:rFonts w:cs="Arial"/>
        </w:rPr>
        <w:t>vs</w:t>
      </w:r>
      <w:proofErr w:type="spellEnd"/>
      <w:r w:rsidR="00254869" w:rsidRPr="00DC3BDA">
        <w:rPr>
          <w:rFonts w:cs="Arial"/>
        </w:rPr>
        <w:t xml:space="preserve"> </w:t>
      </w:r>
      <w:r w:rsidRPr="00DC3BDA">
        <w:rPr>
          <w:rFonts w:cs="Arial"/>
        </w:rPr>
        <w:t xml:space="preserve">non-crop habitat, the types of crops grown within the site, and the in-field yield of those crops. </w:t>
      </w:r>
      <w:bookmarkStart w:id="0" w:name="_Ref437979513"/>
      <w:bookmarkStart w:id="1" w:name="_Ref425689871"/>
    </w:p>
    <w:bookmarkEnd w:id="0"/>
    <w:p w:rsidR="00761AA8" w:rsidRDefault="00761AA8">
      <w:pPr>
        <w:rPr>
          <w:rFonts w:eastAsia="Calibri" w:cs="Arial"/>
          <w:bCs/>
          <w:lang w:eastAsia="en-GB"/>
        </w:rPr>
      </w:pPr>
      <w:r>
        <w:br w:type="page"/>
      </w:r>
    </w:p>
    <w:p w:rsidR="00322CEB" w:rsidRPr="00DC3BDA" w:rsidRDefault="0097568C" w:rsidP="00C8013C">
      <w:r w:rsidRPr="00C8013C">
        <w:rPr>
          <w:b/>
        </w:rPr>
        <w:lastRenderedPageBreak/>
        <w:t>Table S</w:t>
      </w:r>
      <w:r w:rsidR="003E7023" w:rsidRPr="00C8013C">
        <w:rPr>
          <w:b/>
        </w:rPr>
        <w:t>3</w:t>
      </w:r>
      <w:r w:rsidRPr="00C8013C">
        <w:rPr>
          <w:b/>
        </w:rPr>
        <w:t>.</w:t>
      </w:r>
      <w:r w:rsidR="00322CEB" w:rsidRPr="00DC3BDA">
        <w:t xml:space="preserve"> Edible portions and energy content of edible mass for main crops.</w:t>
      </w:r>
    </w:p>
    <w:tbl>
      <w:tblPr>
        <w:tblW w:w="7180" w:type="dxa"/>
        <w:tblInd w:w="108" w:type="dxa"/>
        <w:tblLook w:val="04A0"/>
      </w:tblPr>
      <w:tblGrid>
        <w:gridCol w:w="1690"/>
        <w:gridCol w:w="1612"/>
        <w:gridCol w:w="1735"/>
        <w:gridCol w:w="2143"/>
      </w:tblGrid>
      <w:tr w:rsidR="00322CEB" w:rsidRPr="00DC3BDA" w:rsidTr="00C8013C">
        <w:trPr>
          <w:trHeight w:val="412"/>
        </w:trPr>
        <w:tc>
          <w:tcPr>
            <w:tcW w:w="1690" w:type="dxa"/>
            <w:tcBorders>
              <w:top w:val="single" w:sz="8" w:space="0" w:color="7F7F7F"/>
              <w:left w:val="nil"/>
              <w:bottom w:val="single" w:sz="4" w:space="0" w:color="auto"/>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rPr>
              <w:br w:type="page"/>
            </w:r>
            <w:r w:rsidRPr="00DC3BDA">
              <w:rPr>
                <w:rFonts w:ascii="Palatino Linotype" w:hAnsi="Palatino Linotype" w:cs="Arial"/>
                <w:sz w:val="22"/>
                <w:szCs w:val="22"/>
                <w:lang w:eastAsia="en-GB"/>
              </w:rPr>
              <w:t>Crop</w:t>
            </w:r>
          </w:p>
        </w:tc>
        <w:tc>
          <w:tcPr>
            <w:tcW w:w="1612" w:type="dxa"/>
            <w:tcBorders>
              <w:top w:val="single" w:sz="8" w:space="0" w:color="7F7F7F"/>
              <w:left w:val="nil"/>
              <w:bottom w:val="single" w:sz="4" w:space="0" w:color="auto"/>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Energy content</w:t>
            </w:r>
          </w:p>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(GJ t</w:t>
            </w:r>
            <w:r w:rsidRPr="00DC3BDA">
              <w:rPr>
                <w:rFonts w:ascii="Palatino Linotype" w:hAnsi="Palatino Linotype" w:cs="Arial"/>
                <w:sz w:val="22"/>
                <w:szCs w:val="22"/>
                <w:vertAlign w:val="superscript"/>
              </w:rPr>
              <w:t>-1</w:t>
            </w:r>
            <w:r w:rsidRPr="00DC3BDA">
              <w:rPr>
                <w:rFonts w:ascii="Palatino Linotype" w:hAnsi="Palatino Linotype" w:cs="Arial"/>
                <w:sz w:val="22"/>
                <w:szCs w:val="22"/>
                <w:lang w:eastAsia="en-GB"/>
              </w:rPr>
              <w:t>)</w:t>
            </w:r>
          </w:p>
        </w:tc>
        <w:tc>
          <w:tcPr>
            <w:tcW w:w="1735" w:type="dxa"/>
            <w:tcBorders>
              <w:top w:val="single" w:sz="8" w:space="0" w:color="7F7F7F"/>
              <w:left w:val="nil"/>
              <w:bottom w:val="single" w:sz="4" w:space="0" w:color="auto"/>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Edible Portion</w:t>
            </w:r>
          </w:p>
        </w:tc>
        <w:tc>
          <w:tcPr>
            <w:tcW w:w="2143" w:type="dxa"/>
            <w:tcBorders>
              <w:top w:val="single" w:sz="8" w:space="0" w:color="7F7F7F"/>
              <w:left w:val="nil"/>
              <w:bottom w:val="single" w:sz="4" w:space="0" w:color="auto"/>
              <w:right w:val="nil"/>
            </w:tcBorders>
            <w:shd w:val="clear" w:color="auto" w:fill="auto"/>
            <w:vAlign w:val="center"/>
            <w:hideMark/>
          </w:tcPr>
          <w:p w:rsidR="00322CEB" w:rsidRPr="00DC3BDA" w:rsidRDefault="00322CEB" w:rsidP="00992000">
            <w:pPr>
              <w:pStyle w:val="Table"/>
              <w:jc w:val="center"/>
              <w:rPr>
                <w:rFonts w:ascii="Palatino Linotype" w:hAnsi="Palatino Linotype" w:cs="Arial"/>
                <w:sz w:val="22"/>
                <w:szCs w:val="22"/>
                <w:lang w:eastAsia="en-GB"/>
              </w:rPr>
            </w:pPr>
            <w:r w:rsidRPr="00DC3BDA">
              <w:rPr>
                <w:rFonts w:ascii="Palatino Linotype" w:hAnsi="Palatino Linotype" w:cs="Arial"/>
                <w:sz w:val="22"/>
                <w:szCs w:val="22"/>
                <w:lang w:eastAsia="en-GB"/>
              </w:rPr>
              <w:t>Data Source</w:t>
            </w:r>
          </w:p>
        </w:tc>
      </w:tr>
      <w:tr w:rsidR="00322CEB" w:rsidRPr="00DC3BDA" w:rsidTr="00C8013C">
        <w:trPr>
          <w:trHeight w:val="330"/>
        </w:trPr>
        <w:tc>
          <w:tcPr>
            <w:tcW w:w="1690" w:type="dxa"/>
            <w:tcBorders>
              <w:top w:val="single" w:sz="4" w:space="0" w:color="auto"/>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Wheat</w:t>
            </w:r>
          </w:p>
        </w:tc>
        <w:tc>
          <w:tcPr>
            <w:tcW w:w="1612" w:type="dxa"/>
            <w:tcBorders>
              <w:top w:val="single" w:sz="4" w:space="0" w:color="auto"/>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14.28</w:t>
            </w:r>
          </w:p>
        </w:tc>
        <w:tc>
          <w:tcPr>
            <w:tcW w:w="1735" w:type="dxa"/>
            <w:tcBorders>
              <w:top w:val="single" w:sz="4" w:space="0" w:color="auto"/>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0.78</w:t>
            </w:r>
          </w:p>
        </w:tc>
        <w:tc>
          <w:tcPr>
            <w:tcW w:w="2143" w:type="dxa"/>
            <w:tcBorders>
              <w:top w:val="single" w:sz="4" w:space="0" w:color="auto"/>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Barley</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14.82</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0.78</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Rye</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14.15</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0.78</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Oats</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16.29</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0.78</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Triticale</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14.07</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0.78</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Maize</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15.28</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0.79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Buckwheat</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14.36</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0.79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r w:rsidR="00322CEB" w:rsidRPr="00DC3BDA">
              <w:rPr>
                <w:rFonts w:ascii="Palatino Linotype" w:hAnsi="Palatino Linotype" w:cs="Arial"/>
                <w:sz w:val="22"/>
                <w:szCs w:val="22"/>
                <w:vertAlign w:val="superscript"/>
                <w:lang w:eastAsia="en-GB"/>
              </w:rPr>
              <w:t>*1</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Oilseed rape</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37.01</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[9]</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Mustard</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37.01</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[9]</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Potato</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3.22</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Sugar beet</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1.8</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0.88</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[9]</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Pumpkin</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1.09</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0.7</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[10]</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Cabbage</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1.05</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0.8</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[10]</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Onions</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1.67</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r w:rsidR="00322CEB" w:rsidRPr="00DC3BDA">
              <w:rPr>
                <w:rFonts w:ascii="Palatino Linotype" w:hAnsi="Palatino Linotype" w:cs="Arial"/>
                <w:sz w:val="22"/>
                <w:szCs w:val="22"/>
                <w:vertAlign w:val="superscript"/>
                <w:lang w:eastAsia="en-GB"/>
              </w:rPr>
              <w:t>*2</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Carrots</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1.72</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r w:rsidR="00322CEB" w:rsidRPr="00DC3BDA">
              <w:rPr>
                <w:rFonts w:ascii="Palatino Linotype" w:hAnsi="Palatino Linotype" w:cs="Arial"/>
                <w:sz w:val="22"/>
                <w:szCs w:val="22"/>
                <w:vertAlign w:val="superscript"/>
                <w:lang w:eastAsia="en-GB"/>
              </w:rPr>
              <w:t>*2</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Beetroot</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1.8</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r w:rsidR="00322CEB" w:rsidRPr="00DC3BDA">
              <w:rPr>
                <w:rFonts w:ascii="Palatino Linotype" w:hAnsi="Palatino Linotype" w:cs="Arial"/>
                <w:sz w:val="22"/>
                <w:szCs w:val="22"/>
                <w:vertAlign w:val="superscript"/>
                <w:lang w:eastAsia="en-GB"/>
              </w:rPr>
              <w:t>*2</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Peas</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3.39</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r w:rsidR="00322CEB" w:rsidRPr="00DC3BDA">
              <w:rPr>
                <w:rFonts w:ascii="Palatino Linotype" w:hAnsi="Palatino Linotype" w:cs="Arial"/>
                <w:sz w:val="22"/>
                <w:szCs w:val="22"/>
                <w:vertAlign w:val="superscript"/>
                <w:lang w:eastAsia="en-GB"/>
              </w:rPr>
              <w:t>*2</w:t>
            </w:r>
          </w:p>
        </w:tc>
      </w:tr>
      <w:tr w:rsidR="00322CEB" w:rsidRPr="00DC3BDA" w:rsidTr="00C8013C">
        <w:trPr>
          <w:trHeight w:val="330"/>
        </w:trPr>
        <w:tc>
          <w:tcPr>
            <w:tcW w:w="1690"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Beans</w:t>
            </w:r>
          </w:p>
        </w:tc>
        <w:tc>
          <w:tcPr>
            <w:tcW w:w="1612" w:type="dxa"/>
            <w:tcBorders>
              <w:top w:val="nil"/>
              <w:left w:val="nil"/>
              <w:bottom w:val="nil"/>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1.3</w:t>
            </w:r>
          </w:p>
        </w:tc>
        <w:tc>
          <w:tcPr>
            <w:tcW w:w="1735" w:type="dxa"/>
            <w:tcBorders>
              <w:top w:val="nil"/>
              <w:left w:val="nil"/>
              <w:bottom w:val="nil"/>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0.9</w:t>
            </w:r>
          </w:p>
        </w:tc>
        <w:tc>
          <w:tcPr>
            <w:tcW w:w="2143" w:type="dxa"/>
            <w:tcBorders>
              <w:top w:val="nil"/>
              <w:left w:val="nil"/>
              <w:bottom w:val="nil"/>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r w:rsidR="00322CEB" w:rsidRPr="00DC3BDA">
              <w:rPr>
                <w:rFonts w:ascii="Palatino Linotype" w:hAnsi="Palatino Linotype" w:cs="Arial"/>
                <w:sz w:val="22"/>
                <w:szCs w:val="22"/>
                <w:vertAlign w:val="superscript"/>
                <w:lang w:eastAsia="en-GB"/>
              </w:rPr>
              <w:t>*2</w:t>
            </w:r>
          </w:p>
        </w:tc>
      </w:tr>
      <w:tr w:rsidR="00322CEB" w:rsidRPr="00DC3BDA" w:rsidTr="00C8013C">
        <w:trPr>
          <w:trHeight w:val="330"/>
        </w:trPr>
        <w:tc>
          <w:tcPr>
            <w:tcW w:w="1690" w:type="dxa"/>
            <w:tcBorders>
              <w:top w:val="nil"/>
              <w:left w:val="nil"/>
              <w:bottom w:val="single" w:sz="8" w:space="0" w:color="7F7F7F"/>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Market garden</w:t>
            </w:r>
          </w:p>
        </w:tc>
        <w:tc>
          <w:tcPr>
            <w:tcW w:w="1612" w:type="dxa"/>
            <w:tcBorders>
              <w:top w:val="nil"/>
              <w:left w:val="nil"/>
              <w:bottom w:val="single" w:sz="8" w:space="0" w:color="7F7F7F"/>
              <w:right w:val="nil"/>
            </w:tcBorders>
            <w:vAlign w:val="center"/>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1.72</w:t>
            </w:r>
          </w:p>
        </w:tc>
        <w:tc>
          <w:tcPr>
            <w:tcW w:w="1735" w:type="dxa"/>
            <w:tcBorders>
              <w:top w:val="nil"/>
              <w:left w:val="nil"/>
              <w:bottom w:val="single" w:sz="8" w:space="0" w:color="7F7F7F"/>
              <w:right w:val="nil"/>
            </w:tcBorders>
            <w:shd w:val="clear" w:color="auto" w:fill="auto"/>
            <w:vAlign w:val="center"/>
            <w:hideMark/>
          </w:tcPr>
          <w:p w:rsidR="00322CEB" w:rsidRPr="00DC3BDA" w:rsidRDefault="00322CEB" w:rsidP="00DC3BDA">
            <w:pPr>
              <w:pStyle w:val="Table"/>
              <w:rPr>
                <w:rFonts w:ascii="Palatino Linotype" w:hAnsi="Palatino Linotype" w:cs="Arial"/>
                <w:sz w:val="22"/>
                <w:szCs w:val="22"/>
                <w:lang w:eastAsia="en-GB"/>
              </w:rPr>
            </w:pPr>
            <w:r w:rsidRPr="00DC3BDA">
              <w:rPr>
                <w:rFonts w:ascii="Palatino Linotype" w:hAnsi="Palatino Linotype" w:cs="Arial"/>
                <w:sz w:val="22"/>
                <w:szCs w:val="22"/>
                <w:lang w:eastAsia="en-GB"/>
              </w:rPr>
              <w:t>0.9</w:t>
            </w:r>
          </w:p>
        </w:tc>
        <w:tc>
          <w:tcPr>
            <w:tcW w:w="2143" w:type="dxa"/>
            <w:tcBorders>
              <w:top w:val="nil"/>
              <w:left w:val="nil"/>
              <w:bottom w:val="single" w:sz="8" w:space="0" w:color="7F7F7F"/>
              <w:right w:val="nil"/>
            </w:tcBorders>
            <w:shd w:val="clear" w:color="auto" w:fill="auto"/>
            <w:vAlign w:val="center"/>
            <w:hideMark/>
          </w:tcPr>
          <w:p w:rsidR="00322CEB" w:rsidRPr="00DC3BDA" w:rsidRDefault="00992000" w:rsidP="007A046D">
            <w:pPr>
              <w:pStyle w:val="Table"/>
              <w:tabs>
                <w:tab w:val="clear" w:pos="851"/>
              </w:tabs>
              <w:ind w:left="772"/>
              <w:rPr>
                <w:rFonts w:ascii="Palatino Linotype" w:hAnsi="Palatino Linotype" w:cs="Arial"/>
                <w:sz w:val="22"/>
                <w:szCs w:val="22"/>
                <w:lang w:eastAsia="en-GB"/>
              </w:rPr>
            </w:pPr>
            <w:r>
              <w:rPr>
                <w:rFonts w:ascii="Palatino Linotype" w:hAnsi="Palatino Linotype" w:cs="Arial"/>
                <w:sz w:val="22"/>
                <w:szCs w:val="22"/>
                <w:lang w:eastAsia="en-GB"/>
              </w:rPr>
              <w:t>[8]</w:t>
            </w:r>
          </w:p>
        </w:tc>
      </w:tr>
    </w:tbl>
    <w:bookmarkEnd w:id="1"/>
    <w:p w:rsidR="00322CEB" w:rsidRPr="00DC3BDA" w:rsidRDefault="00322CEB" w:rsidP="00C8013C">
      <w:pPr>
        <w:spacing w:before="120"/>
      </w:pPr>
      <w:r w:rsidRPr="00DC3BDA">
        <w:t xml:space="preserve">Where data on edible portion of crops were not available (as indicated by asterisks), data for similar crops were used as surrogates as follows: </w:t>
      </w:r>
      <w:r w:rsidR="008A5802" w:rsidRPr="00DC3BDA">
        <w:t>(*</w:t>
      </w:r>
      <w:r w:rsidRPr="00DC3BDA">
        <w:t>1</w:t>
      </w:r>
      <w:r w:rsidR="008A5802" w:rsidRPr="00DC3BDA">
        <w:t>)</w:t>
      </w:r>
      <w:r w:rsidRPr="00DC3BDA">
        <w:t xml:space="preserve"> sorghum; </w:t>
      </w:r>
      <w:r w:rsidR="008A5802" w:rsidRPr="00DC3BDA">
        <w:t>(*</w:t>
      </w:r>
      <w:r w:rsidRPr="00DC3BDA">
        <w:t>2</w:t>
      </w:r>
      <w:r w:rsidR="008A5802" w:rsidRPr="00DC3BDA">
        <w:t>)</w:t>
      </w:r>
      <w:r w:rsidRPr="00DC3BDA">
        <w:t xml:space="preserve"> root vegetables.</w:t>
      </w:r>
      <w:r w:rsidR="00DA76D0">
        <w:t xml:space="preserve"> </w:t>
      </w:r>
      <w:r w:rsidRPr="00DC3BDA">
        <w:t xml:space="preserve"> Energy content for land classified as a ‘market garden’ was calculated based on an average market garden, assuming equal proportions of the main crop types observed in this land use (potatoes, beans, onions, carrots, cabbages and strawberries).</w:t>
      </w:r>
      <w:r w:rsidR="00DA76D0">
        <w:t xml:space="preserve"> </w:t>
      </w:r>
      <w:r w:rsidRPr="00DC3BDA">
        <w:t xml:space="preserve"> Energy content is based on </w:t>
      </w:r>
      <w:r w:rsidR="00992000">
        <w:t>ref. [7].</w:t>
      </w:r>
    </w:p>
    <w:p w:rsidR="00322CEB" w:rsidRPr="00DC3BDA" w:rsidRDefault="00322CEB" w:rsidP="00DC3BDA">
      <w:pPr>
        <w:rPr>
          <w:rFonts w:cs="Arial"/>
        </w:rPr>
      </w:pPr>
      <w:r w:rsidRPr="00DC3BDA">
        <w:rPr>
          <w:rFonts w:cs="Arial"/>
        </w:rPr>
        <w:t xml:space="preserve">The inter-annual variation in production of each site due to crop rotation was relatively small, and the ranking of sites (from lowest to highest) based on total production did not change between years. </w:t>
      </w:r>
      <w:r w:rsidR="00DA76D0">
        <w:rPr>
          <w:rFonts w:cs="Arial"/>
        </w:rPr>
        <w:t xml:space="preserve"> </w:t>
      </w:r>
      <w:r w:rsidRPr="00DC3BDA">
        <w:rPr>
          <w:rFonts w:cs="Arial"/>
        </w:rPr>
        <w:t>The limited effect of crop rotation on total production is most likely to due to the large number of small fields within most 1</w:t>
      </w:r>
      <w:r w:rsidR="004F61EB">
        <w:rPr>
          <w:rFonts w:cs="Arial"/>
        </w:rPr>
        <w:t xml:space="preserve"> </w:t>
      </w:r>
      <w:r w:rsidRPr="00DC3BDA">
        <w:rPr>
          <w:rFonts w:cs="Arial"/>
        </w:rPr>
        <w:t>km</w:t>
      </w:r>
      <w:r w:rsidRPr="00DC3BDA">
        <w:rPr>
          <w:rFonts w:cs="Arial"/>
          <w:vertAlign w:val="superscript"/>
        </w:rPr>
        <w:t>2</w:t>
      </w:r>
      <w:r w:rsidRPr="00DC3BDA">
        <w:rPr>
          <w:rFonts w:cs="Arial"/>
        </w:rPr>
        <w:t xml:space="preserve"> sites – </w:t>
      </w:r>
      <w:r w:rsidR="002778E3">
        <w:rPr>
          <w:rFonts w:cs="Arial"/>
        </w:rPr>
        <w:t xml:space="preserve">hence </w:t>
      </w:r>
      <w:r w:rsidRPr="00DC3BDA">
        <w:rPr>
          <w:rFonts w:cs="Arial"/>
        </w:rPr>
        <w:t>although crops grown in some fields changed, the total area</w:t>
      </w:r>
      <w:r w:rsidR="002778E3" w:rsidRPr="002778E3">
        <w:rPr>
          <w:rFonts w:cs="Arial"/>
        </w:rPr>
        <w:t xml:space="preserve"> </w:t>
      </w:r>
      <w:r w:rsidR="002778E3" w:rsidRPr="00DC3BDA">
        <w:rPr>
          <w:rFonts w:cs="Arial"/>
        </w:rPr>
        <w:t>of the whole site</w:t>
      </w:r>
      <w:r w:rsidR="002778E3">
        <w:rPr>
          <w:rFonts w:cs="Arial"/>
        </w:rPr>
        <w:t xml:space="preserve"> that was</w:t>
      </w:r>
      <w:r w:rsidRPr="00DC3BDA">
        <w:rPr>
          <w:rFonts w:cs="Arial"/>
        </w:rPr>
        <w:t xml:space="preserve"> under each crop did not alter dramatically between years. </w:t>
      </w:r>
      <w:r w:rsidR="00DA76D0">
        <w:rPr>
          <w:rFonts w:cs="Arial"/>
        </w:rPr>
        <w:t xml:space="preserve"> </w:t>
      </w:r>
      <w:r w:rsidRPr="00DC3BDA">
        <w:rPr>
          <w:rFonts w:cs="Arial"/>
        </w:rPr>
        <w:t>For subsequent analysis, total energy yield data were therefore averaged over the two-year period.</w:t>
      </w:r>
    </w:p>
    <w:p w:rsidR="00322CEB" w:rsidRPr="00DC3BDA" w:rsidRDefault="00322CEB" w:rsidP="00DC3BDA">
      <w:pPr>
        <w:rPr>
          <w:rFonts w:cs="Arial"/>
          <w:b/>
        </w:rPr>
      </w:pPr>
      <w:r w:rsidRPr="00DC3BDA">
        <w:rPr>
          <w:rFonts w:cs="Arial"/>
          <w:b/>
        </w:rPr>
        <w:t>Special cases</w:t>
      </w:r>
    </w:p>
    <w:p w:rsidR="00322CEB" w:rsidRPr="00DC3BDA" w:rsidRDefault="00322CEB" w:rsidP="00DC3BDA">
      <w:pPr>
        <w:rPr>
          <w:rFonts w:cs="Arial"/>
        </w:rPr>
      </w:pPr>
      <w:r w:rsidRPr="00DC3BDA">
        <w:rPr>
          <w:rFonts w:cs="Arial"/>
        </w:rPr>
        <w:t xml:space="preserve">Beef cows were the primary recipients of fodder crops grown in </w:t>
      </w:r>
      <w:r w:rsidR="00254869" w:rsidRPr="00DC3BDA">
        <w:rPr>
          <w:rFonts w:cs="Arial"/>
        </w:rPr>
        <w:t xml:space="preserve">our </w:t>
      </w:r>
      <w:r w:rsidRPr="00DC3BDA">
        <w:rPr>
          <w:rFonts w:cs="Arial"/>
        </w:rPr>
        <w:t xml:space="preserve">study sites. </w:t>
      </w:r>
      <w:r w:rsidR="00DA76D0">
        <w:rPr>
          <w:rFonts w:cs="Arial"/>
        </w:rPr>
        <w:t xml:space="preserve"> </w:t>
      </w:r>
      <w:r w:rsidRPr="00DC3BDA">
        <w:rPr>
          <w:rFonts w:cs="Arial"/>
        </w:rPr>
        <w:t>A feed conversion ratio (FCR) was used to estimate the weight of added body mass produced per unit weight of fodder for both hay (FCR = 11.2) and silage systems (FCR = 5.9, based</w:t>
      </w:r>
      <w:r w:rsidR="00DE4C8D">
        <w:rPr>
          <w:rFonts w:cs="Arial"/>
        </w:rPr>
        <w:t xml:space="preserve"> on ref. </w:t>
      </w:r>
      <w:r w:rsidR="00DE4C8D" w:rsidRPr="00DE4C8D">
        <w:rPr>
          <w:rFonts w:cs="Arial"/>
        </w:rPr>
        <w:t>[11</w:t>
      </w:r>
      <w:r w:rsidR="00DE4C8D">
        <w:rPr>
          <w:rFonts w:cs="Arial"/>
        </w:rPr>
        <w:t>]</w:t>
      </w:r>
      <w:r w:rsidRPr="00DC3BDA">
        <w:rPr>
          <w:rFonts w:cs="Arial"/>
        </w:rPr>
        <w:t xml:space="preserve"> </w:t>
      </w:r>
      <w:r w:rsidRPr="00FC7C07">
        <w:rPr>
          <w:rFonts w:cs="Arial"/>
        </w:rPr>
        <w:t>an</w:t>
      </w:r>
      <w:r w:rsidRPr="00DC3BDA">
        <w:rPr>
          <w:rFonts w:cs="Arial"/>
        </w:rPr>
        <w:t>d assuming no additional dietary supplements).</w:t>
      </w:r>
      <w:r w:rsidR="00DA76D0">
        <w:rPr>
          <w:rFonts w:cs="Arial"/>
        </w:rPr>
        <w:t xml:space="preserve"> </w:t>
      </w:r>
      <w:r w:rsidRPr="00DC3BDA">
        <w:rPr>
          <w:rFonts w:cs="Arial"/>
        </w:rPr>
        <w:t xml:space="preserve"> We then assumed that 72% of the </w:t>
      </w:r>
      <w:r w:rsidRPr="00DC3BDA">
        <w:rPr>
          <w:rFonts w:cs="Arial"/>
        </w:rPr>
        <w:lastRenderedPageBreak/>
        <w:t>carcass weight was edible (including meat and offal)</w:t>
      </w:r>
      <w:r w:rsidR="007E5075">
        <w:rPr>
          <w:rFonts w:cs="Arial"/>
        </w:rPr>
        <w:t xml:space="preserve"> [7</w:t>
      </w:r>
      <w:proofErr w:type="gramStart"/>
      <w:r w:rsidR="007E5075">
        <w:rPr>
          <w:rFonts w:cs="Arial"/>
        </w:rPr>
        <w:t>,1</w:t>
      </w:r>
      <w:r w:rsidR="00DE4C8D">
        <w:rPr>
          <w:rFonts w:cs="Arial"/>
        </w:rPr>
        <w:t>2</w:t>
      </w:r>
      <w:proofErr w:type="gramEnd"/>
      <w:r w:rsidR="007E5075">
        <w:rPr>
          <w:rFonts w:cs="Arial"/>
        </w:rPr>
        <w:t>].</w:t>
      </w:r>
      <w:r w:rsidRPr="00DC3BDA">
        <w:rPr>
          <w:rFonts w:cs="Arial"/>
        </w:rPr>
        <w:t xml:space="preserve"> </w:t>
      </w:r>
      <w:r w:rsidR="00DA76D0">
        <w:rPr>
          <w:rFonts w:cs="Arial"/>
        </w:rPr>
        <w:t xml:space="preserve"> </w:t>
      </w:r>
      <w:r w:rsidRPr="00DC3BDA">
        <w:rPr>
          <w:rFonts w:cs="Arial"/>
        </w:rPr>
        <w:t>Therefore, energy yield of fodder crops were expressed as the energy yield of edible beef per ha of fodder crop: 0.77GJ ha</w:t>
      </w:r>
      <w:r w:rsidRPr="00DC3BDA">
        <w:rPr>
          <w:rFonts w:cs="Arial"/>
          <w:vertAlign w:val="superscript"/>
        </w:rPr>
        <w:t>-1</w:t>
      </w:r>
      <w:r w:rsidR="002778E3">
        <w:rPr>
          <w:rFonts w:cs="Arial"/>
        </w:rPr>
        <w:t>yr</w:t>
      </w:r>
      <w:r w:rsidR="002778E3">
        <w:rPr>
          <w:rFonts w:cs="Arial"/>
          <w:vertAlign w:val="superscript"/>
        </w:rPr>
        <w:t>-1</w:t>
      </w:r>
      <w:r w:rsidRPr="00DC3BDA">
        <w:rPr>
          <w:rFonts w:cs="Arial"/>
        </w:rPr>
        <w:t xml:space="preserve"> for hay, and 1.45GJ ha</w:t>
      </w:r>
      <w:r w:rsidRPr="00DC3BDA">
        <w:rPr>
          <w:rFonts w:cs="Arial"/>
          <w:vertAlign w:val="superscript"/>
        </w:rPr>
        <w:t>-1</w:t>
      </w:r>
      <w:r w:rsidR="002778E3">
        <w:rPr>
          <w:rFonts w:cs="Arial"/>
        </w:rPr>
        <w:t>yr</w:t>
      </w:r>
      <w:r w:rsidR="002778E3">
        <w:rPr>
          <w:rFonts w:cs="Arial"/>
          <w:vertAlign w:val="superscript"/>
        </w:rPr>
        <w:t>-1</w:t>
      </w:r>
      <w:r w:rsidRPr="00DC3BDA">
        <w:rPr>
          <w:rFonts w:cs="Arial"/>
        </w:rPr>
        <w:t xml:space="preserve"> for silage. </w:t>
      </w:r>
    </w:p>
    <w:p w:rsidR="00322CEB" w:rsidRDefault="00322CEB" w:rsidP="00DC3BDA">
      <w:pPr>
        <w:rPr>
          <w:rFonts w:cs="Arial"/>
        </w:rPr>
      </w:pPr>
      <w:r w:rsidRPr="00DC3BDA">
        <w:rPr>
          <w:rFonts w:cs="Arial"/>
        </w:rPr>
        <w:t>Some farms, particularly those in lower-yielding mosaics, had small areas for mixed fruit and vegetable production close to the farmhouse (</w:t>
      </w:r>
      <w:r w:rsidR="005D69A9" w:rsidRPr="00DC3BDA">
        <w:rPr>
          <w:rFonts w:cs="Arial"/>
        </w:rPr>
        <w:t>‘</w:t>
      </w:r>
      <w:r w:rsidRPr="00DC3BDA">
        <w:rPr>
          <w:rFonts w:cs="Arial"/>
        </w:rPr>
        <w:t>market gardens</w:t>
      </w:r>
      <w:r w:rsidR="005D69A9" w:rsidRPr="00DC3BDA">
        <w:rPr>
          <w:rFonts w:cs="Arial"/>
        </w:rPr>
        <w:t>’</w:t>
      </w:r>
      <w:r w:rsidRPr="00DC3BDA">
        <w:rPr>
          <w:rFonts w:cs="Arial"/>
        </w:rPr>
        <w:t xml:space="preserve">). </w:t>
      </w:r>
      <w:r w:rsidR="00DA76D0">
        <w:rPr>
          <w:rFonts w:cs="Arial"/>
        </w:rPr>
        <w:t xml:space="preserve"> </w:t>
      </w:r>
      <w:r w:rsidRPr="00DC3BDA">
        <w:rPr>
          <w:rFonts w:cs="Arial"/>
        </w:rPr>
        <w:t xml:space="preserve">As the areas under each crop were often very small, occasionally with co-cropping, it was difficult to get an accurate estimate of individual crop areas. Therefore, the most common crops found in such land use were identified (potatoes, beans, onions, carrots, cabbages and strawberries) and production was estimated assuming equal areas of each of these crops. </w:t>
      </w:r>
    </w:p>
    <w:p w:rsidR="0087594D" w:rsidRPr="00DC3BDA" w:rsidRDefault="0087594D" w:rsidP="00DC3BDA">
      <w:pPr>
        <w:rPr>
          <w:rFonts w:cs="Arial"/>
        </w:rPr>
      </w:pPr>
    </w:p>
    <w:p w:rsidR="00984678" w:rsidRPr="00DC3BDA" w:rsidRDefault="00984678" w:rsidP="00C8013C">
      <w:pPr>
        <w:pStyle w:val="ListParagraph"/>
        <w:numPr>
          <w:ilvl w:val="0"/>
          <w:numId w:val="2"/>
        </w:numPr>
        <w:ind w:left="357" w:hanging="357"/>
        <w:rPr>
          <w:rFonts w:cs="Arial"/>
          <w:b/>
        </w:rPr>
      </w:pPr>
      <w:bookmarkStart w:id="2" w:name="_Ref425588968"/>
      <w:bookmarkStart w:id="3" w:name="_Ref438480662"/>
      <w:r w:rsidRPr="00DC3BDA">
        <w:rPr>
          <w:rFonts w:cs="Arial"/>
          <w:b/>
        </w:rPr>
        <w:t xml:space="preserve">Measuring </w:t>
      </w:r>
      <w:r w:rsidR="00043289" w:rsidRPr="00DC3BDA">
        <w:rPr>
          <w:rFonts w:cs="Arial"/>
          <w:b/>
        </w:rPr>
        <w:t>population densities</w:t>
      </w:r>
      <w:r w:rsidRPr="00DC3BDA">
        <w:rPr>
          <w:rFonts w:cs="Arial"/>
          <w:b/>
        </w:rPr>
        <w:t xml:space="preserve"> of bird</w:t>
      </w:r>
      <w:r w:rsidR="00043289" w:rsidRPr="00DC3BDA">
        <w:rPr>
          <w:rFonts w:cs="Arial"/>
          <w:b/>
        </w:rPr>
        <w:t xml:space="preserve"> specie</w:t>
      </w:r>
      <w:r w:rsidRPr="00DC3BDA">
        <w:rPr>
          <w:rFonts w:cs="Arial"/>
          <w:b/>
        </w:rPr>
        <w:t>s</w:t>
      </w:r>
    </w:p>
    <w:p w:rsidR="004A579D" w:rsidRPr="00DC3BDA" w:rsidRDefault="004A579D" w:rsidP="00DC3BDA">
      <w:pPr>
        <w:rPr>
          <w:rFonts w:cs="Arial"/>
        </w:rPr>
      </w:pPr>
      <w:r w:rsidRPr="00DC3BDA">
        <w:rPr>
          <w:rFonts w:cs="Arial"/>
        </w:rPr>
        <w:t>Birds were surveyed at each site in the breeding seasons of 2013 and 2014.  Two daytime visits per site were completed each year: one early visit (mid-April to late-May) and one late visit (early June to mid-July).</w:t>
      </w:r>
      <w:r w:rsidR="00DA76D0">
        <w:rPr>
          <w:rFonts w:cs="Arial"/>
        </w:rPr>
        <w:t xml:space="preserve"> </w:t>
      </w:r>
      <w:r w:rsidRPr="00DC3BDA">
        <w:rPr>
          <w:rFonts w:cs="Arial"/>
        </w:rPr>
        <w:t xml:space="preserve"> Two parallel 1-km transects were walked, traversing the study site 500 m apart and 250 m from the nearest square edge, starting within 30 minutes of sunrise, and ending within 4 hours.</w:t>
      </w:r>
      <w:r w:rsidR="00DA76D0">
        <w:rPr>
          <w:rFonts w:cs="Arial"/>
        </w:rPr>
        <w:t xml:space="preserve"> </w:t>
      </w:r>
      <w:r w:rsidRPr="00DC3BDA">
        <w:rPr>
          <w:rFonts w:cs="Arial"/>
        </w:rPr>
        <w:t xml:space="preserve"> Perpendicular distances from the transect line to the point of first detection of each bird were estimated and checked using a laser range finder. In addition to this, a single dusk survey was also completed at each site in order to capture data on crepuscular and nocturnal species, including Aquatic Warbler, </w:t>
      </w:r>
      <w:proofErr w:type="spellStart"/>
      <w:r w:rsidR="00EE04C6" w:rsidRPr="00DC3BDA">
        <w:rPr>
          <w:rFonts w:cs="Arial"/>
          <w:i/>
        </w:rPr>
        <w:t>Acrocephalus</w:t>
      </w:r>
      <w:proofErr w:type="spellEnd"/>
      <w:r w:rsidR="00EE04C6" w:rsidRPr="00DC3BDA">
        <w:rPr>
          <w:rFonts w:cs="Arial"/>
          <w:i/>
        </w:rPr>
        <w:t xml:space="preserve"> </w:t>
      </w:r>
      <w:proofErr w:type="spellStart"/>
      <w:r w:rsidR="00EE04C6" w:rsidRPr="00DC3BDA">
        <w:rPr>
          <w:rFonts w:cs="Arial"/>
          <w:i/>
        </w:rPr>
        <w:t>paludicola</w:t>
      </w:r>
      <w:proofErr w:type="spellEnd"/>
      <w:r w:rsidRPr="00DC3BDA">
        <w:rPr>
          <w:rFonts w:cs="Arial"/>
        </w:rPr>
        <w:t xml:space="preserve">, and Great Snipe, </w:t>
      </w:r>
      <w:proofErr w:type="spellStart"/>
      <w:r w:rsidR="00EE04C6" w:rsidRPr="00DC3BDA">
        <w:rPr>
          <w:rFonts w:cs="Arial"/>
          <w:i/>
        </w:rPr>
        <w:t>Gallinago</w:t>
      </w:r>
      <w:proofErr w:type="spellEnd"/>
      <w:r w:rsidR="00EE04C6" w:rsidRPr="00DC3BDA">
        <w:rPr>
          <w:rFonts w:cs="Arial"/>
          <w:i/>
        </w:rPr>
        <w:t xml:space="preserve"> media</w:t>
      </w:r>
      <w:r w:rsidRPr="00DC3BDA">
        <w:rPr>
          <w:rFonts w:cs="Arial"/>
        </w:rPr>
        <w:t xml:space="preserve">. </w:t>
      </w:r>
      <w:r w:rsidR="00DA76D0">
        <w:rPr>
          <w:rFonts w:cs="Arial"/>
        </w:rPr>
        <w:t xml:space="preserve"> </w:t>
      </w:r>
      <w:r w:rsidRPr="00DC3BDA">
        <w:rPr>
          <w:rFonts w:cs="Arial"/>
        </w:rPr>
        <w:t xml:space="preserve">Evening surveys took place in the middle of the breeding season in 2013 (from mid-May to mid-June), with the aim of collecting data during the period of peak breeding activity. </w:t>
      </w:r>
      <w:r w:rsidR="00DA76D0">
        <w:rPr>
          <w:rFonts w:cs="Arial"/>
        </w:rPr>
        <w:t xml:space="preserve"> </w:t>
      </w:r>
      <w:r w:rsidRPr="00DC3BDA">
        <w:rPr>
          <w:rFonts w:cs="Arial"/>
        </w:rPr>
        <w:t>These surveys followed the same transects as the dawn surveys and began at one hour before sunset, continuing for ~2 hours after sunset – and so aimed to capture activity of both evening- and night-active birds.</w:t>
      </w:r>
    </w:p>
    <w:p w:rsidR="004452D2" w:rsidRPr="00DC3BDA" w:rsidRDefault="00313100" w:rsidP="00DC3BDA">
      <w:pPr>
        <w:rPr>
          <w:rFonts w:eastAsia="Calibri" w:cs="Arial"/>
        </w:rPr>
      </w:pPr>
      <w:r w:rsidRPr="00DC3BDA">
        <w:rPr>
          <w:rFonts w:cs="Arial"/>
        </w:rPr>
        <w:t>S</w:t>
      </w:r>
      <w:r w:rsidR="004452D2" w:rsidRPr="00DC3BDA">
        <w:rPr>
          <w:rFonts w:cs="Arial"/>
        </w:rPr>
        <w:t>even species</w:t>
      </w:r>
      <w:r w:rsidRPr="00DC3BDA">
        <w:rPr>
          <w:rFonts w:cs="Arial"/>
        </w:rPr>
        <w:t xml:space="preserve"> of swifts, swallows, martins and terns</w:t>
      </w:r>
      <w:r w:rsidR="004452D2" w:rsidRPr="00DC3BDA">
        <w:rPr>
          <w:rFonts w:cs="Arial"/>
        </w:rPr>
        <w:t xml:space="preserve"> were excluded from the analyses as it is difficult to obtain reliable estimates of population density</w:t>
      </w:r>
      <w:r w:rsidRPr="00DC3BDA">
        <w:rPr>
          <w:rFonts w:cs="Arial"/>
        </w:rPr>
        <w:t xml:space="preserve"> of largely aerial</w:t>
      </w:r>
      <w:r w:rsidR="004452D2" w:rsidRPr="00DC3BDA">
        <w:rPr>
          <w:rFonts w:cs="Arial"/>
        </w:rPr>
        <w:t xml:space="preserve"> </w:t>
      </w:r>
      <w:r w:rsidRPr="00DC3BDA">
        <w:rPr>
          <w:rFonts w:cs="Arial"/>
        </w:rPr>
        <w:t xml:space="preserve">birds </w:t>
      </w:r>
      <w:r w:rsidR="004452D2" w:rsidRPr="00DC3BDA">
        <w:rPr>
          <w:rFonts w:cs="Arial"/>
        </w:rPr>
        <w:t xml:space="preserve">using Distance </w:t>
      </w:r>
      <w:r w:rsidR="00D64892" w:rsidRPr="00DC3BDA">
        <w:rPr>
          <w:rFonts w:cs="Arial"/>
        </w:rPr>
        <w:t>s</w:t>
      </w:r>
      <w:r w:rsidR="004452D2" w:rsidRPr="00DC3BDA">
        <w:rPr>
          <w:rFonts w:cs="Arial"/>
        </w:rPr>
        <w:t xml:space="preserve">ampling techniques. </w:t>
      </w:r>
      <w:r w:rsidR="00DA76D0">
        <w:rPr>
          <w:rFonts w:cs="Arial"/>
        </w:rPr>
        <w:t xml:space="preserve"> </w:t>
      </w:r>
      <w:r w:rsidR="004452D2" w:rsidRPr="00DC3BDA">
        <w:rPr>
          <w:rFonts w:cs="Arial"/>
        </w:rPr>
        <w:t xml:space="preserve">In addition, data on the Common Pheasant, </w:t>
      </w:r>
      <w:proofErr w:type="spellStart"/>
      <w:r w:rsidR="004452D2" w:rsidRPr="00DC3BDA">
        <w:rPr>
          <w:rFonts w:cs="Arial"/>
          <w:i/>
        </w:rPr>
        <w:t>Phasianus</w:t>
      </w:r>
      <w:proofErr w:type="spellEnd"/>
      <w:r w:rsidR="004452D2" w:rsidRPr="00DC3BDA">
        <w:rPr>
          <w:rFonts w:cs="Arial"/>
          <w:i/>
        </w:rPr>
        <w:t xml:space="preserve"> </w:t>
      </w:r>
      <w:proofErr w:type="spellStart"/>
      <w:r w:rsidR="004452D2" w:rsidRPr="00DC3BDA">
        <w:rPr>
          <w:rFonts w:cs="Arial"/>
          <w:i/>
        </w:rPr>
        <w:t>colchicus</w:t>
      </w:r>
      <w:proofErr w:type="spellEnd"/>
      <w:r w:rsidR="004452D2" w:rsidRPr="00DC3BDA">
        <w:rPr>
          <w:rFonts w:cs="Arial"/>
        </w:rPr>
        <w:t>, w</w:t>
      </w:r>
      <w:r w:rsidR="004A579D" w:rsidRPr="00DC3BDA">
        <w:rPr>
          <w:rFonts w:cs="Arial"/>
        </w:rPr>
        <w:t>ere</w:t>
      </w:r>
      <w:r w:rsidR="004452D2" w:rsidRPr="00DC3BDA">
        <w:rPr>
          <w:rFonts w:cs="Arial"/>
        </w:rPr>
        <w:t xml:space="preserve"> also excluded as this is an introduced </w:t>
      </w:r>
      <w:r w:rsidR="002534A1" w:rsidRPr="00DC3BDA">
        <w:rPr>
          <w:rFonts w:cs="Arial"/>
        </w:rPr>
        <w:t>alien species</w:t>
      </w:r>
      <w:r w:rsidR="004452D2" w:rsidRPr="00DC3BDA">
        <w:rPr>
          <w:rFonts w:cs="Arial"/>
        </w:rPr>
        <w:t xml:space="preserve"> within the study region.</w:t>
      </w:r>
    </w:p>
    <w:p w:rsidR="004452D2" w:rsidRPr="00DC3BDA" w:rsidRDefault="004452D2" w:rsidP="00DC3BDA">
      <w:pPr>
        <w:rPr>
          <w:rFonts w:cs="Arial"/>
        </w:rPr>
      </w:pPr>
      <w:r w:rsidRPr="00DC3BDA">
        <w:rPr>
          <w:rFonts w:cs="Arial"/>
        </w:rPr>
        <w:t>Distance analysis was completed using the Multiple-Covariate Distance Sampling (MCDS) engine in the Mark-Recapture Distance Sampling (MRDS) package in R</w:t>
      </w:r>
      <w:r w:rsidR="007E5075">
        <w:rPr>
          <w:rFonts w:cs="Arial"/>
        </w:rPr>
        <w:t xml:space="preserve"> [1</w:t>
      </w:r>
      <w:r w:rsidR="00DE4C8D">
        <w:rPr>
          <w:rFonts w:cs="Arial"/>
        </w:rPr>
        <w:t>3</w:t>
      </w:r>
      <w:r w:rsidR="007E5075">
        <w:rPr>
          <w:rFonts w:cs="Arial"/>
        </w:rPr>
        <w:t>]</w:t>
      </w:r>
      <w:r w:rsidRPr="00DC3BDA">
        <w:rPr>
          <w:rFonts w:cs="Arial"/>
        </w:rPr>
        <w:t xml:space="preserve">. </w:t>
      </w:r>
      <w:r w:rsidR="00DA76D0">
        <w:rPr>
          <w:rFonts w:cs="Arial"/>
        </w:rPr>
        <w:t xml:space="preserve"> </w:t>
      </w:r>
      <w:r w:rsidRPr="00DC3BDA">
        <w:rPr>
          <w:rFonts w:cs="Arial"/>
        </w:rPr>
        <w:t xml:space="preserve">Distance sampling was used in order to allow for differential </w:t>
      </w:r>
      <w:proofErr w:type="spellStart"/>
      <w:r w:rsidRPr="00DC3BDA">
        <w:rPr>
          <w:rFonts w:cs="Arial"/>
        </w:rPr>
        <w:t>detectability</w:t>
      </w:r>
      <w:proofErr w:type="spellEnd"/>
      <w:r w:rsidRPr="00DC3BDA">
        <w:rPr>
          <w:rFonts w:cs="Arial"/>
        </w:rPr>
        <w:t xml:space="preserve"> of species in different habitats</w:t>
      </w:r>
      <w:r w:rsidR="007E5075">
        <w:rPr>
          <w:rFonts w:cs="Arial"/>
        </w:rPr>
        <w:t xml:space="preserve"> [1</w:t>
      </w:r>
      <w:r w:rsidR="00DE4C8D">
        <w:rPr>
          <w:rFonts w:cs="Arial"/>
        </w:rPr>
        <w:t>4</w:t>
      </w:r>
      <w:r w:rsidR="00940BFA">
        <w:rPr>
          <w:rFonts w:cs="Arial"/>
        </w:rPr>
        <w:t>–</w:t>
      </w:r>
      <w:r w:rsidR="007E5075">
        <w:rPr>
          <w:rFonts w:cs="Arial"/>
        </w:rPr>
        <w:t>1</w:t>
      </w:r>
      <w:r w:rsidR="00DE4C8D">
        <w:rPr>
          <w:rFonts w:cs="Arial"/>
        </w:rPr>
        <w:t>6</w:t>
      </w:r>
      <w:r w:rsidR="007E5075">
        <w:rPr>
          <w:rFonts w:cs="Arial"/>
        </w:rPr>
        <w:t>]</w:t>
      </w:r>
      <w:r w:rsidRPr="00DC3BDA">
        <w:rPr>
          <w:rFonts w:cs="Arial"/>
        </w:rPr>
        <w:t xml:space="preserve">. </w:t>
      </w:r>
      <w:r w:rsidR="00DA76D0">
        <w:rPr>
          <w:rFonts w:cs="Arial"/>
        </w:rPr>
        <w:t xml:space="preserve"> </w:t>
      </w:r>
      <w:r w:rsidRPr="00DC3BDA">
        <w:rPr>
          <w:rFonts w:cs="Arial"/>
        </w:rPr>
        <w:t>Study site was set as a sample, and transects within each site as replicates.</w:t>
      </w:r>
      <w:r w:rsidR="00DA76D0">
        <w:rPr>
          <w:rFonts w:cs="Arial"/>
        </w:rPr>
        <w:t xml:space="preserve"> </w:t>
      </w:r>
      <w:r w:rsidRPr="00DC3BDA">
        <w:rPr>
          <w:rFonts w:cs="Arial"/>
        </w:rPr>
        <w:t xml:space="preserve"> Species-specific truncation distances were selected, as some species could be detected reliably to considerable distances (&gt;100m, particularly large, conspicuous species in open habitats), whilst others could not.</w:t>
      </w:r>
      <w:r w:rsidR="00DA76D0">
        <w:rPr>
          <w:rFonts w:cs="Arial"/>
        </w:rPr>
        <w:t xml:space="preserve"> </w:t>
      </w:r>
      <w:r w:rsidRPr="00DC3BDA">
        <w:rPr>
          <w:rFonts w:cs="Arial"/>
        </w:rPr>
        <w:t xml:space="preserve"> Species with more than 30 observations were fitted with a species-specific detection function.</w:t>
      </w:r>
      <w:r w:rsidR="00DA76D0">
        <w:rPr>
          <w:rFonts w:cs="Arial"/>
        </w:rPr>
        <w:t xml:space="preserve"> </w:t>
      </w:r>
      <w:r w:rsidRPr="00DC3BDA">
        <w:rPr>
          <w:rFonts w:cs="Arial"/>
        </w:rPr>
        <w:t xml:space="preserve"> Species with fewer than 30 observations were assigned to a </w:t>
      </w:r>
      <w:proofErr w:type="spellStart"/>
      <w:r w:rsidRPr="00DC3BDA">
        <w:rPr>
          <w:rFonts w:cs="Arial"/>
        </w:rPr>
        <w:t>detectability</w:t>
      </w:r>
      <w:proofErr w:type="spellEnd"/>
      <w:r w:rsidRPr="00DC3BDA">
        <w:rPr>
          <w:rFonts w:cs="Arial"/>
        </w:rPr>
        <w:t xml:space="preserve"> group based on assessments of their diet, habitat stratum, activity levels, behavioural traits and common mode of detection. </w:t>
      </w:r>
      <w:r w:rsidR="00DA76D0">
        <w:rPr>
          <w:rFonts w:cs="Arial"/>
        </w:rPr>
        <w:t xml:space="preserve"> </w:t>
      </w:r>
      <w:r w:rsidRPr="00DC3BDA">
        <w:rPr>
          <w:rFonts w:cs="Arial"/>
        </w:rPr>
        <w:t xml:space="preserve">Where appropriate, data for species that were analysed individually were also included in the multi-species analysis. </w:t>
      </w:r>
      <w:r w:rsidR="00DA76D0">
        <w:rPr>
          <w:rFonts w:cs="Arial"/>
        </w:rPr>
        <w:t xml:space="preserve"> </w:t>
      </w:r>
      <w:r w:rsidRPr="00DC3BDA">
        <w:rPr>
          <w:rFonts w:cs="Arial"/>
        </w:rPr>
        <w:t xml:space="preserve">In total, 66 individual species and 17 multi-species groups were analysed. </w:t>
      </w:r>
    </w:p>
    <w:p w:rsidR="004452D2" w:rsidRPr="00DC3BDA" w:rsidRDefault="004452D2" w:rsidP="00DC3BDA">
      <w:pPr>
        <w:rPr>
          <w:rFonts w:cs="Arial"/>
        </w:rPr>
      </w:pPr>
      <w:r w:rsidRPr="00DC3BDA">
        <w:rPr>
          <w:rFonts w:cs="Arial"/>
        </w:rPr>
        <w:lastRenderedPageBreak/>
        <w:t xml:space="preserve">A key difference likely to affect </w:t>
      </w:r>
      <w:proofErr w:type="spellStart"/>
      <w:r w:rsidRPr="00DC3BDA">
        <w:rPr>
          <w:rFonts w:cs="Arial"/>
        </w:rPr>
        <w:t>detectability</w:t>
      </w:r>
      <w:proofErr w:type="spellEnd"/>
      <w:r w:rsidRPr="00DC3BDA">
        <w:rPr>
          <w:rFonts w:cs="Arial"/>
        </w:rPr>
        <w:t xml:space="preserve"> between study sites is the density of trees, which was estimated for each site based on tree survey data (obtained from a total of 576 25</w:t>
      </w:r>
      <w:r w:rsidR="004F61EB">
        <w:rPr>
          <w:rFonts w:cs="Arial"/>
        </w:rPr>
        <w:t xml:space="preserve"> </w:t>
      </w:r>
      <w:r w:rsidRPr="00DC3BDA">
        <w:rPr>
          <w:rFonts w:cs="Arial"/>
        </w:rPr>
        <w:t>m</w:t>
      </w:r>
      <w:r w:rsidR="005D69A9" w:rsidRPr="00DC3BDA">
        <w:rPr>
          <w:rFonts w:cs="Arial"/>
        </w:rPr>
        <w:t xml:space="preserve"> </w:t>
      </w:r>
      <w:r w:rsidRPr="00DC3BDA">
        <w:rPr>
          <w:rFonts w:cs="Arial"/>
        </w:rPr>
        <w:t>x</w:t>
      </w:r>
      <w:r w:rsidR="005D69A9" w:rsidRPr="00DC3BDA">
        <w:rPr>
          <w:rFonts w:cs="Arial"/>
        </w:rPr>
        <w:t xml:space="preserve"> </w:t>
      </w:r>
      <w:r w:rsidRPr="00DC3BDA">
        <w:rPr>
          <w:rFonts w:cs="Arial"/>
        </w:rPr>
        <w:t>25</w:t>
      </w:r>
      <w:r w:rsidR="004F61EB">
        <w:rPr>
          <w:rFonts w:cs="Arial"/>
        </w:rPr>
        <w:t xml:space="preserve"> </w:t>
      </w:r>
      <w:r w:rsidRPr="00DC3BDA">
        <w:rPr>
          <w:rFonts w:cs="Arial"/>
        </w:rPr>
        <w:t>m tree survey plots over the 26 study sites).</w:t>
      </w:r>
      <w:r w:rsidR="00DA76D0">
        <w:rPr>
          <w:rFonts w:cs="Arial"/>
        </w:rPr>
        <w:t xml:space="preserve"> </w:t>
      </w:r>
      <w:r w:rsidRPr="00DC3BDA">
        <w:rPr>
          <w:rFonts w:cs="Arial"/>
        </w:rPr>
        <w:t xml:space="preserve"> This was included as a continuous covariate (a scale factor) in the Distance analysis so that the probability of detection is dependent on the distance to the individual or cluster and on the density of trees, generating a site-specific estimate of effective survey area or </w:t>
      </w:r>
      <w:r w:rsidR="005D69A9" w:rsidRPr="00DC3BDA">
        <w:rPr>
          <w:rFonts w:cs="Arial"/>
        </w:rPr>
        <w:t>‘</w:t>
      </w:r>
      <w:r w:rsidRPr="00DC3BDA">
        <w:rPr>
          <w:rFonts w:cs="Arial"/>
        </w:rPr>
        <w:t xml:space="preserve">Effective Strip </w:t>
      </w:r>
      <w:r w:rsidR="005D69A9" w:rsidRPr="00DC3BDA">
        <w:rPr>
          <w:rFonts w:cs="Arial"/>
        </w:rPr>
        <w:t xml:space="preserve">Width’ </w:t>
      </w:r>
      <w:r w:rsidRPr="00DC3BDA">
        <w:rPr>
          <w:rFonts w:cs="Arial"/>
        </w:rPr>
        <w:t>(ESW).</w:t>
      </w:r>
      <w:r w:rsidR="00DA76D0">
        <w:rPr>
          <w:rFonts w:cs="Arial"/>
        </w:rPr>
        <w:t xml:space="preserve"> </w:t>
      </w:r>
      <w:r w:rsidRPr="00DC3BDA">
        <w:rPr>
          <w:rFonts w:cs="Arial"/>
        </w:rPr>
        <w:t xml:space="preserve"> This differs from the approach taken in previous similar studies (e.g. </w:t>
      </w:r>
      <w:r w:rsidR="007E5075">
        <w:rPr>
          <w:rFonts w:cs="Arial"/>
        </w:rPr>
        <w:t>ref.</w:t>
      </w:r>
      <w:r w:rsidR="008A6191">
        <w:rPr>
          <w:rFonts w:cs="Arial"/>
        </w:rPr>
        <w:t xml:space="preserve"> </w:t>
      </w:r>
      <w:r w:rsidR="007E5075">
        <w:rPr>
          <w:rFonts w:cs="Arial"/>
        </w:rPr>
        <w:t>[10]</w:t>
      </w:r>
      <w:r w:rsidRPr="00DC3BDA">
        <w:rPr>
          <w:rFonts w:cs="Arial"/>
        </w:rPr>
        <w:t>), in which broad habitat type was included as a categorical covariate for species with &gt;20 observations in each habitat type, producing a habitat-based (but not site-specific) effective survey area.</w:t>
      </w:r>
      <w:r w:rsidR="00DA76D0">
        <w:rPr>
          <w:rFonts w:cs="Arial"/>
        </w:rPr>
        <w:t xml:space="preserve"> </w:t>
      </w:r>
      <w:r w:rsidRPr="00DC3BDA">
        <w:rPr>
          <w:rFonts w:cs="Arial"/>
        </w:rPr>
        <w:t xml:space="preserve"> For species analysed in multi-species groups, </w:t>
      </w:r>
      <w:r w:rsidR="00DE68FC" w:rsidRPr="00DC3BDA">
        <w:rPr>
          <w:rFonts w:cs="Arial"/>
        </w:rPr>
        <w:t>a categorical variable to represent species identity</w:t>
      </w:r>
      <w:r w:rsidRPr="00DC3BDA">
        <w:rPr>
          <w:rFonts w:cs="Arial"/>
        </w:rPr>
        <w:t xml:space="preserve"> was included as a factor, alongside tree density. </w:t>
      </w:r>
    </w:p>
    <w:p w:rsidR="004452D2" w:rsidRPr="00DC3BDA" w:rsidRDefault="004452D2" w:rsidP="00DC3BDA">
      <w:pPr>
        <w:rPr>
          <w:rFonts w:cs="Arial"/>
        </w:rPr>
      </w:pPr>
      <w:r w:rsidRPr="00DC3BDA">
        <w:rPr>
          <w:rFonts w:cs="Arial"/>
        </w:rPr>
        <w:t xml:space="preserve">A broad range of models were considered for fitting detection </w:t>
      </w:r>
      <w:r w:rsidR="000B265C" w:rsidRPr="000B265C">
        <w:rPr>
          <w:rFonts w:cs="Arial"/>
          <w:color w:val="000000" w:themeColor="text1"/>
        </w:rPr>
        <w:t>functions (</w:t>
      </w:r>
      <w:r w:rsidR="00F36DA1">
        <w:rPr>
          <w:rFonts w:cs="Arial"/>
          <w:color w:val="000000" w:themeColor="text1"/>
        </w:rPr>
        <w:t>t</w:t>
      </w:r>
      <w:r w:rsidR="000B265C" w:rsidRPr="000B265C">
        <w:rPr>
          <w:rFonts w:cs="Arial"/>
          <w:color w:val="000000" w:themeColor="text1"/>
        </w:rPr>
        <w:t>able S4), based</w:t>
      </w:r>
      <w:r w:rsidRPr="00DC3BDA">
        <w:rPr>
          <w:rFonts w:cs="Arial"/>
        </w:rPr>
        <w:t xml:space="preserve"> on those recommended </w:t>
      </w:r>
      <w:r w:rsidR="007E5075">
        <w:rPr>
          <w:rFonts w:cs="Arial"/>
        </w:rPr>
        <w:t>in ref. [1</w:t>
      </w:r>
      <w:r w:rsidR="00DE4C8D">
        <w:rPr>
          <w:rFonts w:cs="Arial"/>
        </w:rPr>
        <w:t>4</w:t>
      </w:r>
      <w:r w:rsidR="007E5075">
        <w:rPr>
          <w:rFonts w:cs="Arial"/>
        </w:rPr>
        <w:t>].</w:t>
      </w:r>
      <w:r w:rsidRPr="00DC3BDA">
        <w:rPr>
          <w:rFonts w:cs="Arial"/>
        </w:rPr>
        <w:t xml:space="preserve">  For species with more than 30 observations, models with series expansions were included in order to improve the model fit. </w:t>
      </w:r>
      <w:r w:rsidR="00DA76D0">
        <w:rPr>
          <w:rFonts w:cs="Arial"/>
        </w:rPr>
        <w:t xml:space="preserve"> </w:t>
      </w:r>
      <w:r w:rsidRPr="00DC3BDA">
        <w:rPr>
          <w:rFonts w:cs="Arial"/>
        </w:rPr>
        <w:t>For analysis of multi-species groups, only the key function was included due to constraints within the MRDS package.</w:t>
      </w:r>
      <w:r w:rsidR="00DA76D0">
        <w:rPr>
          <w:rFonts w:cs="Arial"/>
        </w:rPr>
        <w:t xml:space="preserve"> </w:t>
      </w:r>
      <w:r w:rsidRPr="00DC3BDA">
        <w:rPr>
          <w:rFonts w:cs="Arial"/>
        </w:rPr>
        <w:t xml:space="preserve"> Some models failed to converge, whilst others were excluded based on assessment of Goodness of Fit tests (</w:t>
      </w:r>
      <w:proofErr w:type="spellStart"/>
      <w:r w:rsidRPr="00DC3BDA">
        <w:rPr>
          <w:rFonts w:cs="Arial"/>
        </w:rPr>
        <w:t>Kolmogorov</w:t>
      </w:r>
      <w:proofErr w:type="spellEnd"/>
      <w:r w:rsidRPr="00DC3BDA">
        <w:rPr>
          <w:rFonts w:cs="Arial"/>
        </w:rPr>
        <w:t>-Smirnov probability test, Cramer-von-</w:t>
      </w:r>
      <w:proofErr w:type="spellStart"/>
      <w:r w:rsidRPr="00DC3BDA">
        <w:rPr>
          <w:rFonts w:cs="Arial"/>
        </w:rPr>
        <w:t>Mises</w:t>
      </w:r>
      <w:proofErr w:type="spellEnd"/>
      <w:r w:rsidRPr="00DC3BDA">
        <w:rPr>
          <w:rFonts w:cs="Arial"/>
        </w:rPr>
        <w:t xml:space="preserve"> probability test and </w:t>
      </w:r>
      <w:r w:rsidR="007E5075">
        <w:rPr>
          <w:rFonts w:cs="Arial"/>
          <w:i/>
        </w:rPr>
        <w:t>χ</w:t>
      </w:r>
      <w:r w:rsidRPr="00DC3BDA">
        <w:rPr>
          <w:rFonts w:cs="Arial"/>
          <w:vertAlign w:val="superscript"/>
        </w:rPr>
        <w:t xml:space="preserve">2 </w:t>
      </w:r>
      <w:r w:rsidRPr="00DC3BDA">
        <w:rPr>
          <w:rFonts w:cs="Arial"/>
        </w:rPr>
        <w:t>test) and visual assessment of model fit and plausibility.</w:t>
      </w:r>
      <w:r w:rsidR="00DA76D0">
        <w:rPr>
          <w:rFonts w:cs="Arial"/>
        </w:rPr>
        <w:t xml:space="preserve"> </w:t>
      </w:r>
      <w:r w:rsidRPr="00DC3BDA">
        <w:rPr>
          <w:rFonts w:cs="Arial"/>
        </w:rPr>
        <w:t xml:space="preserve"> Rather than selecting a single fitted model based on </w:t>
      </w:r>
      <w:proofErr w:type="spellStart"/>
      <w:r w:rsidRPr="00DC3BDA">
        <w:rPr>
          <w:rFonts w:cs="Arial"/>
        </w:rPr>
        <w:t>AICc</w:t>
      </w:r>
      <w:proofErr w:type="spellEnd"/>
      <w:r w:rsidRPr="00DC3BDA">
        <w:rPr>
          <w:rFonts w:cs="Arial"/>
        </w:rPr>
        <w:t xml:space="preserve">, estimates of ESW were averaged across all plausible models offering a good fit, based on </w:t>
      </w:r>
      <w:proofErr w:type="spellStart"/>
      <w:r w:rsidRPr="00DC3BDA">
        <w:rPr>
          <w:rFonts w:cs="Arial"/>
        </w:rPr>
        <w:t>AICc</w:t>
      </w:r>
      <w:proofErr w:type="spellEnd"/>
      <w:r w:rsidRPr="00DC3BDA">
        <w:rPr>
          <w:rFonts w:cs="Arial"/>
        </w:rPr>
        <w:t xml:space="preserve"> weight. </w:t>
      </w:r>
      <w:r w:rsidR="00DA76D0">
        <w:rPr>
          <w:rFonts w:cs="Arial"/>
        </w:rPr>
        <w:t xml:space="preserve"> </w:t>
      </w:r>
      <w:r w:rsidRPr="00DC3BDA">
        <w:rPr>
          <w:rFonts w:cs="Arial"/>
        </w:rPr>
        <w:t>This model-weighted average ESW was then used to calculate site-specific population densities in subsequent analyses.</w:t>
      </w:r>
    </w:p>
    <w:p w:rsidR="00600387" w:rsidRPr="00DC3BDA" w:rsidRDefault="004452D2" w:rsidP="00DC3BDA">
      <w:bookmarkStart w:id="4" w:name="_Ref437984292"/>
      <w:r w:rsidRPr="00C8013C">
        <w:rPr>
          <w:b/>
        </w:rPr>
        <w:t xml:space="preserve">Table </w:t>
      </w:r>
      <w:bookmarkEnd w:id="2"/>
      <w:bookmarkEnd w:id="4"/>
      <w:r w:rsidR="003E7023" w:rsidRPr="00C8013C">
        <w:rPr>
          <w:b/>
        </w:rPr>
        <w:t>S4</w:t>
      </w:r>
      <w:r w:rsidRPr="00C8013C">
        <w:rPr>
          <w:b/>
        </w:rPr>
        <w:t>.</w:t>
      </w:r>
      <w:r w:rsidRPr="00DC3BDA">
        <w:t xml:space="preserve"> Models fitted for Distance analysis of bird data.</w:t>
      </w:r>
    </w:p>
    <w:tbl>
      <w:tblPr>
        <w:tblW w:w="8222" w:type="dxa"/>
        <w:tblCellMar>
          <w:left w:w="0" w:type="dxa"/>
          <w:right w:w="0" w:type="dxa"/>
        </w:tblCellMar>
        <w:tblLook w:val="0600"/>
      </w:tblPr>
      <w:tblGrid>
        <w:gridCol w:w="1418"/>
        <w:gridCol w:w="1843"/>
        <w:gridCol w:w="1262"/>
        <w:gridCol w:w="1998"/>
        <w:gridCol w:w="1701"/>
      </w:tblGrid>
      <w:tr w:rsidR="004452D2" w:rsidRPr="00DC3BDA" w:rsidTr="00C8013C">
        <w:trPr>
          <w:trHeight w:val="306"/>
        </w:trPr>
        <w:tc>
          <w:tcPr>
            <w:tcW w:w="1418" w:type="dxa"/>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b/>
                <w:bCs/>
                <w:smallCaps/>
                <w:kern w:val="32"/>
                <w:sz w:val="22"/>
                <w:szCs w:val="22"/>
              </w:rPr>
            </w:pPr>
            <w:r w:rsidRPr="00DC3BDA">
              <w:rPr>
                <w:rFonts w:ascii="Palatino Linotype" w:eastAsia="Calibri" w:hAnsi="Palatino Linotype" w:cs="Arial"/>
                <w:sz w:val="22"/>
                <w:szCs w:val="22"/>
              </w:rPr>
              <w:t>Data</w:t>
            </w:r>
          </w:p>
        </w:tc>
        <w:tc>
          <w:tcPr>
            <w:tcW w:w="6804" w:type="dxa"/>
            <w:gridSpan w:val="4"/>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b/>
                <w:bCs/>
                <w:smallCaps/>
                <w:kern w:val="32"/>
                <w:sz w:val="22"/>
                <w:szCs w:val="22"/>
              </w:rPr>
            </w:pPr>
            <w:r w:rsidRPr="00DC3BDA">
              <w:rPr>
                <w:rFonts w:ascii="Palatino Linotype" w:eastAsia="Calibri" w:hAnsi="Palatino Linotype" w:cs="Arial"/>
                <w:sz w:val="22"/>
                <w:szCs w:val="22"/>
              </w:rPr>
              <w:t>Model</w:t>
            </w:r>
          </w:p>
        </w:tc>
      </w:tr>
      <w:tr w:rsidR="004452D2" w:rsidRPr="00DC3BDA" w:rsidTr="00C8013C">
        <w:trPr>
          <w:trHeight w:val="340"/>
        </w:trPr>
        <w:tc>
          <w:tcPr>
            <w:tcW w:w="1418"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Covariate(s)</w:t>
            </w:r>
          </w:p>
        </w:tc>
        <w:tc>
          <w:tcPr>
            <w:tcW w:w="1262"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Key function</w:t>
            </w:r>
          </w:p>
        </w:tc>
        <w:tc>
          <w:tcPr>
            <w:tcW w:w="1998"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Series expansion</w:t>
            </w:r>
          </w:p>
        </w:tc>
        <w:tc>
          <w:tcPr>
            <w:tcW w:w="1701"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Adjustment Order</w:t>
            </w:r>
          </w:p>
        </w:tc>
      </w:tr>
      <w:tr w:rsidR="004452D2" w:rsidRPr="00DC3BDA" w:rsidTr="00C8013C">
        <w:trPr>
          <w:trHeight w:val="174"/>
        </w:trPr>
        <w:tc>
          <w:tcPr>
            <w:tcW w:w="1418"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29214D">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Species with  ≥30 observations:</w:t>
            </w:r>
          </w:p>
          <w:p w:rsidR="004452D2" w:rsidRPr="00DC3BDA" w:rsidRDefault="004452D2" w:rsidP="0029214D">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single-species detection functions</w:t>
            </w:r>
          </w:p>
        </w:tc>
        <w:tc>
          <w:tcPr>
            <w:tcW w:w="1843"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Tree density</w:t>
            </w:r>
          </w:p>
        </w:tc>
        <w:tc>
          <w:tcPr>
            <w:tcW w:w="1262"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Half Normal</w:t>
            </w:r>
          </w:p>
        </w:tc>
        <w:tc>
          <w:tcPr>
            <w:tcW w:w="1998"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b/>
                <w:bCs/>
                <w:caps/>
                <w:smallCaps/>
                <w:sz w:val="22"/>
                <w:szCs w:val="22"/>
                <w:lang w:val="en-US"/>
              </w:rPr>
            </w:pPr>
            <w:r w:rsidRPr="00DC3BDA">
              <w:rPr>
                <w:rFonts w:ascii="Palatino Linotype" w:eastAsia="Calibri" w:hAnsi="Palatino Linotype" w:cs="Arial"/>
                <w:sz w:val="22"/>
                <w:szCs w:val="22"/>
              </w:rPr>
              <w:t>Null</w:t>
            </w:r>
          </w:p>
        </w:tc>
        <w:tc>
          <w:tcPr>
            <w:tcW w:w="1701"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b/>
                <w:bCs/>
                <w:caps/>
                <w:smallCaps/>
                <w:sz w:val="22"/>
                <w:szCs w:val="22"/>
                <w:lang w:val="en-US"/>
              </w:rPr>
            </w:pPr>
            <w:r w:rsidRPr="00DC3BDA">
              <w:rPr>
                <w:rFonts w:ascii="Palatino Linotype" w:eastAsia="Calibri" w:hAnsi="Palatino Linotype" w:cs="Arial"/>
                <w:sz w:val="22"/>
                <w:szCs w:val="22"/>
              </w:rPr>
              <w:t>Null</w:t>
            </w:r>
          </w:p>
        </w:tc>
      </w:tr>
      <w:tr w:rsidR="004452D2" w:rsidRPr="00DC3BDA" w:rsidTr="00C8013C">
        <w:trPr>
          <w:trHeight w:val="237"/>
        </w:trPr>
        <w:tc>
          <w:tcPr>
            <w:tcW w:w="1418"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262"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998"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Cosine</w:t>
            </w:r>
          </w:p>
        </w:tc>
        <w:tc>
          <w:tcPr>
            <w:tcW w:w="1701" w:type="dxa"/>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2</w:t>
            </w:r>
          </w:p>
        </w:tc>
      </w:tr>
      <w:tr w:rsidR="004452D2" w:rsidRPr="00DC3BDA" w:rsidTr="00C8013C">
        <w:trPr>
          <w:trHeight w:val="36"/>
        </w:trPr>
        <w:tc>
          <w:tcPr>
            <w:tcW w:w="1418"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262"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998"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701" w:type="dxa"/>
            <w:tcBorders>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3</w:t>
            </w:r>
          </w:p>
        </w:tc>
      </w:tr>
      <w:tr w:rsidR="004452D2" w:rsidRPr="00DC3BDA" w:rsidTr="00C8013C">
        <w:trPr>
          <w:trHeight w:val="237"/>
        </w:trPr>
        <w:tc>
          <w:tcPr>
            <w:tcW w:w="1418"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262"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998"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proofErr w:type="spellStart"/>
            <w:r w:rsidRPr="00DC3BDA">
              <w:rPr>
                <w:rFonts w:ascii="Palatino Linotype" w:eastAsia="Calibri" w:hAnsi="Palatino Linotype" w:cs="Arial"/>
                <w:sz w:val="22"/>
                <w:szCs w:val="22"/>
              </w:rPr>
              <w:t>Hermite</w:t>
            </w:r>
            <w:proofErr w:type="spellEnd"/>
            <w:r w:rsidRPr="00DC3BDA">
              <w:rPr>
                <w:rFonts w:ascii="Palatino Linotype" w:eastAsia="Calibri" w:hAnsi="Palatino Linotype" w:cs="Arial"/>
                <w:sz w:val="22"/>
                <w:szCs w:val="22"/>
              </w:rPr>
              <w:t xml:space="preserve"> polynomial</w:t>
            </w:r>
          </w:p>
        </w:tc>
        <w:tc>
          <w:tcPr>
            <w:tcW w:w="1701" w:type="dxa"/>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4</w:t>
            </w:r>
          </w:p>
        </w:tc>
      </w:tr>
      <w:tr w:rsidR="004452D2" w:rsidRPr="00DC3BDA" w:rsidTr="00C8013C">
        <w:trPr>
          <w:trHeight w:val="36"/>
        </w:trPr>
        <w:tc>
          <w:tcPr>
            <w:tcW w:w="1418"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262"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998"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701" w:type="dxa"/>
            <w:tcBorders>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6</w:t>
            </w:r>
          </w:p>
        </w:tc>
      </w:tr>
      <w:tr w:rsidR="004452D2" w:rsidRPr="00DC3BDA" w:rsidTr="00C8013C">
        <w:trPr>
          <w:trHeight w:val="189"/>
        </w:trPr>
        <w:tc>
          <w:tcPr>
            <w:tcW w:w="1418"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Tree density</w:t>
            </w:r>
          </w:p>
        </w:tc>
        <w:tc>
          <w:tcPr>
            <w:tcW w:w="1262"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Hazard Rate</w:t>
            </w:r>
          </w:p>
        </w:tc>
        <w:tc>
          <w:tcPr>
            <w:tcW w:w="1998"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Null</w:t>
            </w:r>
          </w:p>
        </w:tc>
        <w:tc>
          <w:tcPr>
            <w:tcW w:w="1701"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Null</w:t>
            </w:r>
          </w:p>
        </w:tc>
      </w:tr>
      <w:tr w:rsidR="004452D2" w:rsidRPr="00DC3BDA" w:rsidTr="00C8013C">
        <w:trPr>
          <w:trHeight w:val="237"/>
        </w:trPr>
        <w:tc>
          <w:tcPr>
            <w:tcW w:w="1418"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262"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998"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Cosine</w:t>
            </w:r>
          </w:p>
        </w:tc>
        <w:tc>
          <w:tcPr>
            <w:tcW w:w="1701" w:type="dxa"/>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2</w:t>
            </w:r>
          </w:p>
        </w:tc>
      </w:tr>
      <w:tr w:rsidR="004452D2" w:rsidRPr="00DC3BDA" w:rsidTr="00C8013C">
        <w:trPr>
          <w:trHeight w:val="237"/>
        </w:trPr>
        <w:tc>
          <w:tcPr>
            <w:tcW w:w="1418"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262"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998"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701" w:type="dxa"/>
            <w:tcBorders>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3</w:t>
            </w:r>
          </w:p>
        </w:tc>
      </w:tr>
      <w:tr w:rsidR="004452D2" w:rsidRPr="00DC3BDA" w:rsidTr="00C8013C">
        <w:trPr>
          <w:trHeight w:val="237"/>
        </w:trPr>
        <w:tc>
          <w:tcPr>
            <w:tcW w:w="1418"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262" w:type="dxa"/>
            <w:vMerge/>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998"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Simple polynomial</w:t>
            </w:r>
          </w:p>
        </w:tc>
        <w:tc>
          <w:tcPr>
            <w:tcW w:w="1701" w:type="dxa"/>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2</w:t>
            </w:r>
          </w:p>
        </w:tc>
      </w:tr>
      <w:tr w:rsidR="004452D2" w:rsidRPr="00DC3BDA" w:rsidTr="00C8013C">
        <w:trPr>
          <w:trHeight w:val="237"/>
        </w:trPr>
        <w:tc>
          <w:tcPr>
            <w:tcW w:w="1418"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262"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998"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701" w:type="dxa"/>
            <w:tcBorders>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4</w:t>
            </w:r>
          </w:p>
        </w:tc>
      </w:tr>
      <w:tr w:rsidR="004452D2" w:rsidRPr="00DC3BDA" w:rsidTr="00C8013C">
        <w:trPr>
          <w:trHeight w:val="505"/>
        </w:trPr>
        <w:tc>
          <w:tcPr>
            <w:tcW w:w="1418"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29214D">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Species with</w:t>
            </w:r>
          </w:p>
          <w:p w:rsidR="004452D2" w:rsidRPr="00DC3BDA" w:rsidRDefault="004452D2" w:rsidP="0029214D">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&lt;30 observations:</w:t>
            </w:r>
          </w:p>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multi-species groups</w:t>
            </w:r>
          </w:p>
        </w:tc>
        <w:tc>
          <w:tcPr>
            <w:tcW w:w="1843" w:type="dxa"/>
            <w:vMerge w:val="restart"/>
            <w:tcBorders>
              <w:top w:val="single" w:sz="4" w:space="0" w:color="auto"/>
            </w:tcBorders>
            <w:shd w:val="clear" w:color="auto" w:fill="auto"/>
            <w:tcMar>
              <w:top w:w="14" w:type="dxa"/>
              <w:left w:w="14" w:type="dxa"/>
              <w:bottom w:w="0" w:type="dxa"/>
              <w:right w:w="14" w:type="dxa"/>
            </w:tcMar>
            <w:vAlign w:val="center"/>
            <w:hideMark/>
          </w:tcPr>
          <w:p w:rsidR="004452D2" w:rsidRPr="00DC3BDA" w:rsidRDefault="004452D2" w:rsidP="0029214D">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Tree density + Species (as factor)</w:t>
            </w:r>
          </w:p>
        </w:tc>
        <w:tc>
          <w:tcPr>
            <w:tcW w:w="1262"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Half Normal</w:t>
            </w:r>
          </w:p>
        </w:tc>
        <w:tc>
          <w:tcPr>
            <w:tcW w:w="1998"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Null</w:t>
            </w:r>
          </w:p>
        </w:tc>
        <w:tc>
          <w:tcPr>
            <w:tcW w:w="1701"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Null</w:t>
            </w:r>
          </w:p>
        </w:tc>
      </w:tr>
      <w:tr w:rsidR="004452D2" w:rsidRPr="00DC3BDA" w:rsidTr="00C8013C">
        <w:trPr>
          <w:trHeight w:val="413"/>
        </w:trPr>
        <w:tc>
          <w:tcPr>
            <w:tcW w:w="1418"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843" w:type="dxa"/>
            <w:vMerge/>
            <w:tcBorders>
              <w:bottom w:val="single" w:sz="4" w:space="0" w:color="auto"/>
            </w:tcBorders>
            <w:shd w:val="clear" w:color="auto" w:fill="auto"/>
            <w:vAlign w:val="center"/>
            <w:hideMark/>
          </w:tcPr>
          <w:p w:rsidR="004452D2" w:rsidRPr="00DC3BDA" w:rsidRDefault="004452D2" w:rsidP="00DC3BDA">
            <w:pPr>
              <w:pStyle w:val="Table"/>
              <w:ind w:left="0"/>
              <w:rPr>
                <w:rFonts w:ascii="Palatino Linotype" w:eastAsia="Calibri" w:hAnsi="Palatino Linotype" w:cs="Arial"/>
                <w:sz w:val="22"/>
                <w:szCs w:val="22"/>
              </w:rPr>
            </w:pPr>
          </w:p>
        </w:tc>
        <w:tc>
          <w:tcPr>
            <w:tcW w:w="1262"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Hazard Rate</w:t>
            </w:r>
          </w:p>
        </w:tc>
        <w:tc>
          <w:tcPr>
            <w:tcW w:w="1998"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Null</w:t>
            </w:r>
          </w:p>
        </w:tc>
        <w:tc>
          <w:tcPr>
            <w:tcW w:w="1701" w:type="dxa"/>
            <w:tcBorders>
              <w:top w:val="single" w:sz="4" w:space="0" w:color="auto"/>
              <w:bottom w:val="single" w:sz="4" w:space="0" w:color="auto"/>
            </w:tcBorders>
            <w:shd w:val="clear" w:color="auto" w:fill="auto"/>
            <w:tcMar>
              <w:top w:w="14" w:type="dxa"/>
              <w:left w:w="14" w:type="dxa"/>
              <w:bottom w:w="0" w:type="dxa"/>
              <w:right w:w="14" w:type="dxa"/>
            </w:tcMar>
            <w:vAlign w:val="center"/>
            <w:hideMark/>
          </w:tcPr>
          <w:p w:rsidR="004452D2" w:rsidRPr="00DC3BDA" w:rsidRDefault="004452D2" w:rsidP="00DC3BDA">
            <w:pPr>
              <w:pStyle w:val="Table"/>
              <w:ind w:left="0"/>
              <w:rPr>
                <w:rFonts w:ascii="Palatino Linotype" w:eastAsia="Calibri" w:hAnsi="Palatino Linotype" w:cs="Arial"/>
                <w:sz w:val="22"/>
                <w:szCs w:val="22"/>
              </w:rPr>
            </w:pPr>
            <w:r w:rsidRPr="00DC3BDA">
              <w:rPr>
                <w:rFonts w:ascii="Palatino Linotype" w:eastAsia="Calibri" w:hAnsi="Palatino Linotype" w:cs="Arial"/>
                <w:sz w:val="22"/>
                <w:szCs w:val="22"/>
              </w:rPr>
              <w:t>Null</w:t>
            </w:r>
          </w:p>
        </w:tc>
      </w:tr>
    </w:tbl>
    <w:p w:rsidR="004452D2" w:rsidRPr="00DC3BDA" w:rsidRDefault="004452D2" w:rsidP="00C8013C">
      <w:pPr>
        <w:spacing w:before="120"/>
      </w:pPr>
      <w:r w:rsidRPr="00DC3BDA">
        <w:lastRenderedPageBreak/>
        <w:t xml:space="preserve">Some models for some species/groups were excluded based on a failure to converge, poor goodness of fit, or implausibility of model fit. </w:t>
      </w:r>
      <w:r w:rsidR="00DA76D0">
        <w:t xml:space="preserve"> </w:t>
      </w:r>
      <w:r w:rsidRPr="00DC3BDA">
        <w:t xml:space="preserve">Model predictions of ESW were then averaged across all plausible models offering a good fit, based on </w:t>
      </w:r>
      <w:proofErr w:type="spellStart"/>
      <w:r w:rsidRPr="00DC3BDA">
        <w:t>AICc</w:t>
      </w:r>
      <w:proofErr w:type="spellEnd"/>
      <w:r w:rsidRPr="00DC3BDA">
        <w:t xml:space="preserve"> weight.</w:t>
      </w:r>
      <w:bookmarkEnd w:id="3"/>
    </w:p>
    <w:p w:rsidR="004452D2" w:rsidRPr="00DC3BDA" w:rsidRDefault="004452D2" w:rsidP="00DC3BDA">
      <w:pPr>
        <w:rPr>
          <w:rFonts w:cs="Arial"/>
          <w:u w:val="single"/>
        </w:rPr>
      </w:pPr>
    </w:p>
    <w:p w:rsidR="00043289" w:rsidRPr="00DC3BDA" w:rsidRDefault="00043289" w:rsidP="00C8013C">
      <w:pPr>
        <w:pStyle w:val="ListParagraph"/>
        <w:numPr>
          <w:ilvl w:val="0"/>
          <w:numId w:val="2"/>
        </w:numPr>
        <w:ind w:left="357" w:hanging="357"/>
        <w:rPr>
          <w:rFonts w:cs="Arial"/>
          <w:b/>
        </w:rPr>
      </w:pPr>
      <w:r w:rsidRPr="00DC3BDA">
        <w:rPr>
          <w:rFonts w:cs="Arial"/>
          <w:b/>
        </w:rPr>
        <w:t xml:space="preserve">Measuring population densities </w:t>
      </w:r>
      <w:r w:rsidR="008A1F5A" w:rsidRPr="00DC3BDA">
        <w:rPr>
          <w:rFonts w:cs="Arial"/>
          <w:b/>
        </w:rPr>
        <w:t>of</w:t>
      </w:r>
      <w:r w:rsidRPr="00DC3BDA">
        <w:rPr>
          <w:rFonts w:cs="Arial"/>
          <w:b/>
        </w:rPr>
        <w:t xml:space="preserve"> sedge species</w:t>
      </w:r>
    </w:p>
    <w:p w:rsidR="00600387" w:rsidRPr="00DC3BDA" w:rsidRDefault="00043289" w:rsidP="00DC3BDA">
      <w:pPr>
        <w:rPr>
          <w:rFonts w:cs="Arial"/>
          <w:b/>
        </w:rPr>
      </w:pPr>
      <w:r w:rsidRPr="00DC3BDA">
        <w:rPr>
          <w:rFonts w:cs="Arial"/>
        </w:rPr>
        <w:t xml:space="preserve">Sedge surveys were conducted in May – June 2014, which coincides with the flowering period for a majority of species in the region. </w:t>
      </w:r>
      <w:r w:rsidR="00DA76D0">
        <w:rPr>
          <w:rFonts w:cs="Arial"/>
        </w:rPr>
        <w:t xml:space="preserve"> </w:t>
      </w:r>
      <w:r w:rsidRPr="00DC3BDA">
        <w:rPr>
          <w:rFonts w:cs="Arial"/>
        </w:rPr>
        <w:t xml:space="preserve">Twenty 100 m transects were established perpendicular to the two 1-km bird transects, spaced 100 m apart and on alternating sides of those transects. </w:t>
      </w:r>
      <w:r w:rsidR="00DA76D0">
        <w:rPr>
          <w:rFonts w:cs="Arial"/>
        </w:rPr>
        <w:t xml:space="preserve"> </w:t>
      </w:r>
      <w:r w:rsidRPr="00DC3BDA">
        <w:rPr>
          <w:rFonts w:cs="Arial"/>
        </w:rPr>
        <w:t>Five 1m</w:t>
      </w:r>
      <w:r w:rsidRPr="00DC3BDA">
        <w:rPr>
          <w:rFonts w:cs="Arial"/>
          <w:vertAlign w:val="superscript"/>
        </w:rPr>
        <w:t>2</w:t>
      </w:r>
      <w:r w:rsidRPr="00DC3BDA">
        <w:rPr>
          <w:rFonts w:cs="Arial"/>
        </w:rPr>
        <w:t xml:space="preserve"> </w:t>
      </w:r>
      <w:proofErr w:type="spellStart"/>
      <w:r w:rsidRPr="00DC3BDA">
        <w:rPr>
          <w:rFonts w:cs="Arial"/>
        </w:rPr>
        <w:t>quadrats</w:t>
      </w:r>
      <w:proofErr w:type="spellEnd"/>
      <w:r w:rsidRPr="00DC3BDA">
        <w:rPr>
          <w:rFonts w:cs="Arial"/>
        </w:rPr>
        <w:t xml:space="preserve"> were placed at 20 m intervals along each 100 m transect (100 </w:t>
      </w:r>
      <w:proofErr w:type="spellStart"/>
      <w:r w:rsidRPr="00DC3BDA">
        <w:rPr>
          <w:rFonts w:cs="Arial"/>
        </w:rPr>
        <w:t>quadrats</w:t>
      </w:r>
      <w:proofErr w:type="spellEnd"/>
      <w:r w:rsidRPr="00DC3BDA">
        <w:rPr>
          <w:rFonts w:cs="Arial"/>
        </w:rPr>
        <w:t xml:space="preserve"> per survey square). </w:t>
      </w:r>
      <w:r w:rsidR="00DA76D0">
        <w:rPr>
          <w:rFonts w:cs="Arial"/>
        </w:rPr>
        <w:t xml:space="preserve"> </w:t>
      </w:r>
      <w:r w:rsidRPr="00DC3BDA">
        <w:rPr>
          <w:rFonts w:cs="Arial"/>
        </w:rPr>
        <w:t xml:space="preserve">Within each </w:t>
      </w:r>
      <w:proofErr w:type="spellStart"/>
      <w:r w:rsidRPr="00DC3BDA">
        <w:rPr>
          <w:rFonts w:cs="Arial"/>
        </w:rPr>
        <w:t>quadrat</w:t>
      </w:r>
      <w:proofErr w:type="spellEnd"/>
      <w:r w:rsidRPr="00DC3BDA">
        <w:rPr>
          <w:rFonts w:cs="Arial"/>
        </w:rPr>
        <w:t xml:space="preserve">, all sedges were identified to species. Where possible, this was done in the field but where necessary, voucher specimens were taken for subsequent identification. </w:t>
      </w:r>
      <w:r w:rsidR="00DA76D0">
        <w:rPr>
          <w:rFonts w:cs="Arial"/>
        </w:rPr>
        <w:t xml:space="preserve"> </w:t>
      </w:r>
      <w:r w:rsidRPr="00DC3BDA">
        <w:rPr>
          <w:rFonts w:cs="Arial"/>
        </w:rPr>
        <w:t>Identification was based on</w:t>
      </w:r>
      <w:r w:rsidR="007E5075">
        <w:rPr>
          <w:rFonts w:cs="Arial"/>
        </w:rPr>
        <w:t xml:space="preserve"> refs [1</w:t>
      </w:r>
      <w:r w:rsidR="00DE4C8D">
        <w:rPr>
          <w:rFonts w:cs="Arial"/>
        </w:rPr>
        <w:t>7</w:t>
      </w:r>
      <w:r w:rsidR="0029214D">
        <w:rPr>
          <w:rFonts w:cs="Arial"/>
        </w:rPr>
        <w:t>–</w:t>
      </w:r>
      <w:r w:rsidR="007E5075">
        <w:rPr>
          <w:rFonts w:cs="Arial"/>
        </w:rPr>
        <w:t>2</w:t>
      </w:r>
      <w:r w:rsidR="00DE4C8D">
        <w:rPr>
          <w:rFonts w:cs="Arial"/>
        </w:rPr>
        <w:t>4</w:t>
      </w:r>
      <w:r w:rsidR="007E5075">
        <w:rPr>
          <w:rFonts w:cs="Arial"/>
        </w:rPr>
        <w:t>]</w:t>
      </w:r>
      <w:r w:rsidRPr="00DC3BDA">
        <w:rPr>
          <w:rFonts w:cs="Arial"/>
        </w:rPr>
        <w:t xml:space="preserve">. </w:t>
      </w:r>
      <w:r w:rsidR="00DA76D0">
        <w:rPr>
          <w:rFonts w:cs="Arial"/>
        </w:rPr>
        <w:t xml:space="preserve"> </w:t>
      </w:r>
      <w:r w:rsidRPr="00DC3BDA">
        <w:rPr>
          <w:rFonts w:cs="Arial"/>
        </w:rPr>
        <w:t xml:space="preserve">The percentage cover of each sedge species in the </w:t>
      </w:r>
      <w:proofErr w:type="spellStart"/>
      <w:r w:rsidRPr="00DC3BDA">
        <w:rPr>
          <w:rFonts w:cs="Arial"/>
        </w:rPr>
        <w:t>quadrat</w:t>
      </w:r>
      <w:proofErr w:type="spellEnd"/>
      <w:r w:rsidRPr="00DC3BDA">
        <w:rPr>
          <w:rFonts w:cs="Arial"/>
        </w:rPr>
        <w:t xml:space="preserve"> was estimated by eye using 10</w:t>
      </w:r>
      <w:r w:rsidR="004F61EB">
        <w:rPr>
          <w:rFonts w:cs="Arial"/>
        </w:rPr>
        <w:t xml:space="preserve"> </w:t>
      </w:r>
      <w:r w:rsidRPr="00DC3BDA">
        <w:rPr>
          <w:rFonts w:cs="Arial"/>
        </w:rPr>
        <w:t>cm x 10</w:t>
      </w:r>
      <w:r w:rsidR="004F61EB">
        <w:rPr>
          <w:rFonts w:cs="Arial"/>
        </w:rPr>
        <w:t xml:space="preserve"> </w:t>
      </w:r>
      <w:r w:rsidRPr="00DC3BDA">
        <w:rPr>
          <w:rFonts w:cs="Arial"/>
        </w:rPr>
        <w:t>cm</w:t>
      </w:r>
      <w:r w:rsidRPr="00DC3BDA" w:rsidDel="006406D0">
        <w:rPr>
          <w:rFonts w:cs="Arial"/>
        </w:rPr>
        <w:t xml:space="preserve"> </w:t>
      </w:r>
      <w:r w:rsidRPr="00DC3BDA">
        <w:rPr>
          <w:rFonts w:cs="Arial"/>
        </w:rPr>
        <w:t xml:space="preserve">markers to assist with coverage estimation </w:t>
      </w:r>
      <w:r w:rsidR="007E5075">
        <w:rPr>
          <w:rFonts w:cs="Arial"/>
        </w:rPr>
        <w:t>[2</w:t>
      </w:r>
      <w:r w:rsidR="00DE4C8D">
        <w:rPr>
          <w:rFonts w:cs="Arial"/>
        </w:rPr>
        <w:t>5</w:t>
      </w:r>
      <w:r w:rsidR="007E5075">
        <w:rPr>
          <w:rFonts w:cs="Arial"/>
        </w:rPr>
        <w:t>]</w:t>
      </w:r>
      <w:r w:rsidRPr="00DC3BDA">
        <w:rPr>
          <w:rFonts w:cs="Arial"/>
        </w:rPr>
        <w:t xml:space="preserve">.  The </w:t>
      </w:r>
      <w:r w:rsidR="00C6431F" w:rsidRPr="00DC3BDA">
        <w:rPr>
          <w:rFonts w:cs="Arial"/>
        </w:rPr>
        <w:t>average</w:t>
      </w:r>
      <w:r w:rsidRPr="00DC3BDA">
        <w:rPr>
          <w:rFonts w:cs="Arial"/>
        </w:rPr>
        <w:t xml:space="preserve"> proportion of each survey square covered by a given sedge species was estimated by taking the </w:t>
      </w:r>
      <w:r w:rsidR="00C6431F" w:rsidRPr="00DC3BDA">
        <w:rPr>
          <w:rFonts w:cs="Arial"/>
        </w:rPr>
        <w:t>mean</w:t>
      </w:r>
      <w:r w:rsidRPr="00DC3BDA">
        <w:rPr>
          <w:rFonts w:cs="Arial"/>
        </w:rPr>
        <w:t xml:space="preserve"> of cover values for the 100 </w:t>
      </w:r>
      <w:proofErr w:type="spellStart"/>
      <w:r w:rsidRPr="00DC3BDA">
        <w:rPr>
          <w:rFonts w:cs="Arial"/>
        </w:rPr>
        <w:t>quadrats</w:t>
      </w:r>
      <w:proofErr w:type="spellEnd"/>
      <w:r w:rsidRPr="00DC3BDA">
        <w:rPr>
          <w:rFonts w:cs="Arial"/>
        </w:rPr>
        <w:t xml:space="preserve"> in the square.</w:t>
      </w:r>
    </w:p>
    <w:p w:rsidR="00600387" w:rsidRPr="00DC3BDA" w:rsidRDefault="00600387" w:rsidP="00DC3BDA">
      <w:pPr>
        <w:rPr>
          <w:rFonts w:cs="Arial"/>
          <w:b/>
        </w:rPr>
      </w:pPr>
    </w:p>
    <w:p w:rsidR="00600387" w:rsidRPr="00DC3BDA" w:rsidRDefault="0034544A" w:rsidP="0034544A">
      <w:pPr>
        <w:ind w:left="357" w:hanging="357"/>
        <w:rPr>
          <w:rFonts w:cs="Arial"/>
          <w:b/>
        </w:rPr>
      </w:pPr>
      <w:r>
        <w:rPr>
          <w:rFonts w:cs="Arial"/>
          <w:b/>
        </w:rPr>
        <w:t>(e)</w:t>
      </w:r>
      <w:r>
        <w:rPr>
          <w:rFonts w:cs="Arial"/>
          <w:b/>
        </w:rPr>
        <w:tab/>
      </w:r>
      <w:r w:rsidR="0040684A" w:rsidRPr="00DC3BDA">
        <w:rPr>
          <w:rFonts w:cs="Arial"/>
          <w:b/>
        </w:rPr>
        <w:t>Fitting density-yield curves</w:t>
      </w:r>
    </w:p>
    <w:p w:rsidR="0040684A" w:rsidRPr="00DC3BDA" w:rsidRDefault="0040684A" w:rsidP="00DC3BDA">
      <w:pPr>
        <w:rPr>
          <w:rFonts w:eastAsiaTheme="minorEastAsia" w:cs="Arial"/>
        </w:rPr>
      </w:pPr>
      <w:r w:rsidRPr="00DC3BDA">
        <w:rPr>
          <w:rFonts w:cs="Arial"/>
        </w:rPr>
        <w:t xml:space="preserve">Methods for curve-fitting </w:t>
      </w:r>
      <w:r w:rsidR="007E5075">
        <w:rPr>
          <w:rFonts w:cs="Arial"/>
        </w:rPr>
        <w:t>followed ref. [2</w:t>
      </w:r>
      <w:r w:rsidR="00DE4C8D">
        <w:rPr>
          <w:rFonts w:cs="Arial"/>
        </w:rPr>
        <w:t>6</w:t>
      </w:r>
      <w:r w:rsidR="007E5075">
        <w:rPr>
          <w:rFonts w:cs="Arial"/>
        </w:rPr>
        <w:t>]</w:t>
      </w:r>
      <w:r w:rsidRPr="00DC3BDA">
        <w:rPr>
          <w:rFonts w:cs="Arial"/>
        </w:rPr>
        <w:t xml:space="preserve">, but adapted </w:t>
      </w:r>
      <w:r w:rsidR="00C6431F" w:rsidRPr="00DC3BDA">
        <w:rPr>
          <w:rFonts w:cs="Arial"/>
        </w:rPr>
        <w:t>here because the</w:t>
      </w:r>
      <w:r w:rsidRPr="00DC3BDA">
        <w:rPr>
          <w:rFonts w:cs="Arial"/>
        </w:rPr>
        <w:t xml:space="preserve"> data</w:t>
      </w:r>
      <w:r w:rsidR="00C6431F" w:rsidRPr="00DC3BDA">
        <w:rPr>
          <w:rFonts w:cs="Arial"/>
        </w:rPr>
        <w:t xml:space="preserve"> </w:t>
      </w:r>
      <w:r w:rsidRPr="00DC3BDA">
        <w:rPr>
          <w:rFonts w:cs="Arial"/>
        </w:rPr>
        <w:t xml:space="preserve">derive from study sites </w:t>
      </w:r>
      <w:r w:rsidRPr="00DC3BDA">
        <w:rPr>
          <w:rFonts w:eastAsiaTheme="minorEastAsia" w:cs="Arial"/>
        </w:rPr>
        <w:t xml:space="preserve">on two different categories of soil type. </w:t>
      </w:r>
    </w:p>
    <w:p w:rsidR="004E3A77" w:rsidRDefault="0040684A" w:rsidP="00D52170">
      <w:pPr>
        <w:rPr>
          <w:rFonts w:cs="Arial"/>
        </w:rPr>
      </w:pPr>
      <w:r w:rsidRPr="00DC3BDA">
        <w:rPr>
          <w:rFonts w:cs="Arial"/>
          <w:color w:val="000000" w:themeColor="text1"/>
        </w:rPr>
        <w:t xml:space="preserve">For data </w:t>
      </w:r>
      <w:r w:rsidR="00AE0C2C">
        <w:rPr>
          <w:rFonts w:cs="Arial"/>
          <w:color w:val="000000" w:themeColor="text1"/>
        </w:rPr>
        <w:t xml:space="preserve">on birds </w:t>
      </w:r>
      <w:r w:rsidRPr="00DC3BDA">
        <w:rPr>
          <w:rFonts w:cs="Arial"/>
          <w:color w:val="000000" w:themeColor="text1"/>
        </w:rPr>
        <w:t xml:space="preserve">derived from counts, we fitted Maximum-likelihood (M-L) </w:t>
      </w:r>
      <w:proofErr w:type="spellStart"/>
      <w:r w:rsidRPr="00DC3BDA">
        <w:rPr>
          <w:rFonts w:cs="Arial"/>
          <w:color w:val="000000" w:themeColor="text1"/>
        </w:rPr>
        <w:t>univariate</w:t>
      </w:r>
      <w:proofErr w:type="spellEnd"/>
      <w:r w:rsidRPr="00DC3BDA">
        <w:rPr>
          <w:rFonts w:cs="Arial"/>
          <w:color w:val="000000" w:themeColor="text1"/>
        </w:rPr>
        <w:t xml:space="preserve"> parametric </w:t>
      </w:r>
      <w:r w:rsidRPr="00DC3BDA">
        <w:rPr>
          <w:rFonts w:cs="Arial"/>
        </w:rPr>
        <w:t>regression models for each species with</w:t>
      </w:r>
      <w:r w:rsidR="00AE0C2C">
        <w:rPr>
          <w:rFonts w:cs="Arial"/>
        </w:rPr>
        <w:t xml:space="preserve"> the count of </w:t>
      </w:r>
      <w:r w:rsidR="00AE0C2C" w:rsidRPr="00DC3BDA">
        <w:rPr>
          <w:rFonts w:cs="Arial"/>
        </w:rPr>
        <w:t>clusters (groups of individuals) detected</w:t>
      </w:r>
      <w:r w:rsidR="00AE0C2C">
        <w:rPr>
          <w:rFonts w:cs="Arial"/>
        </w:rPr>
        <w:t xml:space="preserve"> in a survey plot</w:t>
      </w:r>
      <w:r w:rsidR="00AE0C2C" w:rsidRPr="00AE0C2C">
        <w:rPr>
          <w:rFonts w:cs="Arial"/>
          <w:i/>
        </w:rPr>
        <w:t xml:space="preserve"> n</w:t>
      </w:r>
      <w:r w:rsidR="00AE0C2C" w:rsidRPr="00DC3BDA">
        <w:rPr>
          <w:rFonts w:cs="Arial"/>
        </w:rPr>
        <w:t>,</w:t>
      </w:r>
      <w:r w:rsidRPr="00DC3BDA">
        <w:rPr>
          <w:rFonts w:cs="Arial"/>
        </w:rPr>
        <w:t xml:space="preserve"> as the dependent variable and annual food energy production per unit area</w:t>
      </w:r>
      <w:r w:rsidR="00BF7273">
        <w:rPr>
          <w:rFonts w:cs="Arial"/>
        </w:rPr>
        <w:t xml:space="preserve"> </w:t>
      </w:r>
      <w:r w:rsidR="00AB7F8F" w:rsidRPr="00AB7F8F">
        <w:rPr>
          <w:rFonts w:cs="Arial"/>
          <w:i/>
        </w:rPr>
        <w:t>x</w:t>
      </w:r>
      <w:r w:rsidRPr="00DC3BDA">
        <w:rPr>
          <w:rFonts w:cs="Arial"/>
        </w:rPr>
        <w:t xml:space="preserve"> as the independent variable. </w:t>
      </w:r>
      <w:r w:rsidR="00D52170">
        <w:rPr>
          <w:rFonts w:cs="Arial"/>
        </w:rPr>
        <w:t xml:space="preserve"> </w:t>
      </w:r>
      <w:r w:rsidR="00AE0C2C">
        <w:rPr>
          <w:rFonts w:cs="Arial"/>
        </w:rPr>
        <w:t>We included an offset term in all models of bird data to account for variation among plots</w:t>
      </w:r>
      <w:r w:rsidR="004E3A77">
        <w:rPr>
          <w:rFonts w:cs="Arial"/>
        </w:rPr>
        <w:t xml:space="preserve"> in the</w:t>
      </w:r>
      <w:r w:rsidR="00AE0C2C" w:rsidRPr="00DC3BDA">
        <w:rPr>
          <w:rFonts w:cs="Arial"/>
        </w:rPr>
        <w:t xml:space="preserve"> effective survey area</w:t>
      </w:r>
      <w:r w:rsidR="00AE0C2C">
        <w:rPr>
          <w:rFonts w:cs="Arial"/>
        </w:rPr>
        <w:t xml:space="preserve"> per </w:t>
      </w:r>
      <w:r w:rsidR="00BF7273">
        <w:rPr>
          <w:rFonts w:cs="Arial"/>
        </w:rPr>
        <w:t>visit</w:t>
      </w:r>
      <w:r w:rsidR="00AE0C2C" w:rsidRPr="00DC3BDA">
        <w:rPr>
          <w:rFonts w:cs="Arial"/>
        </w:rPr>
        <w:t xml:space="preserve"> </w:t>
      </w:r>
      <w:r w:rsidR="00AE0C2C" w:rsidRPr="00DC3BDA">
        <w:rPr>
          <w:rFonts w:cs="Arial"/>
          <w:i/>
        </w:rPr>
        <w:t>a</w:t>
      </w:r>
      <w:r w:rsidR="00AE0C2C">
        <w:rPr>
          <w:rFonts w:cs="Arial"/>
        </w:rPr>
        <w:t xml:space="preserve"> </w:t>
      </w:r>
      <w:r w:rsidR="00AE0C2C" w:rsidRPr="00DC3BDA">
        <w:rPr>
          <w:rFonts w:cs="Arial"/>
        </w:rPr>
        <w:t>(derived from the Distance analysis for birds</w:t>
      </w:r>
      <w:r w:rsidR="00AE0C2C">
        <w:rPr>
          <w:rFonts w:cs="Arial"/>
        </w:rPr>
        <w:t>- see above</w:t>
      </w:r>
      <w:r w:rsidR="00AE0C2C" w:rsidRPr="00DC3BDA">
        <w:rPr>
          <w:rFonts w:cs="Arial"/>
        </w:rPr>
        <w:t xml:space="preserve">), </w:t>
      </w:r>
      <w:r w:rsidR="00AE0C2C">
        <w:rPr>
          <w:rFonts w:cs="Arial"/>
        </w:rPr>
        <w:t xml:space="preserve">the number of survey visits </w:t>
      </w:r>
      <w:r w:rsidR="004E3A77" w:rsidRPr="00DC3BDA">
        <w:rPr>
          <w:rFonts w:cs="Arial"/>
          <w:i/>
        </w:rPr>
        <w:t>e</w:t>
      </w:r>
      <w:r w:rsidR="004E3A77">
        <w:rPr>
          <w:rFonts w:cs="Arial"/>
        </w:rPr>
        <w:t xml:space="preserve"> </w:t>
      </w:r>
      <w:r w:rsidR="004E3A77" w:rsidRPr="00DC3BDA">
        <w:rPr>
          <w:rFonts w:cs="Arial"/>
        </w:rPr>
        <w:t>and the mean cluster size (individuals per cluster) for that species</w:t>
      </w:r>
      <w:r w:rsidR="004E3A77">
        <w:rPr>
          <w:rFonts w:cs="Arial"/>
        </w:rPr>
        <w:t xml:space="preserve"> </w:t>
      </w:r>
      <w:r w:rsidR="00AB7F8F" w:rsidRPr="00AB7F8F">
        <w:rPr>
          <w:rFonts w:cs="Arial"/>
          <w:i/>
        </w:rPr>
        <w:t>s</w:t>
      </w:r>
      <w:r w:rsidR="004E3A77">
        <w:rPr>
          <w:rFonts w:cs="Arial"/>
        </w:rPr>
        <w:t xml:space="preserve">. We did this because we wished to </w:t>
      </w:r>
      <w:r w:rsidR="00BF7273">
        <w:rPr>
          <w:rFonts w:cs="Arial"/>
        </w:rPr>
        <w:t xml:space="preserve">obtain a </w:t>
      </w:r>
      <w:r w:rsidR="004E3A77">
        <w:rPr>
          <w:rFonts w:cs="Arial"/>
        </w:rPr>
        <w:t xml:space="preserve">model </w:t>
      </w:r>
      <w:r w:rsidR="00BF7273">
        <w:rPr>
          <w:rFonts w:cs="Arial"/>
        </w:rPr>
        <w:t xml:space="preserve">of </w:t>
      </w:r>
      <w:r w:rsidR="004E3A77">
        <w:rPr>
          <w:rFonts w:cs="Arial"/>
        </w:rPr>
        <w:t xml:space="preserve">population density </w:t>
      </w:r>
      <w:r w:rsidR="00AB7F8F" w:rsidRPr="00AB7F8F">
        <w:rPr>
          <w:rFonts w:cs="Arial"/>
          <w:i/>
        </w:rPr>
        <w:t>y</w:t>
      </w:r>
      <w:r w:rsidR="004E3A77">
        <w:rPr>
          <w:rFonts w:cs="Arial"/>
        </w:rPr>
        <w:t xml:space="preserve"> (mean number of individual birds per unit area per survey visit) in relation to yield.  The mean density of individuals </w:t>
      </w:r>
      <w:r w:rsidR="004F48D1">
        <w:rPr>
          <w:rFonts w:cs="Arial"/>
        </w:rPr>
        <w:t xml:space="preserve">in a plot </w:t>
      </w:r>
      <w:r w:rsidR="004E3A77">
        <w:rPr>
          <w:rFonts w:cs="Arial"/>
        </w:rPr>
        <w:t>is given by</w:t>
      </w:r>
    </w:p>
    <w:p w:rsidR="004E3A77" w:rsidRDefault="00AB7F8F" w:rsidP="00D52170">
      <w:pPr>
        <w:rPr>
          <w:rFonts w:cs="Arial"/>
        </w:rPr>
      </w:pPr>
      <w:r w:rsidRPr="00AB7F8F">
        <w:rPr>
          <w:rFonts w:cs="Arial"/>
          <w:i/>
        </w:rPr>
        <w:t>y</w:t>
      </w:r>
      <w:r w:rsidR="004E3A77">
        <w:rPr>
          <w:rFonts w:cs="Arial"/>
        </w:rPr>
        <w:t>= (</w:t>
      </w:r>
      <w:r w:rsidRPr="00AB7F8F">
        <w:rPr>
          <w:rFonts w:cs="Arial"/>
          <w:i/>
        </w:rPr>
        <w:t>n</w:t>
      </w:r>
      <w:r w:rsidR="004E3A77">
        <w:rPr>
          <w:rFonts w:cs="Arial"/>
        </w:rPr>
        <w:t>*</w:t>
      </w:r>
      <w:r w:rsidRPr="00AB7F8F">
        <w:rPr>
          <w:rFonts w:cs="Arial"/>
          <w:i/>
        </w:rPr>
        <w:t>s</w:t>
      </w:r>
      <w:r w:rsidR="004E3A77">
        <w:rPr>
          <w:rFonts w:cs="Arial"/>
        </w:rPr>
        <w:t>) / (</w:t>
      </w:r>
      <w:r w:rsidRPr="00AB7F8F">
        <w:rPr>
          <w:rFonts w:cs="Arial"/>
          <w:i/>
        </w:rPr>
        <w:t>a</w:t>
      </w:r>
      <w:r w:rsidR="004E3A77">
        <w:rPr>
          <w:rFonts w:cs="Arial"/>
        </w:rPr>
        <w:t>*</w:t>
      </w:r>
      <w:r w:rsidRPr="00AB7F8F">
        <w:rPr>
          <w:rFonts w:cs="Arial"/>
          <w:i/>
        </w:rPr>
        <w:t>e</w:t>
      </w:r>
      <w:r w:rsidR="004E3A77">
        <w:rPr>
          <w:rFonts w:cs="Arial"/>
        </w:rPr>
        <w:t>),</w:t>
      </w:r>
    </w:p>
    <w:p w:rsidR="004E3A77" w:rsidRDefault="004E3A77" w:rsidP="00D52170">
      <w:pPr>
        <w:rPr>
          <w:rFonts w:eastAsiaTheme="minorEastAsia" w:cs="Arial"/>
        </w:rPr>
      </w:pPr>
      <w:proofErr w:type="gramStart"/>
      <w:r>
        <w:rPr>
          <w:rFonts w:eastAsiaTheme="minorEastAsia" w:cs="Arial"/>
        </w:rPr>
        <w:t>and</w:t>
      </w:r>
      <w:proofErr w:type="gramEnd"/>
      <w:r>
        <w:rPr>
          <w:rFonts w:eastAsiaTheme="minorEastAsia" w:cs="Arial"/>
        </w:rPr>
        <w:t xml:space="preserve"> therefore</w:t>
      </w:r>
    </w:p>
    <w:p w:rsidR="004E3A77" w:rsidRDefault="004E3A77" w:rsidP="00D52170">
      <w:pPr>
        <w:rPr>
          <w:rFonts w:cs="Arial"/>
        </w:rPr>
      </w:pPr>
      <w:r>
        <w:rPr>
          <w:rFonts w:cs="Arial"/>
          <w:i/>
        </w:rPr>
        <w:t xml:space="preserve">y </w:t>
      </w:r>
      <w:r w:rsidRPr="00DC3BDA">
        <w:rPr>
          <w:rFonts w:cs="Arial"/>
        </w:rPr>
        <w:t xml:space="preserve">= </w:t>
      </w:r>
      <w:r w:rsidR="00AB7F8F" w:rsidRPr="00AB7F8F">
        <w:rPr>
          <w:rFonts w:cs="Arial"/>
          <w:i/>
        </w:rPr>
        <w:t>n</w:t>
      </w:r>
      <w:r>
        <w:rPr>
          <w:rFonts w:cs="Arial"/>
        </w:rPr>
        <w:t xml:space="preserve"> / </w:t>
      </w:r>
      <w:r w:rsidR="00AB7F8F" w:rsidRPr="00AB7F8F">
        <w:rPr>
          <w:rFonts w:cs="Arial"/>
          <w:i/>
        </w:rPr>
        <w:t>v</w:t>
      </w:r>
      <w:r>
        <w:rPr>
          <w:rFonts w:cs="Arial"/>
        </w:rPr>
        <w:t>,</w:t>
      </w:r>
    </w:p>
    <w:p w:rsidR="00965C8A" w:rsidRDefault="004E3A77" w:rsidP="00965C8A">
      <w:pPr>
        <w:rPr>
          <w:rFonts w:eastAsiaTheme="minorEastAsia" w:cs="Arial"/>
        </w:rPr>
      </w:pPr>
      <w:proofErr w:type="gramStart"/>
      <w:r>
        <w:rPr>
          <w:rFonts w:cs="Arial"/>
        </w:rPr>
        <w:t>where</w:t>
      </w:r>
      <w:proofErr w:type="gramEnd"/>
      <w:r>
        <w:rPr>
          <w:rFonts w:cs="Arial"/>
        </w:rPr>
        <w:t xml:space="preserve"> </w:t>
      </w:r>
      <w:r w:rsidR="00AB7F8F" w:rsidRPr="00AB7F8F">
        <w:rPr>
          <w:rFonts w:cs="Arial"/>
          <w:i/>
        </w:rPr>
        <w:t>v</w:t>
      </w:r>
      <w:r>
        <w:rPr>
          <w:rFonts w:cs="Arial"/>
        </w:rPr>
        <w:t xml:space="preserve"> = </w:t>
      </w:r>
      <w:r w:rsidRPr="00DC3BDA">
        <w:rPr>
          <w:rFonts w:cs="Arial"/>
        </w:rPr>
        <w:t>(</w:t>
      </w:r>
      <w:r w:rsidRPr="00DC3BDA">
        <w:rPr>
          <w:rFonts w:cs="Arial"/>
          <w:i/>
        </w:rPr>
        <w:t>a</w:t>
      </w:r>
      <w:r w:rsidRPr="00DC3BDA">
        <w:rPr>
          <w:rFonts w:cs="Arial"/>
        </w:rPr>
        <w:t xml:space="preserve"> * </w:t>
      </w:r>
      <w:r w:rsidRPr="00DC3BDA">
        <w:rPr>
          <w:rFonts w:cs="Arial"/>
          <w:i/>
        </w:rPr>
        <w:t>e</w:t>
      </w:r>
      <w:r w:rsidRPr="00DC3BDA">
        <w:rPr>
          <w:rFonts w:cs="Arial"/>
        </w:rPr>
        <w:t xml:space="preserve">) / </w:t>
      </w:r>
      <w:r w:rsidRPr="00DC3BDA">
        <w:rPr>
          <w:rFonts w:cs="Arial"/>
          <w:i/>
        </w:rPr>
        <w:t>s</w:t>
      </w:r>
      <w:r>
        <w:rPr>
          <w:rFonts w:cs="Arial"/>
          <w:i/>
        </w:rPr>
        <w:t>)</w:t>
      </w:r>
      <w:r w:rsidR="004F48D1">
        <w:rPr>
          <w:rFonts w:cs="Arial"/>
          <w:i/>
        </w:rPr>
        <w:t xml:space="preserve">.  </w:t>
      </w:r>
      <w:r w:rsidR="00BF7273">
        <w:rPr>
          <w:rFonts w:cs="Arial"/>
        </w:rPr>
        <w:t>B</w:t>
      </w:r>
      <w:r w:rsidR="00AB7F8F" w:rsidRPr="00AB7F8F">
        <w:rPr>
          <w:rFonts w:cs="Arial"/>
        </w:rPr>
        <w:t>y including log</w:t>
      </w:r>
      <w:r w:rsidR="00AB7F8F" w:rsidRPr="00AB7F8F">
        <w:rPr>
          <w:rFonts w:cs="Arial"/>
          <w:vertAlign w:val="subscript"/>
        </w:rPr>
        <w:t>e</w:t>
      </w:r>
      <w:r w:rsidR="00AB7F8F" w:rsidRPr="00AB7F8F">
        <w:rPr>
          <w:rFonts w:cs="Arial"/>
        </w:rPr>
        <w:t>(</w:t>
      </w:r>
      <w:r w:rsidR="004F48D1" w:rsidRPr="004F48D1">
        <w:rPr>
          <w:rFonts w:cs="Arial"/>
          <w:i/>
        </w:rPr>
        <w:t>v</w:t>
      </w:r>
      <w:r w:rsidR="00AB7F8F" w:rsidRPr="00AB7F8F">
        <w:rPr>
          <w:rFonts w:cs="Arial"/>
        </w:rPr>
        <w:t xml:space="preserve">) as an offset term in the Poisson regression model with </w:t>
      </w:r>
      <w:r w:rsidR="004F48D1" w:rsidRPr="004F48D1">
        <w:rPr>
          <w:rFonts w:cs="Arial"/>
          <w:i/>
        </w:rPr>
        <w:t>n</w:t>
      </w:r>
      <w:r w:rsidR="00AB7F8F" w:rsidRPr="00AB7F8F">
        <w:rPr>
          <w:rFonts w:cs="Arial"/>
        </w:rPr>
        <w:t xml:space="preserve"> as the dependent variable and a logarithmic link function, our fitted models w</w:t>
      </w:r>
      <w:r w:rsidR="004F48D1">
        <w:rPr>
          <w:rFonts w:cs="Arial"/>
        </w:rPr>
        <w:t>e</w:t>
      </w:r>
      <w:r w:rsidR="00AB7F8F" w:rsidRPr="00AB7F8F">
        <w:rPr>
          <w:rFonts w:cs="Arial"/>
        </w:rPr>
        <w:t xml:space="preserve">re </w:t>
      </w:r>
      <w:r w:rsidR="004F48D1">
        <w:rPr>
          <w:rFonts w:cs="Arial"/>
        </w:rPr>
        <w:t xml:space="preserve">made </w:t>
      </w:r>
      <w:r w:rsidR="00AB7F8F" w:rsidRPr="00AB7F8F">
        <w:rPr>
          <w:rFonts w:cs="Arial"/>
        </w:rPr>
        <w:t>equivalent to models of population density in relation to yield</w:t>
      </w:r>
      <w:r w:rsidR="00965C8A">
        <w:rPr>
          <w:rFonts w:cs="Arial"/>
        </w:rPr>
        <w:t xml:space="preserve">. The formulae in table S5 represent the relationships we assumed to hold between population density y and yield </w:t>
      </w:r>
      <w:r w:rsidR="00AB7F8F" w:rsidRPr="00AB7F8F">
        <w:rPr>
          <w:rFonts w:cs="Arial"/>
          <w:i/>
        </w:rPr>
        <w:t>x</w:t>
      </w:r>
      <w:r w:rsidR="00965C8A">
        <w:rPr>
          <w:rFonts w:cs="Arial"/>
        </w:rPr>
        <w:t xml:space="preserve"> which </w:t>
      </w:r>
      <w:r w:rsidR="00965C8A" w:rsidRPr="00DC3BDA">
        <w:rPr>
          <w:rFonts w:cs="Arial"/>
        </w:rPr>
        <w:t xml:space="preserve">represents </w:t>
      </w:r>
      <w:r w:rsidR="00965C8A">
        <w:rPr>
          <w:rFonts w:cs="Arial"/>
        </w:rPr>
        <w:t xml:space="preserve">annual food energy </w:t>
      </w:r>
      <w:r w:rsidR="00965C8A" w:rsidRPr="00DC3BDA">
        <w:rPr>
          <w:rFonts w:cs="Arial"/>
        </w:rPr>
        <w:t>yield (in GJ ha</w:t>
      </w:r>
      <w:r w:rsidR="00965C8A" w:rsidRPr="00DC3BDA">
        <w:rPr>
          <w:rFonts w:cs="Arial"/>
          <w:vertAlign w:val="superscript"/>
        </w:rPr>
        <w:t xml:space="preserve">-1 </w:t>
      </w:r>
      <w:r w:rsidR="00965C8A" w:rsidRPr="00DC3BDA">
        <w:rPr>
          <w:rFonts w:cs="Arial"/>
        </w:rPr>
        <w:t>yr</w:t>
      </w:r>
      <w:r w:rsidR="00965C8A" w:rsidRPr="00DC3BDA">
        <w:rPr>
          <w:rFonts w:cs="Arial"/>
          <w:vertAlign w:val="superscript"/>
        </w:rPr>
        <w:t>-1</w:t>
      </w:r>
      <w:r w:rsidR="00965C8A" w:rsidRPr="00DC3BDA">
        <w:rPr>
          <w:rFonts w:cs="Arial"/>
        </w:rPr>
        <w:t>)</w:t>
      </w:r>
      <w:r w:rsidR="00AB7F8F" w:rsidRPr="00AB7F8F">
        <w:rPr>
          <w:rFonts w:cs="Arial"/>
        </w:rPr>
        <w:t>.</w:t>
      </w:r>
      <w:r w:rsidR="00965C8A">
        <w:rPr>
          <w:rFonts w:cs="Arial"/>
        </w:rPr>
        <w:t xml:space="preserve">  The par</w:t>
      </w:r>
      <w:r w:rsidR="00965C8A" w:rsidRPr="00DC3BDA">
        <w:rPr>
          <w:rFonts w:cs="Arial"/>
        </w:rPr>
        <w:t>a</w:t>
      </w:r>
      <w:r w:rsidR="00965C8A">
        <w:rPr>
          <w:rFonts w:cs="Arial"/>
        </w:rPr>
        <w:t>meter estimates</w:t>
      </w:r>
      <w:r w:rsidR="00965C8A" w:rsidRPr="00DC3BDA">
        <w:rPr>
          <w:rFonts w:cs="Arial"/>
        </w:rPr>
        <w:t xml:space="preserve"> </w:t>
      </w:r>
      <w:r w:rsidR="00965C8A" w:rsidRPr="00DC3BDA">
        <w:rPr>
          <w:rFonts w:cs="Arial"/>
          <w:i/>
        </w:rPr>
        <w:t>b</w:t>
      </w:r>
      <w:r w:rsidR="00965C8A" w:rsidRPr="00DC3BDA">
        <w:rPr>
          <w:rFonts w:cs="Arial"/>
          <w:vertAlign w:val="subscript"/>
        </w:rPr>
        <w:t>0</w:t>
      </w:r>
      <w:r w:rsidR="00965C8A" w:rsidRPr="00DC3BDA">
        <w:rPr>
          <w:rFonts w:cs="Arial"/>
        </w:rPr>
        <w:t xml:space="preserve">, </w:t>
      </w:r>
      <w:r w:rsidR="00965C8A" w:rsidRPr="00DC3BDA">
        <w:rPr>
          <w:rFonts w:cs="Arial"/>
          <w:i/>
        </w:rPr>
        <w:t>b</w:t>
      </w:r>
      <w:r w:rsidR="00965C8A" w:rsidRPr="00DC3BDA">
        <w:rPr>
          <w:rFonts w:cs="Arial"/>
          <w:vertAlign w:val="subscript"/>
        </w:rPr>
        <w:t>1,</w:t>
      </w:r>
      <w:r w:rsidR="00965C8A" w:rsidRPr="00DC3BDA">
        <w:rPr>
          <w:rFonts w:cs="Arial"/>
        </w:rPr>
        <w:t xml:space="preserve"> </w:t>
      </w:r>
      <w:r w:rsidR="00965C8A" w:rsidRPr="00DC3BDA">
        <w:rPr>
          <w:rFonts w:cs="Arial"/>
          <w:i/>
        </w:rPr>
        <w:t>b</w:t>
      </w:r>
      <w:r w:rsidR="00965C8A" w:rsidRPr="00DC3BDA">
        <w:rPr>
          <w:rFonts w:cs="Arial"/>
          <w:vertAlign w:val="subscript"/>
        </w:rPr>
        <w:t>2</w:t>
      </w:r>
      <w:r w:rsidR="00965C8A" w:rsidRPr="00DC3BDA">
        <w:rPr>
          <w:rFonts w:cs="Arial"/>
        </w:rPr>
        <w:t xml:space="preserve">, </w:t>
      </w:r>
      <w:proofErr w:type="spellStart"/>
      <w:r w:rsidR="00965C8A" w:rsidRPr="00DC3BDA">
        <w:rPr>
          <w:rFonts w:cs="Arial"/>
          <w:i/>
        </w:rPr>
        <w:lastRenderedPageBreak/>
        <w:t>b</w:t>
      </w:r>
      <w:r w:rsidR="00965C8A">
        <w:rPr>
          <w:rFonts w:cs="Arial"/>
          <w:vertAlign w:val="subscript"/>
        </w:rPr>
        <w:t>W</w:t>
      </w:r>
      <w:proofErr w:type="spellEnd"/>
      <w:r w:rsidR="00965C8A" w:rsidRPr="00DC3BDA">
        <w:rPr>
          <w:rFonts w:cs="Arial"/>
          <w:vertAlign w:val="subscript"/>
        </w:rPr>
        <w:t xml:space="preserve"> </w:t>
      </w:r>
      <w:r w:rsidR="00965C8A" w:rsidRPr="00DC3BDA">
        <w:rPr>
          <w:rFonts w:cs="Arial"/>
        </w:rPr>
        <w:t xml:space="preserve">and </w:t>
      </w:r>
      <w:r w:rsidR="00965C8A" w:rsidRPr="00DC3BDA">
        <w:rPr>
          <w:rFonts w:cs="Arial"/>
          <w:i/>
        </w:rPr>
        <w:t xml:space="preserve">α </w:t>
      </w:r>
      <w:r w:rsidR="00965C8A">
        <w:rPr>
          <w:rFonts w:cs="Arial"/>
        </w:rPr>
        <w:t xml:space="preserve">were </w:t>
      </w:r>
      <w:r w:rsidR="00965C8A" w:rsidRPr="00DC3BDA">
        <w:rPr>
          <w:rFonts w:eastAsiaTheme="minorEastAsia" w:cs="Arial"/>
        </w:rPr>
        <w:t>estimated from the data</w:t>
      </w:r>
      <w:r w:rsidR="00965C8A">
        <w:rPr>
          <w:rFonts w:eastAsiaTheme="minorEastAsia" w:cs="Arial"/>
        </w:rPr>
        <w:t xml:space="preserve"> by the Poisson regression method described above and are models of population density </w:t>
      </w:r>
      <w:r w:rsidR="00AB7F8F" w:rsidRPr="00AB7F8F">
        <w:rPr>
          <w:rFonts w:eastAsiaTheme="minorEastAsia" w:cs="Arial"/>
          <w:i/>
        </w:rPr>
        <w:t>y</w:t>
      </w:r>
      <w:r w:rsidR="00965C8A">
        <w:rPr>
          <w:rFonts w:eastAsiaTheme="minorEastAsia" w:cs="Arial"/>
        </w:rPr>
        <w:t xml:space="preserve">, rather than the count of clusters in a plot </w:t>
      </w:r>
      <w:r w:rsidR="00AB7F8F" w:rsidRPr="00AB7F8F">
        <w:rPr>
          <w:rFonts w:eastAsiaTheme="minorEastAsia" w:cs="Arial"/>
          <w:i/>
        </w:rPr>
        <w:t>n</w:t>
      </w:r>
      <w:r w:rsidR="00965C8A">
        <w:rPr>
          <w:rFonts w:eastAsiaTheme="minorEastAsia" w:cs="Arial"/>
        </w:rPr>
        <w:t>, through the inclusion in the regression of the offset term</w:t>
      </w:r>
      <w:r w:rsidR="00965C8A" w:rsidRPr="00DC3BDA">
        <w:rPr>
          <w:rFonts w:eastAsiaTheme="minorEastAsia" w:cs="Arial"/>
        </w:rPr>
        <w:t>.</w:t>
      </w:r>
      <w:r w:rsidR="00680823">
        <w:rPr>
          <w:rFonts w:eastAsiaTheme="minorEastAsia" w:cs="Arial"/>
        </w:rPr>
        <w:t xml:space="preserve">  For example, for Model </w:t>
      </w:r>
      <w:proofErr w:type="gramStart"/>
      <w:r w:rsidR="00680823">
        <w:rPr>
          <w:rFonts w:eastAsiaTheme="minorEastAsia" w:cs="Arial"/>
        </w:rPr>
        <w:t>A</w:t>
      </w:r>
      <w:proofErr w:type="gramEnd"/>
      <w:r w:rsidR="00680823">
        <w:rPr>
          <w:rFonts w:eastAsiaTheme="minorEastAsia" w:cs="Arial"/>
        </w:rPr>
        <w:t xml:space="preserve"> in table S5, the expression shown for population density is</w:t>
      </w:r>
    </w:p>
    <w:p w:rsidR="004F48D1" w:rsidRDefault="00AB7F8F" w:rsidP="00D52170">
      <w:pPr>
        <w:rPr>
          <w:rFonts w:cs="Arial"/>
        </w:rPr>
      </w:pPr>
      <w:r w:rsidRPr="00AB7F8F">
        <w:rPr>
          <w:rFonts w:cs="Arial"/>
          <w:i/>
          <w:iCs/>
        </w:rPr>
        <w:t xml:space="preserve">y = </w:t>
      </w:r>
      <w:proofErr w:type="gramStart"/>
      <w:r w:rsidR="00680823">
        <w:rPr>
          <w:rFonts w:cs="Arial"/>
          <w:i/>
          <w:iCs/>
        </w:rPr>
        <w:t>exp(</w:t>
      </w:r>
      <w:proofErr w:type="gramEnd"/>
      <w:r w:rsidRPr="00AB7F8F">
        <w:rPr>
          <w:rFonts w:cs="Arial"/>
          <w:i/>
          <w:iCs/>
        </w:rPr>
        <w:t>b</w:t>
      </w:r>
      <w:r w:rsidRPr="00AB7F8F">
        <w:rPr>
          <w:rFonts w:cs="Arial"/>
          <w:vertAlign w:val="subscript"/>
        </w:rPr>
        <w:t>0</w:t>
      </w:r>
      <w:r w:rsidRPr="00AB7F8F">
        <w:rPr>
          <w:rFonts w:cs="Arial"/>
        </w:rPr>
        <w:t xml:space="preserve"> + </w:t>
      </w:r>
      <w:r w:rsidRPr="00AB7F8F">
        <w:rPr>
          <w:rFonts w:cs="Arial"/>
          <w:i/>
          <w:iCs/>
        </w:rPr>
        <w:t>b</w:t>
      </w:r>
      <w:r w:rsidRPr="00AB7F8F">
        <w:rPr>
          <w:rFonts w:cs="Arial"/>
          <w:vertAlign w:val="subscript"/>
        </w:rPr>
        <w:t>1</w:t>
      </w:r>
      <w:r w:rsidRPr="00AB7F8F">
        <w:rPr>
          <w:rFonts w:cs="Arial"/>
        </w:rPr>
        <w:t xml:space="preserve"> (</w:t>
      </w:r>
      <m:oMath>
        <m:r>
          <m:rPr>
            <m:nor/>
          </m:rPr>
          <w:rPr>
            <w:rFonts w:cs="Arial"/>
          </w:rPr>
          <m:t>x</m:t>
        </m:r>
      </m:oMath>
      <w:r w:rsidRPr="00AB7F8F">
        <w:rPr>
          <w:rFonts w:cs="Arial"/>
          <w:i/>
          <w:iCs/>
          <w:vertAlign w:val="superscript"/>
          <w:lang w:val="el-GR"/>
        </w:rPr>
        <w:t>α</w:t>
      </w:r>
      <w:r w:rsidRPr="00AB7F8F">
        <w:rPr>
          <w:rFonts w:cs="Arial"/>
        </w:rPr>
        <w:t>)</w:t>
      </w:r>
      <w:r w:rsidR="00680823">
        <w:rPr>
          <w:rFonts w:cs="Arial"/>
        </w:rPr>
        <w:t xml:space="preserve">). </w:t>
      </w:r>
    </w:p>
    <w:p w:rsidR="00BF7273" w:rsidRPr="00680823" w:rsidRDefault="00BF7273" w:rsidP="00D52170">
      <w:pPr>
        <w:rPr>
          <w:rFonts w:cs="Arial"/>
        </w:rPr>
      </w:pPr>
    </w:p>
    <w:p w:rsidR="00680823" w:rsidRDefault="00680823" w:rsidP="00965C8A">
      <w:pPr>
        <w:rPr>
          <w:rFonts w:eastAsiaTheme="minorEastAsia" w:cs="Arial"/>
        </w:rPr>
      </w:pPr>
      <w:r>
        <w:rPr>
          <w:rFonts w:eastAsiaTheme="minorEastAsia" w:cs="Arial"/>
        </w:rPr>
        <w:t xml:space="preserve">It follows that </w:t>
      </w:r>
    </w:p>
    <w:p w:rsidR="00680823" w:rsidRDefault="00680823" w:rsidP="00965C8A">
      <w:pPr>
        <w:rPr>
          <w:rFonts w:eastAsiaTheme="minorEastAsia" w:cs="Arial"/>
        </w:rPr>
      </w:pPr>
    </w:p>
    <w:p w:rsidR="00680823" w:rsidRDefault="00680823" w:rsidP="00965C8A">
      <w:pPr>
        <w:rPr>
          <w:rFonts w:cs="Arial"/>
        </w:rPr>
      </w:pPr>
      <w:proofErr w:type="gramStart"/>
      <w:r>
        <w:rPr>
          <w:rFonts w:eastAsiaTheme="minorEastAsia" w:cs="Arial"/>
        </w:rPr>
        <w:t>log</w:t>
      </w:r>
      <w:r w:rsidR="00AB7F8F" w:rsidRPr="00AB7F8F">
        <w:rPr>
          <w:rFonts w:eastAsiaTheme="minorEastAsia" w:cs="Arial"/>
          <w:vertAlign w:val="subscript"/>
        </w:rPr>
        <w:t>e</w:t>
      </w:r>
      <w:proofErr w:type="gramEnd"/>
      <w:r>
        <w:rPr>
          <w:rFonts w:eastAsiaTheme="minorEastAsia" w:cs="Arial"/>
        </w:rPr>
        <w:t xml:space="preserve"> (</w:t>
      </w:r>
      <w:r w:rsidR="00AB7F8F" w:rsidRPr="00AB7F8F">
        <w:rPr>
          <w:rFonts w:eastAsiaTheme="minorEastAsia" w:cs="Arial"/>
          <w:i/>
        </w:rPr>
        <w:t>y</w:t>
      </w:r>
      <w:r>
        <w:rPr>
          <w:rFonts w:eastAsiaTheme="minorEastAsia" w:cs="Arial"/>
        </w:rPr>
        <w:t xml:space="preserve">) = </w:t>
      </w:r>
      <w:r w:rsidRPr="00680823">
        <w:rPr>
          <w:rFonts w:cs="Arial"/>
          <w:i/>
          <w:iCs/>
        </w:rPr>
        <w:t>b</w:t>
      </w:r>
      <w:r w:rsidRPr="00680823">
        <w:rPr>
          <w:rFonts w:cs="Arial"/>
          <w:vertAlign w:val="subscript"/>
        </w:rPr>
        <w:t>0</w:t>
      </w:r>
      <w:r w:rsidRPr="00680823">
        <w:rPr>
          <w:rFonts w:cs="Arial"/>
        </w:rPr>
        <w:t xml:space="preserve"> + </w:t>
      </w:r>
      <w:r w:rsidRPr="00680823">
        <w:rPr>
          <w:rFonts w:cs="Arial"/>
          <w:i/>
          <w:iCs/>
        </w:rPr>
        <w:t>b</w:t>
      </w:r>
      <w:r w:rsidRPr="00680823">
        <w:rPr>
          <w:rFonts w:cs="Arial"/>
          <w:vertAlign w:val="subscript"/>
        </w:rPr>
        <w:t>1</w:t>
      </w:r>
      <w:r w:rsidRPr="00680823">
        <w:rPr>
          <w:rFonts w:cs="Arial"/>
        </w:rPr>
        <w:t xml:space="preserve"> (</w:t>
      </w:r>
      <m:oMath>
        <m:r>
          <m:rPr>
            <m:nor/>
          </m:rPr>
          <w:rPr>
            <w:rFonts w:cs="Arial"/>
          </w:rPr>
          <m:t>x</m:t>
        </m:r>
      </m:oMath>
      <w:r w:rsidRPr="00680823">
        <w:rPr>
          <w:rFonts w:cs="Arial"/>
          <w:i/>
          <w:iCs/>
          <w:vertAlign w:val="superscript"/>
          <w:lang w:val="el-GR"/>
        </w:rPr>
        <w:t>α</w:t>
      </w:r>
      <w:r w:rsidRPr="00680823">
        <w:rPr>
          <w:rFonts w:cs="Arial"/>
        </w:rPr>
        <w:t>)</w:t>
      </w:r>
      <w:r>
        <w:rPr>
          <w:rFonts w:cs="Arial"/>
        </w:rPr>
        <w:t>.</w:t>
      </w:r>
    </w:p>
    <w:p w:rsidR="00680823" w:rsidRDefault="00680823" w:rsidP="00965C8A">
      <w:pPr>
        <w:rPr>
          <w:rFonts w:eastAsiaTheme="minorEastAsia" w:cs="Arial"/>
        </w:rPr>
      </w:pPr>
    </w:p>
    <w:p w:rsidR="00680823" w:rsidRDefault="00680823" w:rsidP="00680823">
      <w:pPr>
        <w:rPr>
          <w:rFonts w:eastAsiaTheme="minorEastAsia" w:cs="Arial"/>
        </w:rPr>
      </w:pPr>
      <w:r>
        <w:rPr>
          <w:rFonts w:eastAsiaTheme="minorEastAsia" w:cs="Arial"/>
        </w:rPr>
        <w:t xml:space="preserve">Given that </w:t>
      </w:r>
      <w:r>
        <w:rPr>
          <w:rFonts w:cs="Arial"/>
          <w:i/>
        </w:rPr>
        <w:t xml:space="preserve">y </w:t>
      </w:r>
      <w:r w:rsidRPr="00DC3BDA">
        <w:rPr>
          <w:rFonts w:cs="Arial"/>
        </w:rPr>
        <w:t xml:space="preserve">= </w:t>
      </w:r>
      <w:r w:rsidRPr="004E3A77">
        <w:rPr>
          <w:rFonts w:cs="Arial"/>
          <w:i/>
        </w:rPr>
        <w:t>n</w:t>
      </w:r>
      <w:r>
        <w:rPr>
          <w:rFonts w:cs="Arial"/>
        </w:rPr>
        <w:t xml:space="preserve"> / </w:t>
      </w:r>
      <w:r w:rsidRPr="004E3A77">
        <w:rPr>
          <w:rFonts w:cs="Arial"/>
          <w:i/>
        </w:rPr>
        <w:t>v</w:t>
      </w:r>
      <w:r>
        <w:rPr>
          <w:rFonts w:cs="Arial"/>
        </w:rPr>
        <w:t xml:space="preserve"> (see above) and </w:t>
      </w:r>
      <w:r>
        <w:rPr>
          <w:rFonts w:eastAsiaTheme="minorEastAsia" w:cs="Arial"/>
        </w:rPr>
        <w:t>log</w:t>
      </w:r>
      <w:r w:rsidRPr="00680823">
        <w:rPr>
          <w:rFonts w:eastAsiaTheme="minorEastAsia" w:cs="Arial"/>
          <w:vertAlign w:val="subscript"/>
        </w:rPr>
        <w:t>e</w:t>
      </w:r>
      <w:r>
        <w:rPr>
          <w:rFonts w:eastAsiaTheme="minorEastAsia" w:cs="Arial"/>
        </w:rPr>
        <w:t xml:space="preserve"> (</w:t>
      </w:r>
      <w:r w:rsidRPr="00680823">
        <w:rPr>
          <w:rFonts w:eastAsiaTheme="minorEastAsia" w:cs="Arial"/>
          <w:i/>
        </w:rPr>
        <w:t>y</w:t>
      </w:r>
      <w:proofErr w:type="gramStart"/>
      <w:r>
        <w:rPr>
          <w:rFonts w:eastAsiaTheme="minorEastAsia" w:cs="Arial"/>
        </w:rPr>
        <w:t>)  =</w:t>
      </w:r>
      <w:proofErr w:type="gramEnd"/>
      <w:r>
        <w:rPr>
          <w:rFonts w:eastAsiaTheme="minorEastAsia" w:cs="Arial"/>
        </w:rPr>
        <w:t xml:space="preserve"> log</w:t>
      </w:r>
      <w:r w:rsidRPr="00680823">
        <w:rPr>
          <w:rFonts w:eastAsiaTheme="minorEastAsia" w:cs="Arial"/>
          <w:vertAlign w:val="subscript"/>
        </w:rPr>
        <w:t>e</w:t>
      </w:r>
      <w:r>
        <w:rPr>
          <w:rFonts w:eastAsiaTheme="minorEastAsia" w:cs="Arial"/>
        </w:rPr>
        <w:t xml:space="preserve"> (</w:t>
      </w:r>
      <w:r>
        <w:rPr>
          <w:rFonts w:eastAsiaTheme="minorEastAsia" w:cs="Arial"/>
          <w:i/>
        </w:rPr>
        <w:t>n</w:t>
      </w:r>
      <w:r>
        <w:rPr>
          <w:rFonts w:eastAsiaTheme="minorEastAsia" w:cs="Arial"/>
        </w:rPr>
        <w:t>) - log</w:t>
      </w:r>
      <w:r w:rsidRPr="00680823">
        <w:rPr>
          <w:rFonts w:eastAsiaTheme="minorEastAsia" w:cs="Arial"/>
          <w:vertAlign w:val="subscript"/>
        </w:rPr>
        <w:t>e</w:t>
      </w:r>
      <w:r>
        <w:rPr>
          <w:rFonts w:eastAsiaTheme="minorEastAsia" w:cs="Arial"/>
        </w:rPr>
        <w:t xml:space="preserve"> (</w:t>
      </w:r>
      <w:r>
        <w:rPr>
          <w:rFonts w:eastAsiaTheme="minorEastAsia" w:cs="Arial"/>
          <w:i/>
        </w:rPr>
        <w:t>v</w:t>
      </w:r>
      <w:r>
        <w:rPr>
          <w:rFonts w:eastAsiaTheme="minorEastAsia" w:cs="Arial"/>
        </w:rPr>
        <w:t>), substitution and rearranging gives</w:t>
      </w:r>
    </w:p>
    <w:p w:rsidR="00680823" w:rsidRDefault="00680823" w:rsidP="00680823">
      <w:pPr>
        <w:rPr>
          <w:rFonts w:eastAsiaTheme="minorEastAsia" w:cs="Arial"/>
        </w:rPr>
      </w:pPr>
    </w:p>
    <w:p w:rsidR="00680823" w:rsidRDefault="00680823" w:rsidP="00680823">
      <w:pPr>
        <w:rPr>
          <w:rFonts w:cs="Arial"/>
        </w:rPr>
      </w:pPr>
      <w:proofErr w:type="gramStart"/>
      <w:r>
        <w:rPr>
          <w:rFonts w:eastAsiaTheme="minorEastAsia" w:cs="Arial"/>
        </w:rPr>
        <w:t>log</w:t>
      </w:r>
      <w:r w:rsidRPr="00680823">
        <w:rPr>
          <w:rFonts w:eastAsiaTheme="minorEastAsia" w:cs="Arial"/>
          <w:vertAlign w:val="subscript"/>
        </w:rPr>
        <w:t>e</w:t>
      </w:r>
      <w:proofErr w:type="gramEnd"/>
      <w:r>
        <w:rPr>
          <w:rFonts w:eastAsiaTheme="minorEastAsia" w:cs="Arial"/>
        </w:rPr>
        <w:t xml:space="preserve"> (</w:t>
      </w:r>
      <w:r>
        <w:rPr>
          <w:rFonts w:eastAsiaTheme="minorEastAsia" w:cs="Arial"/>
          <w:i/>
        </w:rPr>
        <w:t>n</w:t>
      </w:r>
      <w:r>
        <w:rPr>
          <w:rFonts w:eastAsiaTheme="minorEastAsia" w:cs="Arial"/>
        </w:rPr>
        <w:t>) =</w:t>
      </w:r>
      <w:r w:rsidRPr="00680823">
        <w:rPr>
          <w:rFonts w:eastAsiaTheme="minorEastAsia" w:cs="Arial"/>
        </w:rPr>
        <w:t xml:space="preserve"> </w:t>
      </w:r>
      <w:r>
        <w:rPr>
          <w:rFonts w:eastAsiaTheme="minorEastAsia" w:cs="Arial"/>
        </w:rPr>
        <w:t>log</w:t>
      </w:r>
      <w:r w:rsidRPr="00680823">
        <w:rPr>
          <w:rFonts w:eastAsiaTheme="minorEastAsia" w:cs="Arial"/>
          <w:vertAlign w:val="subscript"/>
        </w:rPr>
        <w:t>e</w:t>
      </w:r>
      <w:r>
        <w:rPr>
          <w:rFonts w:eastAsiaTheme="minorEastAsia" w:cs="Arial"/>
        </w:rPr>
        <w:t xml:space="preserve"> (</w:t>
      </w:r>
      <w:r>
        <w:rPr>
          <w:rFonts w:eastAsiaTheme="minorEastAsia" w:cs="Arial"/>
          <w:i/>
        </w:rPr>
        <w:t>v</w:t>
      </w:r>
      <w:r>
        <w:rPr>
          <w:rFonts w:eastAsiaTheme="minorEastAsia" w:cs="Arial"/>
        </w:rPr>
        <w:t xml:space="preserve">) + </w:t>
      </w:r>
      <w:r w:rsidRPr="00680823">
        <w:rPr>
          <w:rFonts w:cs="Arial"/>
          <w:i/>
          <w:iCs/>
        </w:rPr>
        <w:t>b</w:t>
      </w:r>
      <w:r w:rsidRPr="00680823">
        <w:rPr>
          <w:rFonts w:cs="Arial"/>
          <w:vertAlign w:val="subscript"/>
        </w:rPr>
        <w:t>0</w:t>
      </w:r>
      <w:r w:rsidRPr="00680823">
        <w:rPr>
          <w:rFonts w:cs="Arial"/>
        </w:rPr>
        <w:t xml:space="preserve"> + </w:t>
      </w:r>
      <w:r w:rsidRPr="00680823">
        <w:rPr>
          <w:rFonts w:cs="Arial"/>
          <w:i/>
          <w:iCs/>
        </w:rPr>
        <w:t>b</w:t>
      </w:r>
      <w:r w:rsidRPr="00680823">
        <w:rPr>
          <w:rFonts w:cs="Arial"/>
          <w:vertAlign w:val="subscript"/>
        </w:rPr>
        <w:t>1</w:t>
      </w:r>
      <w:r w:rsidRPr="00680823">
        <w:rPr>
          <w:rFonts w:cs="Arial"/>
        </w:rPr>
        <w:t xml:space="preserve"> (</w:t>
      </w:r>
      <m:oMath>
        <m:r>
          <m:rPr>
            <m:nor/>
          </m:rPr>
          <w:rPr>
            <w:rFonts w:cs="Arial"/>
          </w:rPr>
          <m:t>x</m:t>
        </m:r>
      </m:oMath>
      <w:r w:rsidRPr="00680823">
        <w:rPr>
          <w:rFonts w:cs="Arial"/>
          <w:i/>
          <w:iCs/>
          <w:vertAlign w:val="superscript"/>
          <w:lang w:val="el-GR"/>
        </w:rPr>
        <w:t>α</w:t>
      </w:r>
      <w:r w:rsidRPr="00680823">
        <w:rPr>
          <w:rFonts w:cs="Arial"/>
        </w:rPr>
        <w:t>)</w:t>
      </w:r>
      <w:r w:rsidR="00BF7273">
        <w:rPr>
          <w:rFonts w:cs="Arial"/>
        </w:rPr>
        <w:t>,</w:t>
      </w:r>
    </w:p>
    <w:p w:rsidR="00680823" w:rsidRDefault="00680823" w:rsidP="00680823">
      <w:pPr>
        <w:rPr>
          <w:rFonts w:eastAsiaTheme="minorEastAsia" w:cs="Arial"/>
        </w:rPr>
      </w:pPr>
    </w:p>
    <w:p w:rsidR="00680823" w:rsidRDefault="00BF7273" w:rsidP="00680823">
      <w:pPr>
        <w:rPr>
          <w:rFonts w:eastAsiaTheme="minorEastAsia" w:cs="Arial"/>
        </w:rPr>
      </w:pPr>
      <w:proofErr w:type="gramStart"/>
      <w:r>
        <w:rPr>
          <w:rFonts w:eastAsiaTheme="minorEastAsia" w:cs="Arial"/>
        </w:rPr>
        <w:t>w</w:t>
      </w:r>
      <w:r w:rsidR="00680823">
        <w:rPr>
          <w:rFonts w:eastAsiaTheme="minorEastAsia" w:cs="Arial"/>
        </w:rPr>
        <w:t>hich</w:t>
      </w:r>
      <w:proofErr w:type="gramEnd"/>
      <w:r w:rsidR="00680823">
        <w:rPr>
          <w:rFonts w:eastAsiaTheme="minorEastAsia" w:cs="Arial"/>
        </w:rPr>
        <w:t xml:space="preserve"> is the formulation of the Poisson model with </w:t>
      </w:r>
      <w:r>
        <w:rPr>
          <w:rFonts w:eastAsiaTheme="minorEastAsia" w:cs="Arial"/>
        </w:rPr>
        <w:t xml:space="preserve">a log link, </w:t>
      </w:r>
      <w:r w:rsidR="00680823">
        <w:rPr>
          <w:rFonts w:eastAsiaTheme="minorEastAsia" w:cs="Arial"/>
        </w:rPr>
        <w:t>cluster count per plot as the dependent variable</w:t>
      </w:r>
      <w:r>
        <w:rPr>
          <w:rFonts w:eastAsiaTheme="minorEastAsia" w:cs="Arial"/>
        </w:rPr>
        <w:t xml:space="preserve"> and an offset.</w:t>
      </w:r>
    </w:p>
    <w:p w:rsidR="00680823" w:rsidRDefault="00680823" w:rsidP="00965C8A">
      <w:pPr>
        <w:rPr>
          <w:rFonts w:eastAsiaTheme="minorEastAsia" w:cs="Arial"/>
        </w:rPr>
      </w:pPr>
    </w:p>
    <w:p w:rsidR="00BF69E1" w:rsidRPr="00DC3BDA" w:rsidRDefault="00C6431F" w:rsidP="00965C8A">
      <w:pPr>
        <w:rPr>
          <w:rFonts w:eastAsiaTheme="minorEastAsia" w:cs="Arial"/>
        </w:rPr>
      </w:pPr>
      <w:r w:rsidRPr="00DC3BDA">
        <w:rPr>
          <w:rFonts w:eastAsiaTheme="minorEastAsia" w:cs="Arial"/>
        </w:rPr>
        <w:t>W</w:t>
      </w:r>
      <w:r w:rsidR="0040684A" w:rsidRPr="00DC3BDA">
        <w:rPr>
          <w:rFonts w:eastAsiaTheme="minorEastAsia" w:cs="Arial"/>
        </w:rPr>
        <w:t>e fitted four alternative formulations of the density-yield model (A-D</w:t>
      </w:r>
      <w:r w:rsidR="00965C8A">
        <w:rPr>
          <w:rFonts w:eastAsiaTheme="minorEastAsia" w:cs="Arial"/>
        </w:rPr>
        <w:t>)</w:t>
      </w:r>
      <w:r w:rsidR="0040684A" w:rsidRPr="00DC3BDA">
        <w:rPr>
          <w:rFonts w:eastAsiaTheme="minorEastAsia" w:cs="Arial"/>
        </w:rPr>
        <w:t xml:space="preserve">, as detailed in </w:t>
      </w:r>
      <w:r w:rsidR="00F36DA1" w:rsidRPr="00C8013C">
        <w:rPr>
          <w:rFonts w:cs="Arial"/>
        </w:rPr>
        <w:t>t</w:t>
      </w:r>
      <w:r w:rsidR="005D619D" w:rsidRPr="00C8013C">
        <w:rPr>
          <w:rFonts w:cs="Arial"/>
        </w:rPr>
        <w:t>able S</w:t>
      </w:r>
      <w:r w:rsidR="005D69A9" w:rsidRPr="00C8013C">
        <w:rPr>
          <w:rFonts w:cs="Arial"/>
        </w:rPr>
        <w:t>5</w:t>
      </w:r>
      <w:r w:rsidR="00965C8A">
        <w:rPr>
          <w:rFonts w:eastAsiaTheme="minorEastAsia" w:cs="Arial"/>
        </w:rPr>
        <w:t>. This was done i</w:t>
      </w:r>
      <w:r w:rsidRPr="00DC3BDA">
        <w:rPr>
          <w:rFonts w:eastAsiaTheme="minorEastAsia" w:cs="Arial"/>
        </w:rPr>
        <w:t>n order to account for any differences in the density-yield relationship on different soil types, m</w:t>
      </w:r>
      <w:r w:rsidR="0040684A" w:rsidRPr="00DC3BDA">
        <w:rPr>
          <w:rFonts w:eastAsiaTheme="minorEastAsia" w:cs="Arial"/>
        </w:rPr>
        <w:t xml:space="preserve">odels A and B were fitted to the forest (n=12) and wetland (n=14) datasets separately. </w:t>
      </w:r>
      <w:r w:rsidR="00DA76D0">
        <w:rPr>
          <w:rFonts w:eastAsiaTheme="minorEastAsia" w:cs="Arial"/>
        </w:rPr>
        <w:t xml:space="preserve"> </w:t>
      </w:r>
      <w:r w:rsidR="0040684A" w:rsidRPr="00DC3BDA">
        <w:rPr>
          <w:rFonts w:eastAsiaTheme="minorEastAsia" w:cs="Arial"/>
        </w:rPr>
        <w:t xml:space="preserve">Models C and D were fitted to the full dataset (forest and wetland data combined, n=26), but soil type was included in the model through the parameter </w:t>
      </w:r>
      <w:proofErr w:type="spellStart"/>
      <w:proofErr w:type="gramStart"/>
      <w:r w:rsidR="0040684A" w:rsidRPr="00DC3BDA">
        <w:rPr>
          <w:rFonts w:eastAsiaTheme="minorEastAsia" w:cs="Arial"/>
          <w:i/>
        </w:rPr>
        <w:t>b</w:t>
      </w:r>
      <w:r w:rsidR="00EB7489">
        <w:rPr>
          <w:rFonts w:eastAsiaTheme="minorEastAsia" w:cs="Arial"/>
          <w:i/>
          <w:vertAlign w:val="subscript"/>
        </w:rPr>
        <w:t>W</w:t>
      </w:r>
      <w:proofErr w:type="spellEnd"/>
      <w:proofErr w:type="gramEnd"/>
      <w:r w:rsidR="0040684A" w:rsidRPr="00DC3BDA">
        <w:rPr>
          <w:rFonts w:eastAsiaTheme="minorEastAsia" w:cs="Arial"/>
        </w:rPr>
        <w:t xml:space="preserve"> and the binary variable </w:t>
      </w:r>
      <w:r w:rsidR="0040684A" w:rsidRPr="00DC3BDA">
        <w:rPr>
          <w:rFonts w:eastAsiaTheme="minorEastAsia" w:cs="Arial"/>
          <w:i/>
        </w:rPr>
        <w:t>WET</w:t>
      </w:r>
      <w:r w:rsidR="0040684A" w:rsidRPr="00DC3BDA">
        <w:rPr>
          <w:rFonts w:eastAsiaTheme="minorEastAsia" w:cs="Arial"/>
        </w:rPr>
        <w:t xml:space="preserve"> (where </w:t>
      </w:r>
      <w:r w:rsidR="0040684A" w:rsidRPr="00DC3BDA">
        <w:rPr>
          <w:rFonts w:eastAsiaTheme="minorEastAsia" w:cs="Arial"/>
          <w:i/>
        </w:rPr>
        <w:t>WET</w:t>
      </w:r>
      <w:r w:rsidR="0040684A" w:rsidRPr="00DC3BDA">
        <w:rPr>
          <w:rFonts w:eastAsiaTheme="minorEastAsia" w:cs="Arial"/>
        </w:rPr>
        <w:t>=0 for sites on forest soils,</w:t>
      </w:r>
      <w:r w:rsidR="0040684A" w:rsidRPr="00DC3BDA">
        <w:rPr>
          <w:rFonts w:eastAsiaTheme="minorEastAsia" w:cs="Arial"/>
          <w:i/>
        </w:rPr>
        <w:t xml:space="preserve"> WET</w:t>
      </w:r>
      <w:r w:rsidR="0040684A" w:rsidRPr="00DC3BDA">
        <w:rPr>
          <w:rFonts w:eastAsiaTheme="minorEastAsia" w:cs="Arial"/>
        </w:rPr>
        <w:t xml:space="preserve">=1 for sites on wetland soils). </w:t>
      </w:r>
      <w:r w:rsidR="00BF69E1">
        <w:rPr>
          <w:rFonts w:eastAsiaTheme="minorEastAsia" w:cs="Arial"/>
        </w:rPr>
        <w:t>A special case of model A occurred when a species was only present in zero-yielding natural habitat plots and not in the farmed plots on one of the soil types</w:t>
      </w:r>
      <w:r w:rsidR="00874E72">
        <w:rPr>
          <w:rFonts w:eastAsiaTheme="minorEastAsia" w:cs="Arial"/>
        </w:rPr>
        <w:t>.</w:t>
      </w:r>
      <w:r w:rsidR="00BF69E1">
        <w:rPr>
          <w:rFonts w:eastAsiaTheme="minorEastAsia" w:cs="Arial"/>
        </w:rPr>
        <w:t xml:space="preserve">  In such cases, the mean population density was assumed to be that observed in the natural habitat and the parameter </w:t>
      </w:r>
      <w:r w:rsidR="00BF69E1" w:rsidRPr="00BF69E1">
        <w:rPr>
          <w:rFonts w:eastAsiaTheme="minorEastAsia" w:cs="Arial"/>
          <w:i/>
        </w:rPr>
        <w:t>b</w:t>
      </w:r>
      <w:r w:rsidR="00BF69E1" w:rsidRPr="00BF69E1">
        <w:rPr>
          <w:rFonts w:eastAsiaTheme="minorEastAsia" w:cs="Arial"/>
          <w:i/>
          <w:vertAlign w:val="subscript"/>
        </w:rPr>
        <w:t xml:space="preserve">0 </w:t>
      </w:r>
      <w:r w:rsidR="00BF69E1" w:rsidRPr="00A1301F">
        <w:rPr>
          <w:rFonts w:eastAsiaTheme="minorEastAsia" w:cs="Arial"/>
        </w:rPr>
        <w:t>of model A</w:t>
      </w:r>
      <w:r w:rsidR="00BF69E1">
        <w:rPr>
          <w:rFonts w:eastAsiaTheme="minorEastAsia" w:cs="Arial"/>
          <w:i/>
          <w:vertAlign w:val="subscript"/>
        </w:rPr>
        <w:t xml:space="preserve"> </w:t>
      </w:r>
      <w:r w:rsidR="00BF69E1">
        <w:rPr>
          <w:rFonts w:eastAsiaTheme="minorEastAsia" w:cs="Arial"/>
        </w:rPr>
        <w:t xml:space="preserve">was taken to be the natural logarithm of that mean density and parameters </w:t>
      </w:r>
      <w:proofErr w:type="gramStart"/>
      <w:r w:rsidR="00BF69E1" w:rsidRPr="00D6666C">
        <w:rPr>
          <w:rFonts w:cs="Arial"/>
          <w:i/>
          <w:iCs/>
          <w:sz w:val="20"/>
          <w:szCs w:val="20"/>
        </w:rPr>
        <w:t>b</w:t>
      </w:r>
      <w:r w:rsidR="00BF69E1" w:rsidRPr="00D6666C">
        <w:rPr>
          <w:rFonts w:cs="Arial"/>
          <w:sz w:val="20"/>
          <w:szCs w:val="20"/>
          <w:vertAlign w:val="subscript"/>
        </w:rPr>
        <w:t>1</w:t>
      </w:r>
      <w:r w:rsidR="00BF69E1" w:rsidRPr="00D6666C">
        <w:rPr>
          <w:rFonts w:cs="Arial"/>
          <w:sz w:val="20"/>
          <w:szCs w:val="20"/>
        </w:rPr>
        <w:t xml:space="preserve"> </w:t>
      </w:r>
      <w:r w:rsidR="00BF69E1">
        <w:rPr>
          <w:rFonts w:cs="Arial"/>
          <w:sz w:val="20"/>
          <w:szCs w:val="20"/>
        </w:rPr>
        <w:t xml:space="preserve"> and</w:t>
      </w:r>
      <w:proofErr w:type="gramEnd"/>
      <w:r w:rsidR="00BF69E1">
        <w:rPr>
          <w:rFonts w:cs="Arial"/>
          <w:sz w:val="20"/>
          <w:szCs w:val="20"/>
        </w:rPr>
        <w:t xml:space="preserve"> </w:t>
      </w:r>
      <w:r w:rsidR="00BF69E1" w:rsidRPr="00BF69E1">
        <w:rPr>
          <w:rFonts w:cs="Arial"/>
          <w:i/>
          <w:iCs/>
          <w:sz w:val="20"/>
          <w:szCs w:val="20"/>
          <w:lang w:val="el-GR"/>
        </w:rPr>
        <w:t>α</w:t>
      </w:r>
      <w:r w:rsidR="00BF69E1" w:rsidRPr="00BF69E1">
        <w:rPr>
          <w:rFonts w:eastAsiaTheme="minorEastAsia" w:cs="Arial"/>
        </w:rPr>
        <w:t xml:space="preserve"> </w:t>
      </w:r>
      <w:r w:rsidR="00BF69E1">
        <w:rPr>
          <w:rFonts w:eastAsiaTheme="minorEastAsia" w:cs="Arial"/>
        </w:rPr>
        <w:t xml:space="preserve">(see Table S5) could not be estimated. </w:t>
      </w:r>
      <w:r w:rsidR="00A1301F">
        <w:rPr>
          <w:rFonts w:eastAsiaTheme="minorEastAsia" w:cs="Arial"/>
        </w:rPr>
        <w:t>The modelled density of such species in farmed habitats was zero.</w:t>
      </w:r>
    </w:p>
    <w:p w:rsidR="00C8039F" w:rsidRPr="00DC3BDA" w:rsidRDefault="00C8039F" w:rsidP="00DC3BDA">
      <w:pPr>
        <w:rPr>
          <w:rFonts w:eastAsiaTheme="minorEastAsia" w:cs="Arial"/>
        </w:rPr>
      </w:pPr>
    </w:p>
    <w:p w:rsidR="00600387" w:rsidRPr="00DC3BDA" w:rsidRDefault="003E7023" w:rsidP="00DC3BDA">
      <w:r w:rsidRPr="00DC3BDA">
        <w:rPr>
          <w:b/>
        </w:rPr>
        <w:t>Table S5.</w:t>
      </w:r>
      <w:r w:rsidRPr="00DC3BDA">
        <w:t xml:space="preserve"> </w:t>
      </w:r>
      <w:proofErr w:type="spellStart"/>
      <w:proofErr w:type="gramStart"/>
      <w:r w:rsidR="0040684A" w:rsidRPr="00DC3BDA">
        <w:t>Univariate</w:t>
      </w:r>
      <w:proofErr w:type="spellEnd"/>
      <w:r w:rsidR="0040684A" w:rsidRPr="00DC3BDA">
        <w:t xml:space="preserve"> parametric models of population density </w:t>
      </w:r>
      <w:r w:rsidR="00AB7F8F" w:rsidRPr="00AB7F8F">
        <w:rPr>
          <w:i/>
        </w:rPr>
        <w:t>y</w:t>
      </w:r>
      <w:r w:rsidR="00965C8A">
        <w:t xml:space="preserve"> </w:t>
      </w:r>
      <w:r w:rsidR="00D6666C">
        <w:t>in relation to</w:t>
      </w:r>
      <w:r w:rsidR="0040684A" w:rsidRPr="00DC3BDA">
        <w:t xml:space="preserve"> agricultural yield</w:t>
      </w:r>
      <w:r w:rsidR="00965C8A">
        <w:t xml:space="preserve"> </w:t>
      </w:r>
      <w:r w:rsidR="00AB7F8F" w:rsidRPr="00AB7F8F">
        <w:rPr>
          <w:i/>
        </w:rPr>
        <w:t>x</w:t>
      </w:r>
      <w:r w:rsidR="0040684A" w:rsidRPr="00DC3BDA">
        <w:t>.</w:t>
      </w:r>
      <w:proofErr w:type="gramEnd"/>
    </w:p>
    <w:tbl>
      <w:tblPr>
        <w:tblW w:w="8506" w:type="dxa"/>
        <w:tblCellMar>
          <w:left w:w="0" w:type="dxa"/>
          <w:right w:w="0" w:type="dxa"/>
        </w:tblCellMar>
        <w:tblLook w:val="0600"/>
      </w:tblPr>
      <w:tblGrid>
        <w:gridCol w:w="284"/>
        <w:gridCol w:w="3544"/>
        <w:gridCol w:w="3260"/>
        <w:gridCol w:w="1418"/>
      </w:tblGrid>
      <w:tr w:rsidR="0040684A" w:rsidRPr="00DC3BDA" w:rsidTr="002C24E3">
        <w:trPr>
          <w:trHeight w:val="588"/>
        </w:trPr>
        <w:tc>
          <w:tcPr>
            <w:tcW w:w="3828" w:type="dxa"/>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Model</w:t>
            </w:r>
          </w:p>
        </w:tc>
        <w:tc>
          <w:tcPr>
            <w:tcW w:w="326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Data</w:t>
            </w:r>
          </w:p>
        </w:tc>
        <w:tc>
          <w:tcPr>
            <w:tcW w:w="1418"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40684A" w:rsidRPr="00D6666C" w:rsidRDefault="0040684A" w:rsidP="002A2515">
            <w:pPr>
              <w:pStyle w:val="NoSpacing"/>
              <w:spacing w:before="0" w:after="0" w:line="276" w:lineRule="auto"/>
              <w:jc w:val="left"/>
              <w:rPr>
                <w:rFonts w:ascii="Palatino Linotype" w:hAnsi="Palatino Linotype" w:cs="Arial"/>
                <w:sz w:val="20"/>
                <w:szCs w:val="20"/>
              </w:rPr>
            </w:pPr>
            <w:r w:rsidRPr="00D6666C">
              <w:rPr>
                <w:rFonts w:ascii="Palatino Linotype" w:hAnsi="Palatino Linotype" w:cs="Arial"/>
                <w:sz w:val="20"/>
                <w:szCs w:val="20"/>
              </w:rPr>
              <w:t xml:space="preserve">Number of fitted </w:t>
            </w:r>
            <w:r w:rsidRPr="00D6666C">
              <w:rPr>
                <w:rFonts w:ascii="Palatino Linotype" w:hAnsi="Palatino Linotype" w:cs="Arial"/>
                <w:sz w:val="20"/>
                <w:szCs w:val="20"/>
              </w:rPr>
              <w:lastRenderedPageBreak/>
              <w:t>parameters</w:t>
            </w:r>
          </w:p>
        </w:tc>
      </w:tr>
      <w:tr w:rsidR="0040684A" w:rsidRPr="00DC3BDA" w:rsidTr="0040684A">
        <w:trPr>
          <w:trHeight w:val="494"/>
        </w:trPr>
        <w:tc>
          <w:tcPr>
            <w:tcW w:w="284" w:type="dxa"/>
            <w:tcBorders>
              <w:top w:val="single" w:sz="4" w:space="0" w:color="auto"/>
            </w:tcBorders>
            <w:shd w:val="clear" w:color="auto" w:fill="auto"/>
            <w:tcMar>
              <w:top w:w="15" w:type="dxa"/>
              <w:left w:w="15" w:type="dxa"/>
              <w:bottom w:w="0" w:type="dxa"/>
              <w:right w:w="15" w:type="dxa"/>
            </w:tcMar>
            <w:vAlign w:val="center"/>
            <w:hideMark/>
          </w:tcPr>
          <w:p w:rsidR="0040684A" w:rsidRPr="00DC3BDA" w:rsidRDefault="0040684A" w:rsidP="00DC3BDA">
            <w:pPr>
              <w:pStyle w:val="NoSpacing"/>
              <w:spacing w:before="0" w:after="0" w:line="276" w:lineRule="auto"/>
              <w:rPr>
                <w:rFonts w:ascii="Palatino Linotype" w:hAnsi="Palatino Linotype" w:cs="Arial"/>
                <w:szCs w:val="22"/>
              </w:rPr>
            </w:pPr>
            <w:r w:rsidRPr="00DC3BDA">
              <w:rPr>
                <w:rFonts w:ascii="Palatino Linotype" w:hAnsi="Palatino Linotype" w:cs="Arial"/>
                <w:szCs w:val="22"/>
              </w:rPr>
              <w:lastRenderedPageBreak/>
              <w:t>A</w:t>
            </w:r>
          </w:p>
        </w:tc>
        <w:tc>
          <w:tcPr>
            <w:tcW w:w="3544" w:type="dxa"/>
            <w:tcBorders>
              <w:top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i/>
                <w:iCs/>
                <w:sz w:val="20"/>
                <w:szCs w:val="20"/>
              </w:rPr>
              <w:t xml:space="preserve"> y</w:t>
            </w:r>
            <w:r w:rsidRPr="00D6666C">
              <w:rPr>
                <w:rFonts w:ascii="Palatino Linotype" w:hAnsi="Palatino Linotype" w:cs="Arial"/>
                <w:sz w:val="20"/>
                <w:szCs w:val="20"/>
              </w:rPr>
              <w:t xml:space="preserve"> = exp(</w:t>
            </w:r>
            <w:r w:rsidRPr="00D6666C">
              <w:rPr>
                <w:rFonts w:ascii="Palatino Linotype" w:hAnsi="Palatino Linotype" w:cs="Arial"/>
                <w:i/>
                <w:iCs/>
                <w:sz w:val="20"/>
                <w:szCs w:val="20"/>
              </w:rPr>
              <w:t>b</w:t>
            </w:r>
            <w:r w:rsidRPr="00D6666C">
              <w:rPr>
                <w:rFonts w:ascii="Palatino Linotype" w:hAnsi="Palatino Linotype" w:cs="Arial"/>
                <w:sz w:val="20"/>
                <w:szCs w:val="20"/>
                <w:vertAlign w:val="subscript"/>
              </w:rPr>
              <w:t>0</w:t>
            </w:r>
            <w:r w:rsidRPr="00D6666C">
              <w:rPr>
                <w:rFonts w:ascii="Palatino Linotype" w:hAnsi="Palatino Linotype" w:cs="Arial"/>
                <w:sz w:val="20"/>
                <w:szCs w:val="20"/>
              </w:rPr>
              <w:t xml:space="preserve"> + </w:t>
            </w:r>
            <w:r w:rsidRPr="00D6666C">
              <w:rPr>
                <w:rFonts w:ascii="Palatino Linotype" w:hAnsi="Palatino Linotype" w:cs="Arial"/>
                <w:i/>
                <w:iCs/>
                <w:sz w:val="20"/>
                <w:szCs w:val="20"/>
              </w:rPr>
              <w:t>b</w:t>
            </w:r>
            <w:r w:rsidRPr="00D6666C">
              <w:rPr>
                <w:rFonts w:ascii="Palatino Linotype" w:hAnsi="Palatino Linotype" w:cs="Arial"/>
                <w:sz w:val="20"/>
                <w:szCs w:val="20"/>
                <w:vertAlign w:val="subscript"/>
              </w:rPr>
              <w:t>1</w:t>
            </w:r>
            <w:r w:rsidRPr="00D6666C">
              <w:rPr>
                <w:rFonts w:ascii="Palatino Linotype" w:hAnsi="Palatino Linotype" w:cs="Arial"/>
                <w:sz w:val="20"/>
                <w:szCs w:val="20"/>
              </w:rPr>
              <w:t xml:space="preserve"> (</w:t>
            </w:r>
            <m:oMath>
              <m:r>
                <m:rPr>
                  <m:nor/>
                </m:rPr>
                <w:rPr>
                  <w:rFonts w:ascii="Palatino Linotype" w:hAnsi="Palatino Linotype" w:cs="Arial"/>
                  <w:sz w:val="20"/>
                  <w:szCs w:val="20"/>
                </w:rPr>
                <m:t>x</m:t>
              </m:r>
            </m:oMath>
            <w:r w:rsidRPr="00D6666C">
              <w:rPr>
                <w:rFonts w:ascii="Palatino Linotype" w:hAnsi="Palatino Linotype" w:cs="Arial"/>
                <w:i/>
                <w:iCs/>
                <w:sz w:val="20"/>
                <w:szCs w:val="20"/>
                <w:vertAlign w:val="superscript"/>
                <w:lang w:val="el-GR"/>
              </w:rPr>
              <w:t>α</w:t>
            </w:r>
            <w:r w:rsidRPr="00D6666C">
              <w:rPr>
                <w:rFonts w:ascii="Palatino Linotype" w:hAnsi="Palatino Linotype" w:cs="Arial"/>
                <w:sz w:val="20"/>
                <w:szCs w:val="20"/>
              </w:rPr>
              <w:t>))</w:t>
            </w:r>
          </w:p>
        </w:tc>
        <w:tc>
          <w:tcPr>
            <w:tcW w:w="3260" w:type="dxa"/>
            <w:vMerge w:val="restart"/>
            <w:tcBorders>
              <w:top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Curves fitted for Forest and</w:t>
            </w:r>
          </w:p>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Wetland data separately.</w:t>
            </w:r>
          </w:p>
          <w:p w:rsidR="0040684A" w:rsidRPr="00D6666C" w:rsidRDefault="0040684A" w:rsidP="00C8013C">
            <w:pPr>
              <w:pStyle w:val="NoSpacing"/>
              <w:spacing w:before="0" w:after="0" w:line="276" w:lineRule="auto"/>
              <w:jc w:val="left"/>
              <w:rPr>
                <w:rFonts w:ascii="Palatino Linotype" w:hAnsi="Palatino Linotype" w:cs="Arial"/>
                <w:sz w:val="20"/>
                <w:szCs w:val="20"/>
              </w:rPr>
            </w:pPr>
            <w:r w:rsidRPr="00D6666C">
              <w:rPr>
                <w:rFonts w:ascii="Palatino Linotype" w:hAnsi="Palatino Linotype" w:cs="Arial"/>
                <w:sz w:val="20"/>
                <w:szCs w:val="20"/>
              </w:rPr>
              <w:t xml:space="preserve">Sum of </w:t>
            </w:r>
            <w:proofErr w:type="spellStart"/>
            <w:r w:rsidRPr="00D6666C">
              <w:rPr>
                <w:rFonts w:ascii="Palatino Linotype" w:hAnsi="Palatino Linotype" w:cs="Arial"/>
                <w:sz w:val="20"/>
                <w:szCs w:val="20"/>
              </w:rPr>
              <w:t>ln</w:t>
            </w:r>
            <w:proofErr w:type="spellEnd"/>
            <w:r w:rsidRPr="00D6666C">
              <w:rPr>
                <w:rFonts w:ascii="Palatino Linotype" w:hAnsi="Palatino Linotype" w:cs="Arial"/>
                <w:sz w:val="20"/>
                <w:szCs w:val="20"/>
              </w:rPr>
              <w:t>(</w:t>
            </w:r>
            <w:r w:rsidRPr="00D6666C">
              <w:rPr>
                <w:rFonts w:ascii="Palatino Linotype" w:hAnsi="Palatino Linotype" w:cs="Arial"/>
                <w:i/>
                <w:iCs/>
                <w:sz w:val="20"/>
                <w:szCs w:val="20"/>
              </w:rPr>
              <w:t>L</w:t>
            </w:r>
            <w:r w:rsidRPr="00D6666C">
              <w:rPr>
                <w:rFonts w:ascii="Palatino Linotype" w:hAnsi="Palatino Linotype" w:cs="Arial"/>
                <w:sz w:val="20"/>
                <w:szCs w:val="20"/>
              </w:rPr>
              <w:t xml:space="preserve">) or </w:t>
            </w:r>
            <w:r w:rsidRPr="00D6666C">
              <w:rPr>
                <w:rFonts w:ascii="Palatino Linotype" w:hAnsi="Palatino Linotype" w:cs="Arial"/>
                <w:i/>
                <w:sz w:val="20"/>
                <w:szCs w:val="20"/>
              </w:rPr>
              <w:t>RSS</w:t>
            </w:r>
            <w:r w:rsidRPr="00D6666C">
              <w:rPr>
                <w:rFonts w:ascii="Palatino Linotype" w:hAnsi="Palatino Linotype" w:cs="Arial"/>
                <w:sz w:val="20"/>
                <w:szCs w:val="20"/>
              </w:rPr>
              <w:t xml:space="preserve"> (forest + wetland) used to calculate model </w:t>
            </w:r>
            <w:proofErr w:type="spellStart"/>
            <w:r w:rsidRPr="00D6666C">
              <w:rPr>
                <w:rFonts w:ascii="Palatino Linotype" w:hAnsi="Palatino Linotype" w:cs="Arial"/>
                <w:sz w:val="20"/>
                <w:szCs w:val="20"/>
              </w:rPr>
              <w:t>AICc</w:t>
            </w:r>
            <w:proofErr w:type="spellEnd"/>
          </w:p>
        </w:tc>
        <w:tc>
          <w:tcPr>
            <w:tcW w:w="1418" w:type="dxa"/>
            <w:tcBorders>
              <w:top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6</w:t>
            </w:r>
          </w:p>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(3 Forest +</w:t>
            </w:r>
          </w:p>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3 Wetland)</w:t>
            </w:r>
          </w:p>
        </w:tc>
      </w:tr>
      <w:tr w:rsidR="0040684A" w:rsidRPr="00DC3BDA" w:rsidTr="0040684A">
        <w:trPr>
          <w:trHeight w:val="582"/>
        </w:trPr>
        <w:tc>
          <w:tcPr>
            <w:tcW w:w="284" w:type="dxa"/>
            <w:tcBorders>
              <w:bottom w:val="single" w:sz="4" w:space="0" w:color="auto"/>
            </w:tcBorders>
            <w:shd w:val="clear" w:color="auto" w:fill="auto"/>
            <w:tcMar>
              <w:top w:w="15" w:type="dxa"/>
              <w:left w:w="15" w:type="dxa"/>
              <w:bottom w:w="0" w:type="dxa"/>
              <w:right w:w="15" w:type="dxa"/>
            </w:tcMar>
            <w:vAlign w:val="center"/>
            <w:hideMark/>
          </w:tcPr>
          <w:p w:rsidR="0040684A" w:rsidRPr="00DC3BDA" w:rsidRDefault="0040684A" w:rsidP="00DC3BDA">
            <w:pPr>
              <w:pStyle w:val="NoSpacing"/>
              <w:spacing w:before="0" w:after="0" w:line="276" w:lineRule="auto"/>
              <w:rPr>
                <w:rFonts w:ascii="Palatino Linotype" w:hAnsi="Palatino Linotype" w:cs="Arial"/>
                <w:szCs w:val="22"/>
              </w:rPr>
            </w:pPr>
            <w:r w:rsidRPr="00DC3BDA">
              <w:rPr>
                <w:rFonts w:ascii="Palatino Linotype" w:hAnsi="Palatino Linotype" w:cs="Arial"/>
                <w:szCs w:val="22"/>
              </w:rPr>
              <w:t>B</w:t>
            </w:r>
          </w:p>
        </w:tc>
        <w:tc>
          <w:tcPr>
            <w:tcW w:w="3544" w:type="dxa"/>
            <w:tcBorders>
              <w:bottom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i/>
                <w:sz w:val="20"/>
                <w:szCs w:val="20"/>
              </w:rPr>
              <w:t xml:space="preserve"> y</w:t>
            </w:r>
            <w:r w:rsidRPr="00D6666C">
              <w:rPr>
                <w:rFonts w:ascii="Palatino Linotype" w:hAnsi="Palatino Linotype" w:cs="Arial"/>
                <w:sz w:val="20"/>
                <w:szCs w:val="20"/>
              </w:rPr>
              <w:t xml:space="preserve"> = exp(</w:t>
            </w:r>
            <w:r w:rsidRPr="00D6666C">
              <w:rPr>
                <w:rFonts w:ascii="Palatino Linotype" w:hAnsi="Palatino Linotype" w:cs="Arial"/>
                <w:i/>
                <w:iCs/>
                <w:sz w:val="20"/>
                <w:szCs w:val="20"/>
              </w:rPr>
              <w:t>b</w:t>
            </w:r>
            <w:r w:rsidRPr="00D6666C">
              <w:rPr>
                <w:rFonts w:ascii="Palatino Linotype" w:hAnsi="Palatino Linotype" w:cs="Arial"/>
                <w:sz w:val="20"/>
                <w:szCs w:val="20"/>
                <w:vertAlign w:val="subscript"/>
              </w:rPr>
              <w:t>0</w:t>
            </w:r>
            <w:r w:rsidRPr="00D6666C">
              <w:rPr>
                <w:rFonts w:ascii="Palatino Linotype" w:hAnsi="Palatino Linotype" w:cs="Arial"/>
                <w:sz w:val="20"/>
                <w:szCs w:val="20"/>
              </w:rPr>
              <w:t xml:space="preserve"> + </w:t>
            </w:r>
            <w:r w:rsidRPr="00D6666C">
              <w:rPr>
                <w:rFonts w:ascii="Palatino Linotype" w:hAnsi="Palatino Linotype" w:cs="Arial"/>
                <w:i/>
                <w:iCs/>
                <w:sz w:val="20"/>
                <w:szCs w:val="20"/>
              </w:rPr>
              <w:t>b</w:t>
            </w:r>
            <w:r w:rsidRPr="00D6666C">
              <w:rPr>
                <w:rFonts w:ascii="Palatino Linotype" w:hAnsi="Palatino Linotype" w:cs="Arial"/>
                <w:sz w:val="20"/>
                <w:szCs w:val="20"/>
                <w:vertAlign w:val="subscript"/>
              </w:rPr>
              <w:t>1</w:t>
            </w:r>
            <w:r w:rsidRPr="00D6666C">
              <w:rPr>
                <w:rFonts w:ascii="Palatino Linotype" w:hAnsi="Palatino Linotype" w:cs="Arial"/>
                <w:sz w:val="20"/>
                <w:szCs w:val="20"/>
              </w:rPr>
              <w:t xml:space="preserve"> (</w:t>
            </w:r>
            <m:oMath>
              <m:r>
                <m:rPr>
                  <m:nor/>
                </m:rPr>
                <w:rPr>
                  <w:rFonts w:ascii="Palatino Linotype" w:hAnsi="Palatino Linotype" w:cs="Arial"/>
                  <w:sz w:val="20"/>
                  <w:szCs w:val="20"/>
                </w:rPr>
                <m:t>x</m:t>
              </m:r>
            </m:oMath>
            <w:r w:rsidRPr="00D6666C">
              <w:rPr>
                <w:rFonts w:ascii="Palatino Linotype" w:hAnsi="Palatino Linotype" w:cs="Arial"/>
                <w:i/>
                <w:iCs/>
                <w:sz w:val="20"/>
                <w:szCs w:val="20"/>
                <w:vertAlign w:val="superscript"/>
                <w:lang w:val="el-GR"/>
              </w:rPr>
              <w:t xml:space="preserve"> α</w:t>
            </w:r>
            <w:r w:rsidRPr="00D6666C">
              <w:rPr>
                <w:rFonts w:ascii="Palatino Linotype" w:hAnsi="Palatino Linotype" w:cs="Arial"/>
                <w:sz w:val="20"/>
                <w:szCs w:val="20"/>
              </w:rPr>
              <w:t>) +</w:t>
            </w:r>
            <w:r w:rsidRPr="00D6666C">
              <w:rPr>
                <w:rFonts w:ascii="Palatino Linotype" w:hAnsi="Palatino Linotype" w:cs="Arial"/>
                <w:i/>
                <w:iCs/>
                <w:sz w:val="20"/>
                <w:szCs w:val="20"/>
              </w:rPr>
              <w:t>b</w:t>
            </w:r>
            <w:r w:rsidRPr="00D6666C">
              <w:rPr>
                <w:rFonts w:ascii="Palatino Linotype" w:hAnsi="Palatino Linotype" w:cs="Arial"/>
                <w:sz w:val="20"/>
                <w:szCs w:val="20"/>
                <w:vertAlign w:val="subscript"/>
              </w:rPr>
              <w:t>2</w:t>
            </w:r>
            <w:r w:rsidRPr="00D6666C">
              <w:rPr>
                <w:rFonts w:ascii="Palatino Linotype" w:hAnsi="Palatino Linotype" w:cs="Arial"/>
                <w:sz w:val="20"/>
                <w:szCs w:val="20"/>
              </w:rPr>
              <w:t xml:space="preserve"> (</w:t>
            </w:r>
            <m:oMath>
              <m:r>
                <m:rPr>
                  <m:nor/>
                </m:rPr>
                <w:rPr>
                  <w:rFonts w:ascii="Palatino Linotype" w:hAnsi="Palatino Linotype" w:cs="Arial"/>
                  <w:sz w:val="20"/>
                  <w:szCs w:val="20"/>
                </w:rPr>
                <m:t>x</m:t>
              </m:r>
            </m:oMath>
            <w:r w:rsidRPr="00D6666C">
              <w:rPr>
                <w:rFonts w:ascii="Palatino Linotype" w:hAnsi="Palatino Linotype" w:cs="Arial"/>
                <w:sz w:val="20"/>
                <w:szCs w:val="20"/>
                <w:vertAlign w:val="superscript"/>
              </w:rPr>
              <w:t>2</w:t>
            </w:r>
            <w:r w:rsidRPr="00D6666C">
              <w:rPr>
                <w:rFonts w:ascii="Palatino Linotype" w:hAnsi="Palatino Linotype" w:cs="Arial"/>
                <w:i/>
                <w:iCs/>
                <w:sz w:val="20"/>
                <w:szCs w:val="20"/>
                <w:vertAlign w:val="superscript"/>
                <w:lang w:val="el-GR"/>
              </w:rPr>
              <w:t>α</w:t>
            </w:r>
            <w:r w:rsidRPr="00D6666C">
              <w:rPr>
                <w:rFonts w:ascii="Palatino Linotype" w:hAnsi="Palatino Linotype" w:cs="Arial"/>
                <w:sz w:val="20"/>
                <w:szCs w:val="20"/>
              </w:rPr>
              <w:t>))</w:t>
            </w:r>
          </w:p>
        </w:tc>
        <w:tc>
          <w:tcPr>
            <w:tcW w:w="3260" w:type="dxa"/>
            <w:vMerge/>
            <w:tcBorders>
              <w:bottom w:val="single" w:sz="4" w:space="0" w:color="auto"/>
            </w:tcBorders>
            <w:shd w:val="clear" w:color="auto" w:fill="auto"/>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p>
        </w:tc>
        <w:tc>
          <w:tcPr>
            <w:tcW w:w="1418" w:type="dxa"/>
            <w:tcBorders>
              <w:bottom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8</w:t>
            </w:r>
          </w:p>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(4 Forest +</w:t>
            </w:r>
          </w:p>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4 Wetland)</w:t>
            </w:r>
          </w:p>
        </w:tc>
      </w:tr>
      <w:tr w:rsidR="0040684A" w:rsidRPr="00DC3BDA" w:rsidTr="0040684A">
        <w:trPr>
          <w:trHeight w:val="494"/>
        </w:trPr>
        <w:tc>
          <w:tcPr>
            <w:tcW w:w="284" w:type="dxa"/>
            <w:tcBorders>
              <w:top w:val="single" w:sz="4" w:space="0" w:color="auto"/>
            </w:tcBorders>
            <w:shd w:val="clear" w:color="auto" w:fill="auto"/>
            <w:tcMar>
              <w:top w:w="15" w:type="dxa"/>
              <w:left w:w="15" w:type="dxa"/>
              <w:bottom w:w="0" w:type="dxa"/>
              <w:right w:w="15" w:type="dxa"/>
            </w:tcMar>
            <w:vAlign w:val="center"/>
            <w:hideMark/>
          </w:tcPr>
          <w:p w:rsidR="0040684A" w:rsidRPr="00DC3BDA" w:rsidRDefault="0040684A" w:rsidP="00DC3BDA">
            <w:pPr>
              <w:pStyle w:val="NoSpacing"/>
              <w:spacing w:before="0" w:after="0" w:line="276" w:lineRule="auto"/>
              <w:rPr>
                <w:rFonts w:ascii="Palatino Linotype" w:hAnsi="Palatino Linotype" w:cs="Arial"/>
                <w:szCs w:val="22"/>
              </w:rPr>
            </w:pPr>
            <w:r w:rsidRPr="00DC3BDA">
              <w:rPr>
                <w:rFonts w:ascii="Palatino Linotype" w:hAnsi="Palatino Linotype" w:cs="Arial"/>
                <w:szCs w:val="22"/>
              </w:rPr>
              <w:t>C</w:t>
            </w:r>
          </w:p>
        </w:tc>
        <w:tc>
          <w:tcPr>
            <w:tcW w:w="3544" w:type="dxa"/>
            <w:tcBorders>
              <w:top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i/>
                <w:sz w:val="20"/>
                <w:szCs w:val="20"/>
              </w:rPr>
              <w:t xml:space="preserve"> y</w:t>
            </w:r>
            <w:r w:rsidRPr="00D6666C">
              <w:rPr>
                <w:rFonts w:ascii="Palatino Linotype" w:hAnsi="Palatino Linotype" w:cs="Arial"/>
                <w:sz w:val="20"/>
                <w:szCs w:val="20"/>
              </w:rPr>
              <w:t xml:space="preserve"> = exp(</w:t>
            </w:r>
            <w:r w:rsidRPr="00D6666C">
              <w:rPr>
                <w:rFonts w:ascii="Palatino Linotype" w:hAnsi="Palatino Linotype" w:cs="Arial"/>
                <w:i/>
                <w:iCs/>
                <w:sz w:val="20"/>
                <w:szCs w:val="20"/>
              </w:rPr>
              <w:t>b</w:t>
            </w:r>
            <w:r w:rsidRPr="00D6666C">
              <w:rPr>
                <w:rFonts w:ascii="Palatino Linotype" w:hAnsi="Palatino Linotype" w:cs="Arial"/>
                <w:sz w:val="20"/>
                <w:szCs w:val="20"/>
                <w:vertAlign w:val="subscript"/>
              </w:rPr>
              <w:t>0</w:t>
            </w:r>
            <w:r w:rsidRPr="00D6666C">
              <w:rPr>
                <w:rFonts w:ascii="Palatino Linotype" w:hAnsi="Palatino Linotype" w:cs="Arial"/>
                <w:sz w:val="20"/>
                <w:szCs w:val="20"/>
              </w:rPr>
              <w:t xml:space="preserve"> + (</w:t>
            </w:r>
            <w:proofErr w:type="spellStart"/>
            <w:r w:rsidRPr="00D6666C">
              <w:rPr>
                <w:rFonts w:ascii="Palatino Linotype" w:hAnsi="Palatino Linotype" w:cs="Arial"/>
                <w:i/>
                <w:iCs/>
                <w:sz w:val="20"/>
                <w:szCs w:val="20"/>
              </w:rPr>
              <w:t>b</w:t>
            </w:r>
            <w:r w:rsidR="00D6666C" w:rsidRPr="00D6666C">
              <w:rPr>
                <w:rFonts w:ascii="Palatino Linotype" w:hAnsi="Palatino Linotype" w:cs="Arial"/>
                <w:sz w:val="20"/>
                <w:szCs w:val="20"/>
                <w:vertAlign w:val="subscript"/>
              </w:rPr>
              <w:t>W</w:t>
            </w:r>
            <w:proofErr w:type="spellEnd"/>
            <w:r w:rsidRPr="00D6666C">
              <w:rPr>
                <w:rFonts w:ascii="Palatino Linotype" w:hAnsi="Palatino Linotype" w:cs="Arial"/>
                <w:sz w:val="20"/>
                <w:szCs w:val="20"/>
              </w:rPr>
              <w:t>*</w:t>
            </w:r>
            <w:r w:rsidRPr="00D6666C">
              <w:rPr>
                <w:rFonts w:ascii="Palatino Linotype" w:hAnsi="Palatino Linotype" w:cs="Arial"/>
                <w:i/>
                <w:sz w:val="20"/>
                <w:szCs w:val="20"/>
              </w:rPr>
              <w:t>WET</w:t>
            </w:r>
            <w:r w:rsidRPr="00D6666C">
              <w:rPr>
                <w:rFonts w:ascii="Palatino Linotype" w:hAnsi="Palatino Linotype" w:cs="Arial"/>
                <w:sz w:val="20"/>
                <w:szCs w:val="20"/>
              </w:rPr>
              <w:t xml:space="preserve">) + </w:t>
            </w:r>
            <w:r w:rsidRPr="00D6666C">
              <w:rPr>
                <w:rFonts w:ascii="Palatino Linotype" w:hAnsi="Palatino Linotype" w:cs="Arial"/>
                <w:i/>
                <w:iCs/>
                <w:sz w:val="20"/>
                <w:szCs w:val="20"/>
              </w:rPr>
              <w:t>b</w:t>
            </w:r>
            <w:r w:rsidR="00D6666C" w:rsidRPr="00D6666C">
              <w:rPr>
                <w:rFonts w:ascii="Palatino Linotype" w:hAnsi="Palatino Linotype" w:cs="Arial"/>
                <w:sz w:val="20"/>
                <w:szCs w:val="20"/>
                <w:vertAlign w:val="subscript"/>
              </w:rPr>
              <w:t>1</w:t>
            </w:r>
            <w:r w:rsidRPr="00D6666C">
              <w:rPr>
                <w:rFonts w:ascii="Palatino Linotype" w:hAnsi="Palatino Linotype" w:cs="Arial"/>
                <w:sz w:val="20"/>
                <w:szCs w:val="20"/>
              </w:rPr>
              <w:t>(</w:t>
            </w:r>
            <m:oMath>
              <m:r>
                <m:rPr>
                  <m:nor/>
                </m:rPr>
                <w:rPr>
                  <w:rFonts w:ascii="Palatino Linotype" w:hAnsi="Palatino Linotype" w:cs="Arial"/>
                  <w:sz w:val="20"/>
                  <w:szCs w:val="20"/>
                </w:rPr>
                <m:t>x</m:t>
              </m:r>
            </m:oMath>
            <w:r w:rsidRPr="00D6666C">
              <w:rPr>
                <w:rFonts w:ascii="Palatino Linotype" w:hAnsi="Palatino Linotype" w:cs="Arial"/>
                <w:i/>
                <w:iCs/>
                <w:sz w:val="20"/>
                <w:szCs w:val="20"/>
                <w:vertAlign w:val="superscript"/>
                <w:lang w:val="el-GR"/>
              </w:rPr>
              <w:t>α</w:t>
            </w:r>
            <w:r w:rsidRPr="00D6666C">
              <w:rPr>
                <w:rFonts w:ascii="Palatino Linotype" w:hAnsi="Palatino Linotype" w:cs="Arial"/>
                <w:sz w:val="20"/>
                <w:szCs w:val="20"/>
              </w:rPr>
              <w:t>))</w:t>
            </w:r>
          </w:p>
        </w:tc>
        <w:tc>
          <w:tcPr>
            <w:tcW w:w="3260" w:type="dxa"/>
            <w:vMerge w:val="restart"/>
            <w:tcBorders>
              <w:top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Curves fitted to Forest and</w:t>
            </w:r>
          </w:p>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Wetland data combined.</w:t>
            </w:r>
          </w:p>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WET = 1 (Wetland data)</w:t>
            </w:r>
          </w:p>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WET = 0 (Forest data)</w:t>
            </w:r>
          </w:p>
        </w:tc>
        <w:tc>
          <w:tcPr>
            <w:tcW w:w="1418" w:type="dxa"/>
            <w:tcBorders>
              <w:top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p>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4</w:t>
            </w:r>
          </w:p>
          <w:p w:rsidR="0040684A" w:rsidRPr="00D6666C" w:rsidRDefault="0040684A" w:rsidP="00DC3BDA">
            <w:pPr>
              <w:pStyle w:val="NoSpacing"/>
              <w:spacing w:before="0" w:after="0" w:line="276" w:lineRule="auto"/>
              <w:rPr>
                <w:rFonts w:ascii="Palatino Linotype" w:hAnsi="Palatino Linotype" w:cs="Arial"/>
                <w:sz w:val="20"/>
                <w:szCs w:val="20"/>
              </w:rPr>
            </w:pPr>
          </w:p>
          <w:p w:rsidR="0040684A" w:rsidRPr="00D6666C" w:rsidRDefault="0040684A" w:rsidP="00DC3BDA">
            <w:pPr>
              <w:pStyle w:val="NoSpacing"/>
              <w:spacing w:before="0" w:after="0" w:line="276" w:lineRule="auto"/>
              <w:rPr>
                <w:rFonts w:ascii="Palatino Linotype" w:hAnsi="Palatino Linotype" w:cs="Arial"/>
                <w:sz w:val="20"/>
                <w:szCs w:val="20"/>
              </w:rPr>
            </w:pPr>
          </w:p>
        </w:tc>
      </w:tr>
      <w:tr w:rsidR="0040684A" w:rsidRPr="00DC3BDA" w:rsidTr="0040684A">
        <w:trPr>
          <w:trHeight w:val="494"/>
        </w:trPr>
        <w:tc>
          <w:tcPr>
            <w:tcW w:w="284" w:type="dxa"/>
            <w:tcBorders>
              <w:bottom w:val="single" w:sz="4" w:space="0" w:color="auto"/>
            </w:tcBorders>
            <w:shd w:val="clear" w:color="auto" w:fill="auto"/>
            <w:tcMar>
              <w:top w:w="15" w:type="dxa"/>
              <w:left w:w="15" w:type="dxa"/>
              <w:bottom w:w="0" w:type="dxa"/>
              <w:right w:w="15" w:type="dxa"/>
            </w:tcMar>
            <w:vAlign w:val="center"/>
            <w:hideMark/>
          </w:tcPr>
          <w:p w:rsidR="0040684A" w:rsidRPr="00DC3BDA" w:rsidRDefault="0040684A" w:rsidP="00DC3BDA">
            <w:pPr>
              <w:pStyle w:val="NoSpacing"/>
              <w:spacing w:before="0" w:after="0" w:line="276" w:lineRule="auto"/>
              <w:rPr>
                <w:rFonts w:ascii="Palatino Linotype" w:hAnsi="Palatino Linotype" w:cs="Arial"/>
                <w:szCs w:val="22"/>
              </w:rPr>
            </w:pPr>
            <w:r w:rsidRPr="00DC3BDA">
              <w:rPr>
                <w:rFonts w:ascii="Palatino Linotype" w:hAnsi="Palatino Linotype" w:cs="Arial"/>
                <w:szCs w:val="22"/>
              </w:rPr>
              <w:t>D</w:t>
            </w:r>
          </w:p>
        </w:tc>
        <w:tc>
          <w:tcPr>
            <w:tcW w:w="3544" w:type="dxa"/>
            <w:tcBorders>
              <w:bottom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i/>
                <w:sz w:val="20"/>
                <w:szCs w:val="20"/>
              </w:rPr>
              <w:t xml:space="preserve"> y</w:t>
            </w:r>
            <w:r w:rsidRPr="00D6666C">
              <w:rPr>
                <w:rFonts w:ascii="Palatino Linotype" w:hAnsi="Palatino Linotype" w:cs="Arial"/>
                <w:sz w:val="20"/>
                <w:szCs w:val="20"/>
              </w:rPr>
              <w:t xml:space="preserve"> = exp(</w:t>
            </w:r>
            <w:r w:rsidRPr="00D6666C">
              <w:rPr>
                <w:rFonts w:ascii="Palatino Linotype" w:hAnsi="Palatino Linotype" w:cs="Arial"/>
                <w:i/>
                <w:iCs/>
                <w:sz w:val="20"/>
                <w:szCs w:val="20"/>
              </w:rPr>
              <w:t>b</w:t>
            </w:r>
            <w:r w:rsidRPr="00D6666C">
              <w:rPr>
                <w:rFonts w:ascii="Palatino Linotype" w:hAnsi="Palatino Linotype" w:cs="Arial"/>
                <w:sz w:val="20"/>
                <w:szCs w:val="20"/>
                <w:vertAlign w:val="subscript"/>
              </w:rPr>
              <w:t>0</w:t>
            </w:r>
            <w:r w:rsidRPr="00D6666C">
              <w:rPr>
                <w:rFonts w:ascii="Palatino Linotype" w:hAnsi="Palatino Linotype" w:cs="Arial"/>
                <w:sz w:val="20"/>
                <w:szCs w:val="20"/>
              </w:rPr>
              <w:t xml:space="preserve"> + (</w:t>
            </w:r>
            <w:proofErr w:type="spellStart"/>
            <w:r w:rsidRPr="00D6666C">
              <w:rPr>
                <w:rFonts w:ascii="Palatino Linotype" w:hAnsi="Palatino Linotype" w:cs="Arial"/>
                <w:i/>
                <w:iCs/>
                <w:sz w:val="20"/>
                <w:szCs w:val="20"/>
              </w:rPr>
              <w:t>b</w:t>
            </w:r>
            <w:r w:rsidR="00D6666C" w:rsidRPr="00D6666C">
              <w:rPr>
                <w:rFonts w:ascii="Palatino Linotype" w:hAnsi="Palatino Linotype" w:cs="Arial"/>
                <w:sz w:val="20"/>
                <w:szCs w:val="20"/>
                <w:vertAlign w:val="subscript"/>
              </w:rPr>
              <w:t>W</w:t>
            </w:r>
            <w:proofErr w:type="spellEnd"/>
            <w:r w:rsidRPr="00D6666C">
              <w:rPr>
                <w:rFonts w:ascii="Palatino Linotype" w:hAnsi="Palatino Linotype" w:cs="Arial"/>
                <w:sz w:val="20"/>
                <w:szCs w:val="20"/>
              </w:rPr>
              <w:t>*</w:t>
            </w:r>
            <w:r w:rsidRPr="00D6666C">
              <w:rPr>
                <w:rFonts w:ascii="Palatino Linotype" w:hAnsi="Palatino Linotype" w:cs="Arial"/>
                <w:i/>
                <w:sz w:val="20"/>
                <w:szCs w:val="20"/>
              </w:rPr>
              <w:t>WET</w:t>
            </w:r>
            <w:r w:rsidRPr="00D6666C">
              <w:rPr>
                <w:rFonts w:ascii="Palatino Linotype" w:hAnsi="Palatino Linotype" w:cs="Arial"/>
                <w:sz w:val="20"/>
                <w:szCs w:val="20"/>
              </w:rPr>
              <w:t xml:space="preserve">) + </w:t>
            </w:r>
            <w:r w:rsidRPr="00D6666C">
              <w:rPr>
                <w:rFonts w:ascii="Palatino Linotype" w:hAnsi="Palatino Linotype" w:cs="Arial"/>
                <w:i/>
                <w:iCs/>
                <w:sz w:val="20"/>
                <w:szCs w:val="20"/>
              </w:rPr>
              <w:t>b</w:t>
            </w:r>
            <w:r w:rsidR="00D6666C" w:rsidRPr="00D6666C">
              <w:rPr>
                <w:rFonts w:ascii="Palatino Linotype" w:hAnsi="Palatino Linotype" w:cs="Arial"/>
                <w:sz w:val="20"/>
                <w:szCs w:val="20"/>
                <w:vertAlign w:val="subscript"/>
              </w:rPr>
              <w:t>1</w:t>
            </w:r>
            <w:r w:rsidRPr="00D6666C">
              <w:rPr>
                <w:rFonts w:ascii="Palatino Linotype" w:hAnsi="Palatino Linotype" w:cs="Arial"/>
                <w:sz w:val="20"/>
                <w:szCs w:val="20"/>
              </w:rPr>
              <w:t>(</w:t>
            </w:r>
            <m:oMath>
              <m:r>
                <m:rPr>
                  <m:nor/>
                </m:rPr>
                <w:rPr>
                  <w:rFonts w:ascii="Palatino Linotype" w:hAnsi="Palatino Linotype" w:cs="Arial"/>
                  <w:sz w:val="20"/>
                  <w:szCs w:val="20"/>
                </w:rPr>
                <m:t>x</m:t>
              </m:r>
            </m:oMath>
            <w:r w:rsidRPr="00D6666C">
              <w:rPr>
                <w:rFonts w:ascii="Palatino Linotype" w:hAnsi="Palatino Linotype" w:cs="Arial"/>
                <w:i/>
                <w:iCs/>
                <w:sz w:val="20"/>
                <w:szCs w:val="20"/>
                <w:vertAlign w:val="superscript"/>
                <w:lang w:val="el-GR"/>
              </w:rPr>
              <w:t>α</w:t>
            </w:r>
            <w:r w:rsidRPr="00D6666C">
              <w:rPr>
                <w:rFonts w:ascii="Palatino Linotype" w:hAnsi="Palatino Linotype" w:cs="Arial"/>
                <w:sz w:val="20"/>
                <w:szCs w:val="20"/>
              </w:rPr>
              <w:t>) +</w:t>
            </w:r>
            <w:r w:rsidRPr="00D6666C">
              <w:rPr>
                <w:rFonts w:ascii="Palatino Linotype" w:hAnsi="Palatino Linotype" w:cs="Arial"/>
                <w:i/>
                <w:iCs/>
                <w:sz w:val="20"/>
                <w:szCs w:val="20"/>
              </w:rPr>
              <w:t>b</w:t>
            </w:r>
            <w:r w:rsidR="00D6666C" w:rsidRPr="00D6666C">
              <w:rPr>
                <w:rFonts w:ascii="Palatino Linotype" w:hAnsi="Palatino Linotype" w:cs="Arial"/>
                <w:sz w:val="20"/>
                <w:szCs w:val="20"/>
                <w:vertAlign w:val="subscript"/>
              </w:rPr>
              <w:t>2</w:t>
            </w:r>
            <w:r w:rsidRPr="00D6666C">
              <w:rPr>
                <w:rFonts w:ascii="Palatino Linotype" w:hAnsi="Palatino Linotype" w:cs="Arial"/>
                <w:sz w:val="20"/>
                <w:szCs w:val="20"/>
              </w:rPr>
              <w:t xml:space="preserve"> (</w:t>
            </w:r>
            <m:oMath>
              <m:r>
                <m:rPr>
                  <m:nor/>
                </m:rPr>
                <w:rPr>
                  <w:rFonts w:ascii="Palatino Linotype" w:hAnsi="Palatino Linotype" w:cs="Arial"/>
                  <w:sz w:val="20"/>
                  <w:szCs w:val="20"/>
                </w:rPr>
                <m:t>x</m:t>
              </m:r>
            </m:oMath>
            <w:r w:rsidRPr="00D6666C">
              <w:rPr>
                <w:rFonts w:ascii="Palatino Linotype" w:hAnsi="Palatino Linotype" w:cs="Arial"/>
                <w:sz w:val="20"/>
                <w:szCs w:val="20"/>
                <w:vertAlign w:val="superscript"/>
              </w:rPr>
              <w:t>2</w:t>
            </w:r>
            <w:r w:rsidRPr="00D6666C">
              <w:rPr>
                <w:rFonts w:ascii="Palatino Linotype" w:hAnsi="Palatino Linotype" w:cs="Arial"/>
                <w:i/>
                <w:iCs/>
                <w:sz w:val="20"/>
                <w:szCs w:val="20"/>
                <w:vertAlign w:val="superscript"/>
                <w:lang w:val="el-GR"/>
              </w:rPr>
              <w:t>α</w:t>
            </w:r>
            <w:r w:rsidRPr="00D6666C">
              <w:rPr>
                <w:rFonts w:ascii="Palatino Linotype" w:hAnsi="Palatino Linotype" w:cs="Arial"/>
                <w:sz w:val="20"/>
                <w:szCs w:val="20"/>
              </w:rPr>
              <w:t>))</w:t>
            </w:r>
          </w:p>
        </w:tc>
        <w:tc>
          <w:tcPr>
            <w:tcW w:w="3260" w:type="dxa"/>
            <w:vMerge/>
            <w:tcBorders>
              <w:bottom w:val="single" w:sz="4" w:space="0" w:color="auto"/>
            </w:tcBorders>
            <w:shd w:val="clear" w:color="auto" w:fill="auto"/>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p>
        </w:tc>
        <w:tc>
          <w:tcPr>
            <w:tcW w:w="1418" w:type="dxa"/>
            <w:tcBorders>
              <w:bottom w:val="single" w:sz="4" w:space="0" w:color="auto"/>
            </w:tcBorders>
            <w:shd w:val="clear" w:color="auto" w:fill="auto"/>
            <w:tcMar>
              <w:top w:w="15" w:type="dxa"/>
              <w:left w:w="15" w:type="dxa"/>
              <w:bottom w:w="0" w:type="dxa"/>
              <w:right w:w="15" w:type="dxa"/>
            </w:tcMar>
            <w:vAlign w:val="center"/>
            <w:hideMark/>
          </w:tcPr>
          <w:p w:rsidR="0040684A" w:rsidRPr="00D6666C" w:rsidRDefault="0040684A" w:rsidP="00DC3BDA">
            <w:pPr>
              <w:pStyle w:val="NoSpacing"/>
              <w:spacing w:before="0" w:after="0" w:line="276" w:lineRule="auto"/>
              <w:rPr>
                <w:rFonts w:ascii="Palatino Linotype" w:hAnsi="Palatino Linotype" w:cs="Arial"/>
                <w:sz w:val="20"/>
                <w:szCs w:val="20"/>
              </w:rPr>
            </w:pPr>
            <w:r w:rsidRPr="00D6666C">
              <w:rPr>
                <w:rFonts w:ascii="Palatino Linotype" w:hAnsi="Palatino Linotype" w:cs="Arial"/>
                <w:sz w:val="20"/>
                <w:szCs w:val="20"/>
              </w:rPr>
              <w:t>5</w:t>
            </w:r>
          </w:p>
          <w:p w:rsidR="0040684A" w:rsidRPr="00D6666C" w:rsidRDefault="0040684A" w:rsidP="00DC3BDA">
            <w:pPr>
              <w:pStyle w:val="NoSpacing"/>
              <w:spacing w:before="0" w:after="0" w:line="276" w:lineRule="auto"/>
              <w:rPr>
                <w:rFonts w:ascii="Palatino Linotype" w:hAnsi="Palatino Linotype" w:cs="Arial"/>
                <w:sz w:val="20"/>
                <w:szCs w:val="20"/>
              </w:rPr>
            </w:pPr>
          </w:p>
        </w:tc>
      </w:tr>
    </w:tbl>
    <w:p w:rsidR="0040684A" w:rsidRPr="00B53849" w:rsidRDefault="0040684A" w:rsidP="00B53849">
      <w:pPr>
        <w:spacing w:before="120"/>
      </w:pPr>
      <w:r w:rsidRPr="00B53849">
        <w:t xml:space="preserve">Maximum-likelihood </w:t>
      </w:r>
      <w:r w:rsidR="007E5075" w:rsidRPr="00B53849">
        <w:t xml:space="preserve">Poisson </w:t>
      </w:r>
      <w:r w:rsidRPr="00B53849">
        <w:t xml:space="preserve">(for count data) or Ordinary Least Squares (for extent data) </w:t>
      </w:r>
      <w:proofErr w:type="spellStart"/>
      <w:r w:rsidRPr="00B53849">
        <w:t>univariate</w:t>
      </w:r>
      <w:proofErr w:type="spellEnd"/>
      <w:r w:rsidRPr="00B53849">
        <w:t xml:space="preserve"> parametric regression models</w:t>
      </w:r>
      <w:r w:rsidR="00865CF5">
        <w:t xml:space="preserve"> were</w:t>
      </w:r>
      <w:r w:rsidRPr="00B53849">
        <w:t xml:space="preserve"> fitted for each species with </w:t>
      </w:r>
      <w:r w:rsidR="00865CF5">
        <w:t>cluster count (birds) or cover (sedges)</w:t>
      </w:r>
      <w:r w:rsidRPr="00B53849">
        <w:t xml:space="preserve"> as the dependent variable and annual food energy production per unit area as the independent variable. </w:t>
      </w:r>
      <w:r w:rsidR="00DA76D0" w:rsidRPr="00B53849">
        <w:t xml:space="preserve"> </w:t>
      </w:r>
      <w:r w:rsidR="002C24E3" w:rsidRPr="00B53849">
        <w:t xml:space="preserve">The variable </w:t>
      </w:r>
      <w:r w:rsidR="002C24E3" w:rsidRPr="00B53849">
        <w:rPr>
          <w:i/>
        </w:rPr>
        <w:t>x</w:t>
      </w:r>
      <m:oMath>
        <m:r>
          <w:rPr>
            <w:rFonts w:ascii="Cambria Math" w:hAnsi="Cambria Math"/>
          </w:rPr>
          <m:t xml:space="preserve"> </m:t>
        </m:r>
      </m:oMath>
      <w:r w:rsidRPr="00B53849">
        <w:t>represents yield (in GJ ha</w:t>
      </w:r>
      <w:r w:rsidRPr="00B53849">
        <w:rPr>
          <w:vertAlign w:val="superscript"/>
        </w:rPr>
        <w:t xml:space="preserve">-1 </w:t>
      </w:r>
      <w:r w:rsidRPr="00B53849">
        <w:t>yr</w:t>
      </w:r>
      <w:r w:rsidRPr="00B53849">
        <w:rPr>
          <w:vertAlign w:val="superscript"/>
        </w:rPr>
        <w:t>-1</w:t>
      </w:r>
      <w:r w:rsidRPr="00B53849">
        <w:t xml:space="preserve">) and </w:t>
      </w:r>
      <w:r w:rsidRPr="00B53849">
        <w:rPr>
          <w:i/>
        </w:rPr>
        <w:t>b</w:t>
      </w:r>
      <w:r w:rsidRPr="00B53849">
        <w:rPr>
          <w:vertAlign w:val="subscript"/>
        </w:rPr>
        <w:t>0</w:t>
      </w:r>
      <w:r w:rsidRPr="00B53849">
        <w:t xml:space="preserve">, </w:t>
      </w:r>
      <w:r w:rsidRPr="00B53849">
        <w:rPr>
          <w:i/>
        </w:rPr>
        <w:t>b</w:t>
      </w:r>
      <w:r w:rsidRPr="00B53849">
        <w:rPr>
          <w:vertAlign w:val="subscript"/>
        </w:rPr>
        <w:t>1,</w:t>
      </w:r>
      <w:r w:rsidRPr="00B53849">
        <w:t xml:space="preserve"> </w:t>
      </w:r>
      <w:r w:rsidRPr="00B53849">
        <w:rPr>
          <w:i/>
        </w:rPr>
        <w:t>b</w:t>
      </w:r>
      <w:r w:rsidRPr="00B53849">
        <w:rPr>
          <w:vertAlign w:val="subscript"/>
        </w:rPr>
        <w:t>2</w:t>
      </w:r>
      <w:r w:rsidRPr="00B53849">
        <w:t xml:space="preserve">, </w:t>
      </w:r>
      <w:proofErr w:type="spellStart"/>
      <w:proofErr w:type="gramStart"/>
      <w:r w:rsidRPr="00B53849">
        <w:rPr>
          <w:i/>
        </w:rPr>
        <w:t>b</w:t>
      </w:r>
      <w:r w:rsidR="00AB7F8F" w:rsidRPr="00AB7F8F">
        <w:rPr>
          <w:i/>
          <w:vertAlign w:val="subscript"/>
        </w:rPr>
        <w:t>W</w:t>
      </w:r>
      <w:proofErr w:type="spellEnd"/>
      <w:proofErr w:type="gramEnd"/>
      <w:r w:rsidRPr="00B53849">
        <w:rPr>
          <w:vertAlign w:val="subscript"/>
        </w:rPr>
        <w:t xml:space="preserve"> </w:t>
      </w:r>
      <w:r w:rsidRPr="00B53849">
        <w:t xml:space="preserve">and </w:t>
      </w:r>
      <w:r w:rsidRPr="00B53849">
        <w:rPr>
          <w:i/>
        </w:rPr>
        <w:t xml:space="preserve">α </w:t>
      </w:r>
      <w:r w:rsidRPr="00B53849">
        <w:t>are</w:t>
      </w:r>
      <m:oMath>
        <m:r>
          <w:rPr>
            <w:rFonts w:ascii="Cambria Math" w:hAnsi="Cambria Math"/>
          </w:rPr>
          <m:t xml:space="preserve"> </m:t>
        </m:r>
      </m:oMath>
      <w:r w:rsidRPr="00B53849">
        <w:rPr>
          <w:rFonts w:eastAsiaTheme="minorEastAsia"/>
        </w:rPr>
        <w:t>parameters estimated from the data.</w:t>
      </w:r>
    </w:p>
    <w:p w:rsidR="0040684A" w:rsidRPr="00DC3BDA" w:rsidRDefault="0040684A" w:rsidP="00DC3BDA">
      <w:pPr>
        <w:rPr>
          <w:rFonts w:eastAsiaTheme="minorEastAsia" w:cs="Arial"/>
        </w:rPr>
      </w:pPr>
      <w:r w:rsidRPr="00DC3BDA">
        <w:rPr>
          <w:rFonts w:eastAsiaTheme="minorEastAsia" w:cs="Arial"/>
        </w:rPr>
        <w:t xml:space="preserve">Maximum-Likelihood (M-L) estimates for the parameters were calculated assuming a Poisson error structure, using the </w:t>
      </w:r>
      <w:proofErr w:type="spellStart"/>
      <w:r w:rsidRPr="00DC3BDA">
        <w:rPr>
          <w:rFonts w:eastAsiaTheme="minorEastAsia" w:cs="Arial"/>
        </w:rPr>
        <w:t>Nelder</w:t>
      </w:r>
      <w:proofErr w:type="spellEnd"/>
      <w:r w:rsidRPr="00DC3BDA">
        <w:rPr>
          <w:rFonts w:eastAsiaTheme="minorEastAsia" w:cs="Arial"/>
        </w:rPr>
        <w:t xml:space="preserve">-Mead numerical optimisation method from the R package </w:t>
      </w:r>
      <w:r w:rsidR="005D69A9" w:rsidRPr="00DC3BDA">
        <w:rPr>
          <w:rFonts w:eastAsiaTheme="minorEastAsia" w:cs="Arial"/>
        </w:rPr>
        <w:t>‘</w:t>
      </w:r>
      <w:proofErr w:type="spellStart"/>
      <w:r w:rsidRPr="00DC3BDA">
        <w:rPr>
          <w:rFonts w:eastAsiaTheme="minorEastAsia" w:cs="Arial"/>
        </w:rPr>
        <w:t>alabama</w:t>
      </w:r>
      <w:proofErr w:type="spellEnd"/>
      <w:r w:rsidR="005D69A9" w:rsidRPr="00DC3BDA">
        <w:rPr>
          <w:rFonts w:eastAsiaTheme="minorEastAsia" w:cs="Arial"/>
        </w:rPr>
        <w:t>’</w:t>
      </w:r>
      <w:r w:rsidR="007E5075">
        <w:rPr>
          <w:rFonts w:eastAsiaTheme="minorEastAsia" w:cs="Arial"/>
        </w:rPr>
        <w:t xml:space="preserve"> [2</w:t>
      </w:r>
      <w:r w:rsidR="00DE4C8D">
        <w:rPr>
          <w:rFonts w:eastAsiaTheme="minorEastAsia" w:cs="Arial"/>
        </w:rPr>
        <w:t>7</w:t>
      </w:r>
      <w:r w:rsidR="007E5075">
        <w:rPr>
          <w:rFonts w:eastAsiaTheme="minorEastAsia" w:cs="Arial"/>
        </w:rPr>
        <w:t>]</w:t>
      </w:r>
      <w:r w:rsidRPr="00DC3BDA">
        <w:rPr>
          <w:rFonts w:eastAsiaTheme="minorEastAsia" w:cs="Arial"/>
        </w:rPr>
        <w:t xml:space="preserve">. </w:t>
      </w:r>
      <w:r w:rsidR="00DA76D0">
        <w:rPr>
          <w:rFonts w:eastAsiaTheme="minorEastAsia" w:cs="Arial"/>
        </w:rPr>
        <w:t xml:space="preserve"> </w:t>
      </w:r>
      <w:r w:rsidRPr="00DC3BDA">
        <w:rPr>
          <w:rFonts w:eastAsiaTheme="minorEastAsia" w:cs="Arial"/>
        </w:rPr>
        <w:t xml:space="preserve">These model formulations were chosen because they give a wide range of curve-shapes. </w:t>
      </w:r>
      <w:r w:rsidR="00DA76D0">
        <w:rPr>
          <w:rFonts w:eastAsiaTheme="minorEastAsia" w:cs="Arial"/>
        </w:rPr>
        <w:t xml:space="preserve"> </w:t>
      </w:r>
      <w:r w:rsidRPr="00DC3BDA">
        <w:rPr>
          <w:rFonts w:eastAsiaTheme="minorEastAsia" w:cs="Arial"/>
        </w:rPr>
        <w:t xml:space="preserve">Model B and D curves were often hump-shaped, with an asymmetrical shape. </w:t>
      </w:r>
      <w:r w:rsidR="00DA76D0">
        <w:rPr>
          <w:rFonts w:eastAsiaTheme="minorEastAsia" w:cs="Arial"/>
        </w:rPr>
        <w:t xml:space="preserve"> </w:t>
      </w:r>
      <w:r w:rsidRPr="00DC3BDA">
        <w:rPr>
          <w:rFonts w:eastAsiaTheme="minorEastAsia" w:cs="Arial"/>
        </w:rPr>
        <w:t xml:space="preserve">This asymmetry is well described by the inclusion of the shape parameter </w:t>
      </w:r>
      <w:r w:rsidRPr="00DC3BDA">
        <w:rPr>
          <w:rFonts w:cs="Arial"/>
          <w:i/>
        </w:rPr>
        <w:t>α</w:t>
      </w:r>
      <w:r w:rsidRPr="00DC3BDA">
        <w:rPr>
          <w:rFonts w:eastAsiaTheme="minorEastAsia" w:cs="Arial"/>
        </w:rPr>
        <w:t>.</w:t>
      </w:r>
      <w:r w:rsidR="00DA76D0">
        <w:rPr>
          <w:rFonts w:eastAsiaTheme="minorEastAsia" w:cs="Arial"/>
        </w:rPr>
        <w:t xml:space="preserve"> </w:t>
      </w:r>
      <w:r w:rsidRPr="00DC3BDA">
        <w:rPr>
          <w:rFonts w:eastAsiaTheme="minorEastAsia" w:cs="Arial"/>
        </w:rPr>
        <w:t xml:space="preserve"> In all models, the value of </w:t>
      </w:r>
      <w:r w:rsidRPr="00DC3BDA">
        <w:rPr>
          <w:rFonts w:cs="Arial"/>
          <w:i/>
        </w:rPr>
        <w:t>α</w:t>
      </w:r>
      <w:r w:rsidRPr="00DC3BDA">
        <w:rPr>
          <w:rFonts w:eastAsiaTheme="minorEastAsia" w:cs="Arial"/>
        </w:rPr>
        <w:t xml:space="preserve"> was constrained to be positive and not to exceed 4.6. </w:t>
      </w:r>
      <w:r w:rsidR="00DA76D0">
        <w:rPr>
          <w:rFonts w:eastAsiaTheme="minorEastAsia" w:cs="Arial"/>
        </w:rPr>
        <w:t xml:space="preserve"> </w:t>
      </w:r>
      <w:r w:rsidRPr="00DC3BDA">
        <w:rPr>
          <w:rFonts w:eastAsiaTheme="minorEastAsia" w:cs="Arial"/>
        </w:rPr>
        <w:t xml:space="preserve">This maximum value was used because for species with high </w:t>
      </w:r>
      <w:r w:rsidRPr="00DC3BDA">
        <w:rPr>
          <w:rFonts w:cs="Arial"/>
          <w:i/>
        </w:rPr>
        <w:t>α</w:t>
      </w:r>
      <w:r w:rsidRPr="00DC3BDA">
        <w:rPr>
          <w:rFonts w:eastAsiaTheme="minorEastAsia" w:cs="Arial"/>
        </w:rPr>
        <w:t xml:space="preserve">, the likelihood of the data was usually approximately constant with increasing </w:t>
      </w:r>
      <w:r w:rsidRPr="00DC3BDA">
        <w:rPr>
          <w:rFonts w:cs="Arial"/>
          <w:i/>
        </w:rPr>
        <w:t>α</w:t>
      </w:r>
      <w:r w:rsidRPr="00DC3BDA">
        <w:rPr>
          <w:rFonts w:eastAsiaTheme="minorEastAsia" w:cs="Arial"/>
        </w:rPr>
        <w:t xml:space="preserve"> beyond this value, making a precise M-L model impossible to identify. </w:t>
      </w:r>
      <w:r w:rsidR="00DA76D0">
        <w:rPr>
          <w:rFonts w:eastAsiaTheme="minorEastAsia" w:cs="Arial"/>
        </w:rPr>
        <w:t xml:space="preserve"> </w:t>
      </w:r>
      <w:r w:rsidRPr="00DC3BDA">
        <w:rPr>
          <w:rFonts w:eastAsiaTheme="minorEastAsia" w:cs="Arial"/>
        </w:rPr>
        <w:t xml:space="preserve">The shape of the functions determined by models with high </w:t>
      </w:r>
      <w:r w:rsidRPr="00DC3BDA">
        <w:rPr>
          <w:rFonts w:cs="Arial"/>
          <w:i/>
        </w:rPr>
        <w:t>α</w:t>
      </w:r>
      <w:r w:rsidRPr="00DC3BDA">
        <w:rPr>
          <w:rFonts w:eastAsiaTheme="minorEastAsia" w:cs="Arial"/>
        </w:rPr>
        <w:t xml:space="preserve"> varied little as</w:t>
      </w:r>
      <w:r w:rsidRPr="00DC3BDA">
        <w:rPr>
          <w:rFonts w:cs="Arial"/>
          <w:i/>
        </w:rPr>
        <w:t xml:space="preserve"> α</w:t>
      </w:r>
      <w:r w:rsidRPr="00DC3BDA">
        <w:rPr>
          <w:rFonts w:eastAsiaTheme="minorEastAsia" w:cs="Arial"/>
        </w:rPr>
        <w:t xml:space="preserve"> was changed.</w:t>
      </w:r>
      <w:r w:rsidR="00DA76D0">
        <w:rPr>
          <w:rFonts w:eastAsiaTheme="minorEastAsia" w:cs="Arial"/>
        </w:rPr>
        <w:t xml:space="preserve"> </w:t>
      </w:r>
      <w:r w:rsidRPr="00DC3BDA">
        <w:rPr>
          <w:rFonts w:eastAsiaTheme="minorEastAsia" w:cs="Arial"/>
        </w:rPr>
        <w:t xml:space="preserve"> For such hump-shaped functions, the best-fitting model sometimes predicted a peak population density value that fell in a gap between sites in the distribution of the yield variable. </w:t>
      </w:r>
      <w:r w:rsidR="00DA76D0">
        <w:rPr>
          <w:rFonts w:eastAsiaTheme="minorEastAsia" w:cs="Arial"/>
        </w:rPr>
        <w:t xml:space="preserve"> </w:t>
      </w:r>
      <w:r w:rsidRPr="00DC3BDA">
        <w:rPr>
          <w:rFonts w:eastAsiaTheme="minorEastAsia" w:cs="Arial"/>
        </w:rPr>
        <w:t xml:space="preserve">Occasionally, the value of this prediction was much greater than the maximum observed density at any site. </w:t>
      </w:r>
      <w:r w:rsidR="00DA76D0">
        <w:rPr>
          <w:rFonts w:eastAsiaTheme="minorEastAsia" w:cs="Arial"/>
        </w:rPr>
        <w:t xml:space="preserve"> </w:t>
      </w:r>
      <w:r w:rsidR="0097568C" w:rsidRPr="00DC3BDA">
        <w:rPr>
          <w:rFonts w:eastAsiaTheme="minorEastAsia" w:cs="Arial"/>
        </w:rPr>
        <w:t xml:space="preserve">We </w:t>
      </w:r>
      <w:r w:rsidRPr="00DC3BDA">
        <w:rPr>
          <w:rFonts w:eastAsiaTheme="minorEastAsia" w:cs="Arial"/>
        </w:rPr>
        <w:t>considered such models to be unrealistic, and therefore constrained the model parameter values to predict peak densities no greater than 1.5 times the maximum observed density</w:t>
      </w:r>
      <w:r w:rsidR="007E5075">
        <w:rPr>
          <w:rFonts w:eastAsiaTheme="minorEastAsia" w:cs="Arial"/>
        </w:rPr>
        <w:t>, following ref. [2</w:t>
      </w:r>
      <w:r w:rsidR="00DE4C8D">
        <w:rPr>
          <w:rFonts w:eastAsiaTheme="minorEastAsia" w:cs="Arial"/>
        </w:rPr>
        <w:t>6</w:t>
      </w:r>
      <w:r w:rsidR="007E5075">
        <w:rPr>
          <w:rFonts w:eastAsiaTheme="minorEastAsia" w:cs="Arial"/>
        </w:rPr>
        <w:t>].</w:t>
      </w:r>
    </w:p>
    <w:p w:rsidR="008C6070" w:rsidRPr="00DC3BDA" w:rsidRDefault="0040684A" w:rsidP="00DC3BDA">
      <w:pPr>
        <w:rPr>
          <w:rFonts w:eastAsiaTheme="minorEastAsia" w:cs="Arial"/>
        </w:rPr>
      </w:pPr>
      <w:r w:rsidRPr="00DC3BDA">
        <w:rPr>
          <w:rFonts w:eastAsiaTheme="minorEastAsia" w:cs="Arial"/>
        </w:rPr>
        <w:t xml:space="preserve">For each site, we calculated the </w:t>
      </w:r>
      <w:r w:rsidR="00CA7458">
        <w:rPr>
          <w:rFonts w:eastAsiaTheme="minorEastAsia" w:cs="Arial"/>
        </w:rPr>
        <w:t xml:space="preserve">population </w:t>
      </w:r>
      <w:r w:rsidRPr="00DC3BDA">
        <w:rPr>
          <w:rFonts w:eastAsiaTheme="minorEastAsia" w:cs="Arial"/>
        </w:rPr>
        <w:t>density</w:t>
      </w:r>
      <w:r w:rsidR="00393086">
        <w:rPr>
          <w:rFonts w:eastAsiaTheme="minorEastAsia" w:cs="Arial"/>
        </w:rPr>
        <w:t xml:space="preserve"> (individuals per unit area</w:t>
      </w:r>
      <w:r w:rsidR="006D46A4">
        <w:rPr>
          <w:rFonts w:eastAsiaTheme="minorEastAsia" w:cs="Arial"/>
        </w:rPr>
        <w:t xml:space="preserve"> per survey</w:t>
      </w:r>
      <w:r w:rsidR="00393086">
        <w:rPr>
          <w:rFonts w:eastAsiaTheme="minorEastAsia" w:cs="Arial"/>
        </w:rPr>
        <w:t>)</w:t>
      </w:r>
      <w:r w:rsidRPr="00DC3BDA">
        <w:rPr>
          <w:rFonts w:eastAsiaTheme="minorEastAsia" w:cs="Arial"/>
        </w:rPr>
        <w:t xml:space="preserve"> </w:t>
      </w:r>
      <w:r w:rsidR="00CA7458">
        <w:rPr>
          <w:rFonts w:eastAsiaTheme="minorEastAsia" w:cs="Arial"/>
        </w:rPr>
        <w:t xml:space="preserve">expected from the M-L model described above </w:t>
      </w:r>
      <w:r w:rsidRPr="00DC3BDA">
        <w:rPr>
          <w:rFonts w:eastAsiaTheme="minorEastAsia" w:cs="Arial"/>
        </w:rPr>
        <w:t>and multiplied it by the value of</w:t>
      </w:r>
      <w:r w:rsidR="00315C82">
        <w:rPr>
          <w:rFonts w:eastAsiaTheme="minorEastAsia" w:cs="Arial"/>
        </w:rPr>
        <w:t xml:space="preserve"> the area surveyed (</w:t>
      </w:r>
      <w:r w:rsidR="00AB7F8F" w:rsidRPr="00AB7F8F">
        <w:rPr>
          <w:rFonts w:eastAsiaTheme="minorEastAsia" w:cs="Arial"/>
          <w:i/>
        </w:rPr>
        <w:t>a</w:t>
      </w:r>
      <w:r w:rsidR="00315C82">
        <w:rPr>
          <w:rFonts w:eastAsiaTheme="minorEastAsia" w:cs="Arial"/>
        </w:rPr>
        <w:t>*</w:t>
      </w:r>
      <w:r w:rsidR="00AB7F8F" w:rsidRPr="00AB7F8F">
        <w:rPr>
          <w:rFonts w:eastAsiaTheme="minorEastAsia" w:cs="Arial"/>
          <w:i/>
        </w:rPr>
        <w:t>e</w:t>
      </w:r>
      <w:proofErr w:type="gramStart"/>
      <w:r w:rsidR="00315C82">
        <w:rPr>
          <w:rFonts w:eastAsiaTheme="minorEastAsia" w:cs="Arial"/>
        </w:rPr>
        <w:t xml:space="preserve">) </w:t>
      </w:r>
      <w:r w:rsidRPr="00DC3BDA">
        <w:rPr>
          <w:rFonts w:eastAsiaTheme="minorEastAsia" w:cs="Arial"/>
        </w:rPr>
        <w:t xml:space="preserve"> for</w:t>
      </w:r>
      <w:proofErr w:type="gramEnd"/>
      <w:r w:rsidRPr="00DC3BDA">
        <w:rPr>
          <w:rFonts w:eastAsiaTheme="minorEastAsia" w:cs="Arial"/>
        </w:rPr>
        <w:t xml:space="preserve"> that square, giving the expected </w:t>
      </w:r>
      <w:r w:rsidR="00393086">
        <w:rPr>
          <w:rFonts w:eastAsiaTheme="minorEastAsia" w:cs="Arial"/>
        </w:rPr>
        <w:t xml:space="preserve">total </w:t>
      </w:r>
      <w:r w:rsidRPr="00DC3BDA">
        <w:rPr>
          <w:rFonts w:eastAsiaTheme="minorEastAsia" w:cs="Arial"/>
        </w:rPr>
        <w:t xml:space="preserve">number of individuals </w:t>
      </w:r>
      <w:r w:rsidR="00393086">
        <w:rPr>
          <w:rFonts w:eastAsiaTheme="minorEastAsia" w:cs="Arial"/>
        </w:rPr>
        <w:t>recorded at</w:t>
      </w:r>
      <w:r w:rsidRPr="00DC3BDA">
        <w:rPr>
          <w:rFonts w:eastAsiaTheme="minorEastAsia" w:cs="Arial"/>
        </w:rPr>
        <w:t xml:space="preserve"> that site.  We then</w:t>
      </w:r>
      <w:r w:rsidR="002D69F6">
        <w:rPr>
          <w:rFonts w:eastAsiaTheme="minorEastAsia" w:cs="Arial"/>
        </w:rPr>
        <w:t xml:space="preserve"> used the observed count of individuals in each plot and this expected count of individuals</w:t>
      </w:r>
      <w:r w:rsidRPr="00DC3BDA">
        <w:rPr>
          <w:rFonts w:eastAsiaTheme="minorEastAsia" w:cs="Arial"/>
        </w:rPr>
        <w:t xml:space="preserve"> </w:t>
      </w:r>
      <w:r w:rsidR="002D69F6">
        <w:rPr>
          <w:rFonts w:eastAsiaTheme="minorEastAsia" w:cs="Arial"/>
        </w:rPr>
        <w:t>to calculate</w:t>
      </w:r>
      <w:r w:rsidR="00865CF5">
        <w:rPr>
          <w:rFonts w:eastAsiaTheme="minorEastAsia" w:cs="Arial"/>
        </w:rPr>
        <w:t>,</w:t>
      </w:r>
      <w:r w:rsidR="002D69F6">
        <w:rPr>
          <w:rFonts w:eastAsiaTheme="minorEastAsia" w:cs="Arial"/>
        </w:rPr>
        <w:t xml:space="preserve"> for each plot,</w:t>
      </w:r>
      <w:r w:rsidRPr="00DC3BDA">
        <w:rPr>
          <w:rFonts w:eastAsiaTheme="minorEastAsia" w:cs="Arial"/>
        </w:rPr>
        <w:t xml:space="preserve"> the natural logarithm of the Poisson probability of the observed </w:t>
      </w:r>
      <w:r w:rsidR="00393086">
        <w:rPr>
          <w:rFonts w:eastAsiaTheme="minorEastAsia" w:cs="Arial"/>
        </w:rPr>
        <w:t xml:space="preserve">total </w:t>
      </w:r>
      <w:r w:rsidRPr="00DC3BDA">
        <w:rPr>
          <w:rFonts w:eastAsiaTheme="minorEastAsia" w:cs="Arial"/>
        </w:rPr>
        <w:t>number of individuals, given the expected number from the model</w:t>
      </w:r>
      <w:r w:rsidR="00865CF5">
        <w:rPr>
          <w:rFonts w:eastAsiaTheme="minorEastAsia" w:cs="Arial"/>
        </w:rPr>
        <w:t xml:space="preserve">. We </w:t>
      </w:r>
      <w:proofErr w:type="spellStart"/>
      <w:r w:rsidR="00865CF5">
        <w:rPr>
          <w:rFonts w:eastAsiaTheme="minorEastAsia" w:cs="Arial"/>
        </w:rPr>
        <w:t>thene</w:t>
      </w:r>
      <w:proofErr w:type="spellEnd"/>
      <w:r w:rsidRPr="00DC3BDA">
        <w:rPr>
          <w:rFonts w:eastAsiaTheme="minorEastAsia" w:cs="Arial"/>
        </w:rPr>
        <w:t xml:space="preserve"> summed this across all sites to give the log-likelihood (</w:t>
      </w:r>
      <w:proofErr w:type="spellStart"/>
      <w:proofErr w:type="gramStart"/>
      <w:r w:rsidRPr="00DC3BDA">
        <w:rPr>
          <w:rFonts w:eastAsiaTheme="minorEastAsia" w:cs="Arial"/>
        </w:rPr>
        <w:t>ln</w:t>
      </w:r>
      <w:proofErr w:type="spellEnd"/>
      <w:r w:rsidRPr="00DC3BDA">
        <w:rPr>
          <w:rFonts w:eastAsiaTheme="minorEastAsia" w:cs="Arial"/>
        </w:rPr>
        <w:t>(</w:t>
      </w:r>
      <w:proofErr w:type="gramEnd"/>
      <w:r w:rsidRPr="00DC3BDA">
        <w:rPr>
          <w:rFonts w:eastAsiaTheme="minorEastAsia" w:cs="Arial"/>
          <w:i/>
        </w:rPr>
        <w:t>L</w:t>
      </w:r>
      <w:r w:rsidRPr="00DC3BDA">
        <w:rPr>
          <w:rFonts w:eastAsiaTheme="minorEastAsia" w:cs="Arial"/>
        </w:rPr>
        <w:t>)) of the data. AIC adjusted for small sample size (</w:t>
      </w:r>
      <w:proofErr w:type="spellStart"/>
      <w:r w:rsidR="00036B34" w:rsidRPr="00DC3BDA">
        <w:rPr>
          <w:rFonts w:cs="Arial"/>
        </w:rPr>
        <w:t>AIC</w:t>
      </w:r>
      <w:r w:rsidR="00036B34" w:rsidRPr="00036B34">
        <w:rPr>
          <w:rFonts w:cs="Arial"/>
          <w:vertAlign w:val="subscript"/>
        </w:rPr>
        <w:t>c</w:t>
      </w:r>
      <w:proofErr w:type="spellEnd"/>
      <w:r w:rsidRPr="00DC3BDA">
        <w:rPr>
          <w:rFonts w:eastAsiaTheme="minorEastAsia" w:cs="Arial"/>
        </w:rPr>
        <w:t xml:space="preserve">) was then calculated for each model. </w:t>
      </w:r>
      <w:r w:rsidR="00DA76D0">
        <w:rPr>
          <w:rFonts w:eastAsiaTheme="minorEastAsia" w:cs="Arial"/>
        </w:rPr>
        <w:t xml:space="preserve"> </w:t>
      </w:r>
      <w:r w:rsidRPr="00DC3BDA">
        <w:rPr>
          <w:rFonts w:eastAsiaTheme="minorEastAsia" w:cs="Arial"/>
        </w:rPr>
        <w:t xml:space="preserve">For models A </w:t>
      </w:r>
      <w:r w:rsidRPr="00DC3BDA">
        <w:rPr>
          <w:rFonts w:eastAsiaTheme="minorEastAsia" w:cs="Arial"/>
        </w:rPr>
        <w:lastRenderedPageBreak/>
        <w:t xml:space="preserve">and B, this was based on the sum of log-likelihoods for the fit to each separate dataset (forest and wetland), and the sum of the number of fitted parameters (see </w:t>
      </w:r>
      <w:r w:rsidR="00F36DA1">
        <w:rPr>
          <w:rFonts w:cs="Arial"/>
        </w:rPr>
        <w:t>t</w:t>
      </w:r>
      <w:r w:rsidR="002C24E3" w:rsidRPr="00DC3BDA">
        <w:rPr>
          <w:rFonts w:cs="Arial"/>
        </w:rPr>
        <w:t>able S5</w:t>
      </w:r>
      <w:r w:rsidRPr="00DC3BDA">
        <w:rPr>
          <w:rFonts w:eastAsiaTheme="minorEastAsia" w:cs="Arial"/>
        </w:rPr>
        <w:t xml:space="preserve">). </w:t>
      </w:r>
      <w:r w:rsidR="00DA76D0">
        <w:rPr>
          <w:rFonts w:eastAsiaTheme="minorEastAsia" w:cs="Arial"/>
        </w:rPr>
        <w:t xml:space="preserve"> </w:t>
      </w:r>
      <w:r w:rsidRPr="00DC3BDA">
        <w:rPr>
          <w:rFonts w:eastAsiaTheme="minorEastAsia" w:cs="Arial"/>
        </w:rPr>
        <w:t xml:space="preserve">This allows direct comparison with models C and D, as the same data were being used overall, based on all 26 study sites. </w:t>
      </w:r>
      <w:r w:rsidR="00DA76D0">
        <w:rPr>
          <w:rFonts w:eastAsiaTheme="minorEastAsia" w:cs="Arial"/>
        </w:rPr>
        <w:t xml:space="preserve"> </w:t>
      </w:r>
      <w:r w:rsidRPr="00DC3BDA">
        <w:rPr>
          <w:rFonts w:eastAsiaTheme="minorEastAsia" w:cs="Arial"/>
        </w:rPr>
        <w:t xml:space="preserve">The best-fitting model was then selected based on </w:t>
      </w:r>
      <w:proofErr w:type="spellStart"/>
      <w:r w:rsidR="00036B34" w:rsidRPr="00DC3BDA">
        <w:rPr>
          <w:rFonts w:cs="Arial"/>
        </w:rPr>
        <w:t>AIC</w:t>
      </w:r>
      <w:r w:rsidR="00036B34" w:rsidRPr="00036B34">
        <w:rPr>
          <w:rFonts w:cs="Arial"/>
          <w:vertAlign w:val="subscript"/>
        </w:rPr>
        <w:t>c</w:t>
      </w:r>
      <w:proofErr w:type="spellEnd"/>
      <w:r w:rsidRPr="00DC3BDA">
        <w:rPr>
          <w:rFonts w:eastAsiaTheme="minorEastAsia" w:cs="Arial"/>
        </w:rPr>
        <w:t>.</w:t>
      </w:r>
      <w:r w:rsidR="00D52170">
        <w:rPr>
          <w:rFonts w:eastAsiaTheme="minorEastAsia" w:cs="Arial"/>
        </w:rPr>
        <w:t xml:space="preserve">  </w:t>
      </w:r>
      <w:r w:rsidR="006B11D7">
        <w:rPr>
          <w:rFonts w:eastAsiaTheme="minorEastAsia" w:cs="Arial"/>
        </w:rPr>
        <w:t>Our</w:t>
      </w:r>
      <w:r w:rsidR="008C6070">
        <w:rPr>
          <w:rFonts w:eastAsiaTheme="minorEastAsia" w:cs="Arial"/>
        </w:rPr>
        <w:t xml:space="preserve"> assumption of a Poisson error distribution for the analysis of bird counts, when combined with the use of </w:t>
      </w:r>
      <w:proofErr w:type="spellStart"/>
      <w:r w:rsidR="008C6070" w:rsidRPr="00DC3BDA">
        <w:rPr>
          <w:rFonts w:cs="Arial"/>
        </w:rPr>
        <w:t>AIC</w:t>
      </w:r>
      <w:r w:rsidR="008C6070" w:rsidRPr="00036B34">
        <w:rPr>
          <w:rFonts w:cs="Arial"/>
          <w:vertAlign w:val="subscript"/>
        </w:rPr>
        <w:t>c</w:t>
      </w:r>
      <w:proofErr w:type="spellEnd"/>
      <w:r w:rsidR="008C6070">
        <w:rPr>
          <w:rFonts w:eastAsiaTheme="minorEastAsia" w:cs="Arial"/>
        </w:rPr>
        <w:t xml:space="preserve"> for selecting among models, may have resulted in us </w:t>
      </w:r>
      <w:r w:rsidR="00D52170">
        <w:rPr>
          <w:rFonts w:eastAsiaTheme="minorEastAsia" w:cs="Arial"/>
        </w:rPr>
        <w:t xml:space="preserve">being more likely to </w:t>
      </w:r>
      <w:r w:rsidR="008C6070">
        <w:rPr>
          <w:rFonts w:eastAsiaTheme="minorEastAsia" w:cs="Arial"/>
        </w:rPr>
        <w:t xml:space="preserve">select models with more fitted parameters (e.g. </w:t>
      </w:r>
      <w:r w:rsidR="00D52170">
        <w:rPr>
          <w:rFonts w:eastAsiaTheme="minorEastAsia" w:cs="Arial"/>
        </w:rPr>
        <w:t>Model B over Model A or Model D over Model C)</w:t>
      </w:r>
      <w:r w:rsidR="00033A48">
        <w:rPr>
          <w:rFonts w:eastAsiaTheme="minorEastAsia" w:cs="Arial"/>
        </w:rPr>
        <w:t xml:space="preserve">.  That is because we did not attempt to account for </w:t>
      </w:r>
      <w:proofErr w:type="spellStart"/>
      <w:r w:rsidR="00033A48">
        <w:rPr>
          <w:rFonts w:eastAsiaTheme="minorEastAsia" w:cs="Arial"/>
        </w:rPr>
        <w:t>overdispersion</w:t>
      </w:r>
      <w:proofErr w:type="spellEnd"/>
      <w:r w:rsidR="00033A48">
        <w:rPr>
          <w:rFonts w:eastAsiaTheme="minorEastAsia" w:cs="Arial"/>
        </w:rPr>
        <w:t xml:space="preserve">, which was technically difficult because many species in our dataset had sparse data.  </w:t>
      </w:r>
      <w:proofErr w:type="spellStart"/>
      <w:r w:rsidR="00033A48">
        <w:rPr>
          <w:rFonts w:eastAsiaTheme="minorEastAsia" w:cs="Arial"/>
        </w:rPr>
        <w:t>Overdispersion</w:t>
      </w:r>
      <w:proofErr w:type="spellEnd"/>
      <w:r w:rsidR="00033A48">
        <w:rPr>
          <w:rFonts w:eastAsiaTheme="minorEastAsia" w:cs="Arial"/>
        </w:rPr>
        <w:t xml:space="preserve"> in numbers of individuals was present to some extent because clusters of more than one individual occurred for some species, but this did not have a large effect because mean cluster size was 1 or close to 1 for most species.  The main reason for </w:t>
      </w:r>
      <w:proofErr w:type="spellStart"/>
      <w:r w:rsidR="00033A48">
        <w:rPr>
          <w:rFonts w:eastAsiaTheme="minorEastAsia" w:cs="Arial"/>
        </w:rPr>
        <w:t>overdispersion</w:t>
      </w:r>
      <w:proofErr w:type="spellEnd"/>
      <w:r w:rsidR="00033A48">
        <w:rPr>
          <w:rFonts w:eastAsiaTheme="minorEastAsia" w:cs="Arial"/>
        </w:rPr>
        <w:t xml:space="preserve"> was residual differences among plots in the density of clusters that were probably due to unmeasured environmental variables, in addition to yield.  Despite this, </w:t>
      </w:r>
      <w:r w:rsidR="00D52170">
        <w:rPr>
          <w:rFonts w:eastAsiaTheme="minorEastAsia" w:cs="Arial"/>
        </w:rPr>
        <w:t xml:space="preserve">we considered it preferable to base the </w:t>
      </w:r>
      <w:r w:rsidR="00033A48">
        <w:rPr>
          <w:rFonts w:eastAsiaTheme="minorEastAsia" w:cs="Arial"/>
        </w:rPr>
        <w:t xml:space="preserve">bird </w:t>
      </w:r>
      <w:r w:rsidR="00D52170">
        <w:rPr>
          <w:rFonts w:eastAsiaTheme="minorEastAsia" w:cs="Arial"/>
        </w:rPr>
        <w:t>models on counts, rather than to model densities using least-squares methods.  This was because the use of Poisson models renders it straightforward to allow for the sample size of individuals counted in each plot</w:t>
      </w:r>
      <w:r w:rsidR="009760DE">
        <w:rPr>
          <w:rFonts w:eastAsiaTheme="minorEastAsia" w:cs="Arial"/>
        </w:rPr>
        <w:t xml:space="preserve"> and because the use of the logarithmic link function precludes the prediction of negative densities.</w:t>
      </w:r>
    </w:p>
    <w:p w:rsidR="0040684A" w:rsidRPr="00DC3BDA" w:rsidRDefault="0040684A" w:rsidP="00DC3BDA">
      <w:pPr>
        <w:rPr>
          <w:rFonts w:cs="Arial"/>
        </w:rPr>
      </w:pPr>
      <w:r w:rsidRPr="00DC3BDA">
        <w:rPr>
          <w:rFonts w:eastAsiaTheme="minorEastAsia" w:cs="Arial"/>
        </w:rPr>
        <w:t>To derive weighted mean density-yield curve</w:t>
      </w:r>
      <w:r w:rsidR="0097568C" w:rsidRPr="00DC3BDA">
        <w:rPr>
          <w:rFonts w:eastAsiaTheme="minorEastAsia" w:cs="Arial"/>
        </w:rPr>
        <w:t xml:space="preserve">s representative of the </w:t>
      </w:r>
      <w:r w:rsidRPr="00DC3BDA">
        <w:rPr>
          <w:rFonts w:eastAsiaTheme="minorEastAsia" w:cs="Arial"/>
        </w:rPr>
        <w:t>whole study region (which comprises 75% forest soils and 25% wetland soils</w:t>
      </w:r>
      <w:r w:rsidR="0097568C" w:rsidRPr="00DC3BDA">
        <w:rPr>
          <w:rFonts w:eastAsiaTheme="minorEastAsia" w:cs="Arial"/>
        </w:rPr>
        <w:t>)</w:t>
      </w:r>
      <w:r w:rsidRPr="00DC3BDA">
        <w:rPr>
          <w:rFonts w:eastAsiaTheme="minorEastAsia" w:cs="Arial"/>
        </w:rPr>
        <w:t xml:space="preserve">, for each species the estimates of its population density on forest and wetland soils across the yield gradient were multiplied by 0.75 (forest) and 0.25 (wetland) respectively and then summed. </w:t>
      </w:r>
      <w:r w:rsidR="00DA76D0">
        <w:rPr>
          <w:rFonts w:eastAsiaTheme="minorEastAsia" w:cs="Arial"/>
        </w:rPr>
        <w:t xml:space="preserve"> </w:t>
      </w:r>
      <w:r w:rsidRPr="00DC3BDA">
        <w:rPr>
          <w:rFonts w:cs="Arial"/>
        </w:rPr>
        <w:t xml:space="preserve">This effectively produced as composite density-yield curve for each species within the study region, reflecting regional proportions of the different soil types. </w:t>
      </w:r>
    </w:p>
    <w:p w:rsidR="0040684A" w:rsidRPr="00DC3BDA" w:rsidRDefault="0040684A" w:rsidP="00DC3BDA">
      <w:pPr>
        <w:rPr>
          <w:rFonts w:eastAsiaTheme="minorEastAsia" w:cs="Arial"/>
        </w:rPr>
      </w:pPr>
      <w:r w:rsidRPr="00DC3BDA">
        <w:rPr>
          <w:rFonts w:eastAsiaTheme="minorEastAsia" w:cs="Arial"/>
        </w:rPr>
        <w:t xml:space="preserve">For extent data (i.e. proportional cover for sedges), we followed a very similar approach to that described for count data, with the following exceptions: </w:t>
      </w:r>
      <w:proofErr w:type="spellStart"/>
      <w:r w:rsidRPr="00DC3BDA">
        <w:rPr>
          <w:rFonts w:eastAsiaTheme="minorEastAsia" w:cs="Arial"/>
        </w:rPr>
        <w:t>univariate</w:t>
      </w:r>
      <w:proofErr w:type="spellEnd"/>
      <w:r w:rsidRPr="00DC3BDA">
        <w:rPr>
          <w:rFonts w:eastAsiaTheme="minorEastAsia" w:cs="Arial"/>
        </w:rPr>
        <w:t xml:space="preserve"> parametric regression models were fitted </w:t>
      </w:r>
      <w:r w:rsidRPr="00DC3BDA">
        <w:rPr>
          <w:rFonts w:cs="Arial"/>
        </w:rPr>
        <w:t xml:space="preserve">with extent (coverage per unit area) as the dependent variable and annual food energy production per unit area as the independent variable. </w:t>
      </w:r>
      <w:r w:rsidR="00DA76D0">
        <w:rPr>
          <w:rFonts w:cs="Arial"/>
        </w:rPr>
        <w:t xml:space="preserve"> </w:t>
      </w:r>
      <w:r w:rsidR="0097568C" w:rsidRPr="00DC3BDA">
        <w:rPr>
          <w:rFonts w:cs="Arial"/>
        </w:rPr>
        <w:t>We</w:t>
      </w:r>
      <w:r w:rsidRPr="00DC3BDA">
        <w:rPr>
          <w:rFonts w:cs="Arial"/>
        </w:rPr>
        <w:t xml:space="preserve"> fitted </w:t>
      </w:r>
      <w:r w:rsidRPr="00DC3BDA">
        <w:rPr>
          <w:rFonts w:eastAsiaTheme="minorEastAsia" w:cs="Arial"/>
        </w:rPr>
        <w:t xml:space="preserve">the same four alternative formulations of the model (as described </w:t>
      </w:r>
      <w:r w:rsidR="0097568C" w:rsidRPr="00DC3BDA">
        <w:rPr>
          <w:rFonts w:eastAsiaTheme="minorEastAsia" w:cs="Arial"/>
        </w:rPr>
        <w:t>above</w:t>
      </w:r>
      <w:r w:rsidRPr="00DC3BDA">
        <w:rPr>
          <w:rFonts w:eastAsiaTheme="minorEastAsia" w:cs="Arial"/>
        </w:rPr>
        <w:t>), but such that:</w:t>
      </w:r>
    </w:p>
    <w:p w:rsidR="0040684A" w:rsidRPr="00DC3BDA" w:rsidRDefault="002C24E3" w:rsidP="00DC3BDA">
      <w:pPr>
        <w:rPr>
          <w:rFonts w:eastAsiaTheme="minorEastAsia" w:cs="Arial"/>
          <w:i/>
        </w:rPr>
      </w:pPr>
      <m:oMathPara>
        <m:oMath>
          <m:r>
            <m:rPr>
              <m:nor/>
            </m:rPr>
            <w:rPr>
              <w:rFonts w:eastAsiaTheme="minorEastAsia" w:cs="Arial"/>
              <w:i/>
            </w:rPr>
            <m:t xml:space="preserve">y = </m:t>
          </m:r>
          <m:f>
            <m:fPr>
              <m:ctrlPr>
                <w:rPr>
                  <w:rFonts w:ascii="Cambria Math" w:eastAsiaTheme="minorEastAsia" w:hAnsi="Cambria Math" w:cs="Arial"/>
                  <w:i/>
                </w:rPr>
              </m:ctrlPr>
            </m:fPr>
            <m:num>
              <m:r>
                <m:rPr>
                  <m:nor/>
                </m:rPr>
                <w:rPr>
                  <w:rFonts w:eastAsiaTheme="minorEastAsia" w:cs="Arial"/>
                  <w:i/>
                </w:rPr>
                <m:t>c</m:t>
              </m:r>
            </m:num>
            <m:den>
              <m:r>
                <m:rPr>
                  <m:nor/>
                </m:rPr>
                <w:rPr>
                  <w:rFonts w:eastAsiaTheme="minorEastAsia" w:cs="Arial"/>
                  <w:i/>
                </w:rPr>
                <m:t>a</m:t>
              </m:r>
            </m:den>
          </m:f>
        </m:oMath>
      </m:oMathPara>
    </w:p>
    <w:p w:rsidR="00600387" w:rsidRPr="00DC3BDA" w:rsidRDefault="0040684A" w:rsidP="00DC3BDA">
      <w:pPr>
        <w:rPr>
          <w:rFonts w:cs="Arial"/>
        </w:rPr>
      </w:pPr>
      <w:proofErr w:type="gramStart"/>
      <w:r w:rsidRPr="00DC3BDA">
        <w:rPr>
          <w:rFonts w:cs="Arial"/>
        </w:rPr>
        <w:t>where</w:t>
      </w:r>
      <w:proofErr w:type="gramEnd"/>
      <w:r w:rsidRPr="00DC3BDA">
        <w:rPr>
          <w:rFonts w:cs="Arial"/>
        </w:rPr>
        <w:t xml:space="preserve"> </w:t>
      </w:r>
      <w:r w:rsidRPr="00DC3BDA">
        <w:rPr>
          <w:rFonts w:cs="Arial"/>
          <w:i/>
        </w:rPr>
        <w:t>y</w:t>
      </w:r>
      <w:r w:rsidRPr="00DC3BDA">
        <w:rPr>
          <w:rFonts w:cs="Arial"/>
        </w:rPr>
        <w:t xml:space="preserve"> is coverage per unit area, </w:t>
      </w:r>
      <w:r w:rsidRPr="00DC3BDA">
        <w:rPr>
          <w:rFonts w:cs="Arial"/>
          <w:i/>
        </w:rPr>
        <w:t>c</w:t>
      </w:r>
      <w:r w:rsidRPr="00DC3BDA">
        <w:rPr>
          <w:rFonts w:cs="Arial"/>
        </w:rPr>
        <w:t xml:space="preserve"> is the coverage and </w:t>
      </w:r>
      <w:r w:rsidRPr="00DC3BDA">
        <w:rPr>
          <w:rFonts w:cs="Arial"/>
          <w:i/>
        </w:rPr>
        <w:t>a</w:t>
      </w:r>
      <w:r w:rsidRPr="00DC3BDA">
        <w:rPr>
          <w:rFonts w:cs="Arial"/>
        </w:rPr>
        <w:t xml:space="preserve"> is the survey area.</w:t>
      </w:r>
    </w:p>
    <w:p w:rsidR="0040684A" w:rsidRPr="00DC3BDA" w:rsidRDefault="0040684A" w:rsidP="00DC3BDA">
      <w:pPr>
        <w:rPr>
          <w:rFonts w:cs="Arial"/>
        </w:rPr>
      </w:pPr>
      <w:r w:rsidRPr="00DC3BDA">
        <w:rPr>
          <w:rFonts w:eastAsiaTheme="minorEastAsia" w:cs="Arial"/>
        </w:rPr>
        <w:t xml:space="preserve">Ordinary Least Squares estimates for the parameters were then calculated assuming a normal error structure, again using the </w:t>
      </w:r>
      <w:proofErr w:type="spellStart"/>
      <w:r w:rsidRPr="00DC3BDA">
        <w:rPr>
          <w:rFonts w:eastAsiaTheme="minorEastAsia" w:cs="Arial"/>
        </w:rPr>
        <w:t>Nelder</w:t>
      </w:r>
      <w:proofErr w:type="spellEnd"/>
      <w:r w:rsidRPr="00DC3BDA">
        <w:rPr>
          <w:rFonts w:eastAsiaTheme="minorEastAsia" w:cs="Arial"/>
        </w:rPr>
        <w:t>-Mead numerical optimisation method in R package ‘</w:t>
      </w:r>
      <w:proofErr w:type="spellStart"/>
      <w:r w:rsidRPr="00DC3BDA">
        <w:rPr>
          <w:rFonts w:eastAsiaTheme="minorEastAsia" w:cs="Arial"/>
        </w:rPr>
        <w:t>alabama</w:t>
      </w:r>
      <w:proofErr w:type="spellEnd"/>
      <w:r w:rsidRPr="00DC3BDA">
        <w:rPr>
          <w:rFonts w:eastAsiaTheme="minorEastAsia" w:cs="Arial"/>
        </w:rPr>
        <w:t xml:space="preserve">’ </w:t>
      </w:r>
      <w:r w:rsidR="007E5075">
        <w:rPr>
          <w:rFonts w:eastAsiaTheme="minorEastAsia" w:cs="Arial"/>
        </w:rPr>
        <w:t>[2</w:t>
      </w:r>
      <w:r w:rsidR="00DE4C8D">
        <w:rPr>
          <w:rFonts w:eastAsiaTheme="minorEastAsia" w:cs="Arial"/>
        </w:rPr>
        <w:t>7</w:t>
      </w:r>
      <w:r w:rsidR="007E5075">
        <w:rPr>
          <w:rFonts w:eastAsiaTheme="minorEastAsia" w:cs="Arial"/>
        </w:rPr>
        <w:t>]</w:t>
      </w:r>
      <w:r w:rsidRPr="00DC3BDA">
        <w:rPr>
          <w:rFonts w:eastAsiaTheme="minorEastAsia" w:cs="Arial"/>
        </w:rPr>
        <w:t xml:space="preserve">. </w:t>
      </w:r>
      <w:r w:rsidR="00DA76D0">
        <w:rPr>
          <w:rFonts w:eastAsiaTheme="minorEastAsia" w:cs="Arial"/>
        </w:rPr>
        <w:t xml:space="preserve"> </w:t>
      </w:r>
      <w:proofErr w:type="spellStart"/>
      <w:r w:rsidR="00036B34" w:rsidRPr="00DC3BDA">
        <w:rPr>
          <w:rFonts w:cs="Arial"/>
        </w:rPr>
        <w:t>AIC</w:t>
      </w:r>
      <w:r w:rsidR="00036B34" w:rsidRPr="00036B34">
        <w:rPr>
          <w:rFonts w:cs="Arial"/>
          <w:vertAlign w:val="subscript"/>
        </w:rPr>
        <w:t>c</w:t>
      </w:r>
      <w:proofErr w:type="spellEnd"/>
      <w:r w:rsidRPr="00DC3BDA">
        <w:rPr>
          <w:rFonts w:eastAsiaTheme="minorEastAsia" w:cs="Arial"/>
        </w:rPr>
        <w:t xml:space="preserve"> was then calculated for each model from the sum of the residual sum of squares (</w:t>
      </w:r>
      <w:r w:rsidRPr="00DC3BDA">
        <w:rPr>
          <w:rFonts w:eastAsiaTheme="minorEastAsia" w:cs="Arial"/>
          <w:i/>
        </w:rPr>
        <w:t>RSS</w:t>
      </w:r>
      <w:r w:rsidRPr="00DC3BDA">
        <w:rPr>
          <w:rFonts w:eastAsiaTheme="minorEastAsia" w:cs="Arial"/>
        </w:rPr>
        <w:t>) for the fit to each dataset, as described above</w:t>
      </w:r>
      <w:r w:rsidR="00AA35C6" w:rsidRPr="00DC3BDA">
        <w:rPr>
          <w:rFonts w:eastAsiaTheme="minorEastAsia" w:cs="Arial"/>
        </w:rPr>
        <w:t>, and t</w:t>
      </w:r>
      <w:r w:rsidRPr="00DC3BDA">
        <w:rPr>
          <w:rFonts w:cs="Arial"/>
        </w:rPr>
        <w:t xml:space="preserve">he best-fitting model selected based on </w:t>
      </w:r>
      <w:proofErr w:type="spellStart"/>
      <w:r w:rsidRPr="00DC3BDA">
        <w:rPr>
          <w:rFonts w:cs="Arial"/>
        </w:rPr>
        <w:t>AIC</w:t>
      </w:r>
      <w:r w:rsidRPr="00036B34">
        <w:rPr>
          <w:rFonts w:cs="Arial"/>
          <w:vertAlign w:val="subscript"/>
        </w:rPr>
        <w:t>c</w:t>
      </w:r>
      <w:proofErr w:type="spellEnd"/>
      <w:r w:rsidRPr="00DC3BDA">
        <w:rPr>
          <w:rFonts w:cs="Arial"/>
        </w:rPr>
        <w:t xml:space="preserve">. </w:t>
      </w:r>
      <w:r w:rsidR="00DA76D0">
        <w:rPr>
          <w:rFonts w:cs="Arial"/>
        </w:rPr>
        <w:t xml:space="preserve"> </w:t>
      </w:r>
      <w:r w:rsidRPr="00DC3BDA">
        <w:rPr>
          <w:rFonts w:cs="Arial"/>
        </w:rPr>
        <w:t>Again composite density-yield functions were produced by multiplying the model predictions by 0.75 and 0.25 for forest and wetland data respectively.</w:t>
      </w:r>
    </w:p>
    <w:p w:rsidR="00874E72" w:rsidRDefault="00036B34" w:rsidP="0034544A">
      <w:pPr>
        <w:rPr>
          <w:rFonts w:cs="Arial"/>
        </w:rPr>
      </w:pPr>
      <w:r>
        <w:rPr>
          <w:rFonts w:cs="Arial"/>
        </w:rPr>
        <w:t xml:space="preserve">Models with the lowest </w:t>
      </w:r>
      <w:proofErr w:type="spellStart"/>
      <w:r>
        <w:rPr>
          <w:rFonts w:cs="Arial"/>
        </w:rPr>
        <w:t>AIC</w:t>
      </w:r>
      <w:r w:rsidRPr="00036B34">
        <w:rPr>
          <w:rFonts w:cs="Arial"/>
          <w:vertAlign w:val="subscript"/>
        </w:rPr>
        <w:t>c</w:t>
      </w:r>
      <w:proofErr w:type="spellEnd"/>
      <w:r>
        <w:rPr>
          <w:rFonts w:cs="Arial"/>
        </w:rPr>
        <w:t xml:space="preserve"> value for each bird and sedge species, and the parameter values for those fitted models are given in </w:t>
      </w:r>
      <w:r w:rsidR="00874E72">
        <w:rPr>
          <w:rFonts w:cs="Arial"/>
        </w:rPr>
        <w:t xml:space="preserve">supplementary files.  These files give, for each </w:t>
      </w:r>
      <w:r w:rsidR="00874E72">
        <w:rPr>
          <w:rFonts w:cs="Arial"/>
        </w:rPr>
        <w:lastRenderedPageBreak/>
        <w:t>species and soil type, the model selected (denoted A – D, see table S5, or * for species-soil combinations in which the species only occurred in natural habitat, or X for species-soil combinations for which no individuals were recorded).  The tables also give estimates for the model parameters given in table S5.  In all cases, the column of the files for the parameter b</w:t>
      </w:r>
      <w:r w:rsidR="00874E72" w:rsidRPr="00874E72">
        <w:rPr>
          <w:rFonts w:cs="Arial"/>
          <w:vertAlign w:val="subscript"/>
        </w:rPr>
        <w:t>0</w:t>
      </w:r>
      <w:r w:rsidR="00874E72">
        <w:rPr>
          <w:rFonts w:cs="Arial"/>
        </w:rPr>
        <w:t xml:space="preserve"> gives the natural logarithm of the modelled value of the mean density in natural habitat, which is the estimate of b</w:t>
      </w:r>
      <w:r w:rsidR="00874E72" w:rsidRPr="00874E72">
        <w:rPr>
          <w:rFonts w:cs="Arial"/>
          <w:vertAlign w:val="subscript"/>
        </w:rPr>
        <w:t>0</w:t>
      </w:r>
      <w:r w:rsidR="00874E72">
        <w:rPr>
          <w:rFonts w:cs="Arial"/>
        </w:rPr>
        <w:t xml:space="preserve"> in the case of models A and B and the estimate of b</w:t>
      </w:r>
      <w:r w:rsidR="00874E72" w:rsidRPr="00874E72">
        <w:rPr>
          <w:rFonts w:cs="Arial"/>
          <w:vertAlign w:val="subscript"/>
        </w:rPr>
        <w:t>0</w:t>
      </w:r>
      <w:r w:rsidR="00874E72">
        <w:rPr>
          <w:rFonts w:cs="Arial"/>
        </w:rPr>
        <w:t xml:space="preserve"> + </w:t>
      </w:r>
      <w:proofErr w:type="spellStart"/>
      <w:r w:rsidR="00874E72">
        <w:rPr>
          <w:rFonts w:cs="Arial"/>
        </w:rPr>
        <w:t>b</w:t>
      </w:r>
      <w:r w:rsidR="00874E72" w:rsidRPr="00874E72">
        <w:rPr>
          <w:rFonts w:cs="Arial"/>
          <w:vertAlign w:val="subscript"/>
        </w:rPr>
        <w:t>W</w:t>
      </w:r>
      <w:proofErr w:type="spellEnd"/>
      <w:r w:rsidR="00874E72" w:rsidRPr="00874E72">
        <w:rPr>
          <w:rFonts w:cs="Arial"/>
          <w:vertAlign w:val="subscript"/>
        </w:rPr>
        <w:t xml:space="preserve"> </w:t>
      </w:r>
      <w:r w:rsidR="00874E72">
        <w:rPr>
          <w:rFonts w:cs="Arial"/>
        </w:rPr>
        <w:t>in the case of models C and D.</w:t>
      </w:r>
    </w:p>
    <w:p w:rsidR="00874E72" w:rsidRDefault="00874E72" w:rsidP="00DC3BDA">
      <w:pPr>
        <w:rPr>
          <w:rFonts w:cs="Arial"/>
          <w:b/>
        </w:rPr>
      </w:pPr>
    </w:p>
    <w:p w:rsidR="00600387" w:rsidRPr="00DC3BDA" w:rsidRDefault="00C8039F" w:rsidP="00DC3BDA">
      <w:pPr>
        <w:rPr>
          <w:rFonts w:cs="Arial"/>
          <w:b/>
        </w:rPr>
      </w:pPr>
      <w:r w:rsidRPr="00DC3BDA">
        <w:rPr>
          <w:rFonts w:cs="Arial"/>
          <w:b/>
        </w:rPr>
        <w:t xml:space="preserve">(f) </w:t>
      </w:r>
      <w:r w:rsidR="00600387" w:rsidRPr="00DC3BDA">
        <w:rPr>
          <w:rFonts w:cs="Arial"/>
          <w:b/>
        </w:rPr>
        <w:t>Production scenarios for 2050</w:t>
      </w:r>
    </w:p>
    <w:p w:rsidR="00AD7D68" w:rsidRPr="00DC3BDA" w:rsidRDefault="00AD7D68" w:rsidP="00DC3BDA">
      <w:pPr>
        <w:rPr>
          <w:rFonts w:cs="Arial"/>
        </w:rPr>
      </w:pPr>
      <w:r w:rsidRPr="00DC3BDA">
        <w:rPr>
          <w:rFonts w:cs="Arial"/>
        </w:rPr>
        <w:t xml:space="preserve">We </w:t>
      </w:r>
      <w:r w:rsidR="00087E11" w:rsidRPr="00DC3BDA">
        <w:rPr>
          <w:rFonts w:cs="Arial"/>
        </w:rPr>
        <w:t>explored the effects of alternative approaches to food production across a wide range of</w:t>
      </w:r>
      <w:r w:rsidRPr="00DC3BDA">
        <w:rPr>
          <w:rFonts w:cs="Arial"/>
        </w:rPr>
        <w:t xml:space="preserve"> </w:t>
      </w:r>
      <w:r w:rsidR="00087E11" w:rsidRPr="00DC3BDA">
        <w:rPr>
          <w:rFonts w:cs="Arial"/>
        </w:rPr>
        <w:t xml:space="preserve">values of </w:t>
      </w:r>
      <w:r w:rsidRPr="00DC3BDA">
        <w:rPr>
          <w:rFonts w:cs="Arial"/>
        </w:rPr>
        <w:t xml:space="preserve">Total Annual Agricultural Output, </w:t>
      </w:r>
      <w:r w:rsidRPr="00DC3BDA">
        <w:rPr>
          <w:rFonts w:cs="Arial"/>
          <w:i/>
        </w:rPr>
        <w:t>AAO</w:t>
      </w:r>
      <w:r w:rsidRPr="00DC3BDA">
        <w:rPr>
          <w:rFonts w:cs="Arial"/>
          <w:i/>
          <w:vertAlign w:val="subscript"/>
        </w:rPr>
        <w:t>TOTAL</w:t>
      </w:r>
      <w:r w:rsidRPr="00DC3BDA">
        <w:rPr>
          <w:rFonts w:cs="Arial"/>
        </w:rPr>
        <w:t xml:space="preserve">, </w:t>
      </w:r>
      <w:proofErr w:type="gramStart"/>
      <w:r w:rsidRPr="00DC3BDA">
        <w:rPr>
          <w:rFonts w:cs="Arial"/>
        </w:rPr>
        <w:t>1</w:t>
      </w:r>
      <w:proofErr w:type="gramEnd"/>
      <w:r w:rsidR="009839C0">
        <w:rPr>
          <w:rFonts w:cs="Arial"/>
        </w:rPr>
        <w:t xml:space="preserve"> </w:t>
      </w:r>
      <w:r w:rsidRPr="00DC3BDA">
        <w:rPr>
          <w:rFonts w:cs="Arial"/>
        </w:rPr>
        <w:t>GJ ha</w:t>
      </w:r>
      <w:r w:rsidRPr="00DC3BDA">
        <w:rPr>
          <w:rFonts w:cs="Arial"/>
          <w:vertAlign w:val="superscript"/>
        </w:rPr>
        <w:t xml:space="preserve">-1 </w:t>
      </w:r>
      <w:r w:rsidRPr="00DC3BDA">
        <w:rPr>
          <w:rFonts w:cs="Arial"/>
        </w:rPr>
        <w:t>yr</w:t>
      </w:r>
      <w:r w:rsidRPr="00DC3BDA">
        <w:rPr>
          <w:rFonts w:cs="Arial"/>
          <w:vertAlign w:val="superscript"/>
        </w:rPr>
        <w:t>-1</w:t>
      </w:r>
      <w:r w:rsidRPr="00DC3BDA">
        <w:rPr>
          <w:rFonts w:cs="Arial"/>
        </w:rPr>
        <w:t xml:space="preserve"> </w:t>
      </w:r>
      <w:r w:rsidR="00087E11" w:rsidRPr="00DC3BDA">
        <w:rPr>
          <w:rFonts w:cs="Arial"/>
        </w:rPr>
        <w:t xml:space="preserve">across the entire region </w:t>
      </w:r>
      <w:r w:rsidRPr="00DC3BDA">
        <w:rPr>
          <w:rFonts w:cs="Arial"/>
        </w:rPr>
        <w:t>to 99</w:t>
      </w:r>
      <w:r w:rsidR="00087E11" w:rsidRPr="00DC3BDA">
        <w:rPr>
          <w:rFonts w:cs="Arial"/>
        </w:rPr>
        <w:t xml:space="preserve"> </w:t>
      </w:r>
      <w:r w:rsidRPr="00DC3BDA">
        <w:rPr>
          <w:rFonts w:cs="Arial"/>
        </w:rPr>
        <w:t>GJ</w:t>
      </w:r>
      <w:r w:rsidR="00087E11" w:rsidRPr="00DC3BDA">
        <w:rPr>
          <w:rFonts w:cs="Arial"/>
        </w:rPr>
        <w:t xml:space="preserve"> </w:t>
      </w:r>
      <w:r w:rsidRPr="00DC3BDA">
        <w:rPr>
          <w:rFonts w:cs="Arial"/>
        </w:rPr>
        <w:t>ha</w:t>
      </w:r>
      <w:r w:rsidRPr="00DC3BDA">
        <w:rPr>
          <w:rFonts w:cs="Arial"/>
          <w:vertAlign w:val="superscript"/>
        </w:rPr>
        <w:t xml:space="preserve">-1 </w:t>
      </w:r>
      <w:r w:rsidRPr="00DC3BDA">
        <w:rPr>
          <w:rFonts w:cs="Arial"/>
        </w:rPr>
        <w:t>yr</w:t>
      </w:r>
      <w:r w:rsidRPr="00DC3BDA">
        <w:rPr>
          <w:rFonts w:cs="Arial"/>
          <w:vertAlign w:val="superscript"/>
        </w:rPr>
        <w:t>-1</w:t>
      </w:r>
      <w:r w:rsidR="00DE68FC" w:rsidRPr="00DC3BDA">
        <w:rPr>
          <w:rFonts w:cs="Arial"/>
        </w:rPr>
        <w:t>.  This highest production level</w:t>
      </w:r>
      <w:r w:rsidR="00087E11" w:rsidRPr="00DC3BDA">
        <w:rPr>
          <w:rFonts w:cs="Arial"/>
        </w:rPr>
        <w:t xml:space="preserve"> would require</w:t>
      </w:r>
      <w:r w:rsidRPr="00DC3BDA">
        <w:rPr>
          <w:rFonts w:cs="Arial"/>
        </w:rPr>
        <w:t xml:space="preserve"> all cultivable land </w:t>
      </w:r>
      <w:r w:rsidR="00087E11" w:rsidRPr="00DC3BDA">
        <w:rPr>
          <w:rFonts w:cs="Arial"/>
        </w:rPr>
        <w:t xml:space="preserve">to be </w:t>
      </w:r>
      <w:r w:rsidRPr="00DC3BDA">
        <w:rPr>
          <w:rFonts w:cs="Arial"/>
        </w:rPr>
        <w:t xml:space="preserve">farmed at </w:t>
      </w:r>
      <w:r w:rsidR="00DE68FC" w:rsidRPr="00DC3BDA">
        <w:rPr>
          <w:rFonts w:cs="Arial"/>
        </w:rPr>
        <w:t>our assumed</w:t>
      </w:r>
      <w:r w:rsidRPr="00DC3BDA">
        <w:rPr>
          <w:rFonts w:cs="Arial"/>
        </w:rPr>
        <w:t xml:space="preserve"> maximum</w:t>
      </w:r>
      <w:r w:rsidR="00DE68FC" w:rsidRPr="00DC3BDA">
        <w:rPr>
          <w:rFonts w:cs="Arial"/>
        </w:rPr>
        <w:t xml:space="preserve"> attainable</w:t>
      </w:r>
      <w:r w:rsidRPr="00DC3BDA">
        <w:rPr>
          <w:rFonts w:cs="Arial"/>
        </w:rPr>
        <w:t xml:space="preserve"> yield</w:t>
      </w:r>
      <w:r w:rsidR="00DE68FC" w:rsidRPr="00DC3BDA">
        <w:rPr>
          <w:rFonts w:cs="Arial"/>
        </w:rPr>
        <w:t>, which we took to be 1.25 times the highest yield we recorded in our study squares</w:t>
      </w:r>
      <w:r w:rsidRPr="00DC3BDA">
        <w:rPr>
          <w:rFonts w:cs="Arial"/>
        </w:rPr>
        <w:t xml:space="preserve">. </w:t>
      </w:r>
      <w:r w:rsidR="00DA76D0">
        <w:rPr>
          <w:rFonts w:cs="Arial"/>
        </w:rPr>
        <w:t xml:space="preserve"> </w:t>
      </w:r>
      <w:r w:rsidRPr="00DC3BDA">
        <w:rPr>
          <w:rFonts w:cs="Arial"/>
        </w:rPr>
        <w:t>However, for illustrative purposes, we focussed on two production scenarios for 2050:</w:t>
      </w:r>
    </w:p>
    <w:p w:rsidR="00600387" w:rsidRPr="00DC3BDA" w:rsidRDefault="00C8039F" w:rsidP="00DC3BDA">
      <w:pPr>
        <w:pStyle w:val="ListParagraph"/>
        <w:ind w:left="0"/>
        <w:rPr>
          <w:rFonts w:cs="Arial"/>
        </w:rPr>
      </w:pPr>
      <w:r w:rsidRPr="00DC3BDA">
        <w:rPr>
          <w:rFonts w:cs="Arial"/>
        </w:rPr>
        <w:t xml:space="preserve">(1) </w:t>
      </w:r>
      <w:r w:rsidR="0088259B" w:rsidRPr="00DC3BDA">
        <w:rPr>
          <w:rFonts w:cs="Arial"/>
        </w:rPr>
        <w:t>Business as Usual</w:t>
      </w:r>
    </w:p>
    <w:p w:rsidR="00600387" w:rsidRPr="00DC3BDA" w:rsidRDefault="000B437E" w:rsidP="00DC3BDA">
      <w:pPr>
        <w:pStyle w:val="ListParagraph"/>
        <w:ind w:left="0"/>
        <w:contextualSpacing w:val="0"/>
        <w:rPr>
          <w:rFonts w:eastAsiaTheme="minorEastAsia" w:cs="Arial"/>
        </w:rPr>
      </w:pPr>
      <w:r w:rsidRPr="00DC3BDA">
        <w:rPr>
          <w:rFonts w:cs="Arial"/>
        </w:rPr>
        <w:t>For this scenario, we assume</w:t>
      </w:r>
      <w:r w:rsidR="0088259B" w:rsidRPr="00DC3BDA">
        <w:rPr>
          <w:rFonts w:cs="Arial"/>
        </w:rPr>
        <w:t>d</w:t>
      </w:r>
      <w:r w:rsidRPr="00DC3BDA">
        <w:rPr>
          <w:rFonts w:cs="Arial"/>
        </w:rPr>
        <w:t xml:space="preserve"> that total regional food energy production continues to increase to 2050 in line with trends observed in the period 2005</w:t>
      </w:r>
      <w:r w:rsidR="00FB4BCD">
        <w:rPr>
          <w:rFonts w:cs="Arial"/>
        </w:rPr>
        <w:t>–</w:t>
      </w:r>
      <w:r w:rsidRPr="00DC3BDA">
        <w:rPr>
          <w:rFonts w:cs="Arial"/>
        </w:rPr>
        <w:t xml:space="preserve">2014. </w:t>
      </w:r>
      <w:r w:rsidR="00DA76D0">
        <w:rPr>
          <w:rFonts w:cs="Arial"/>
        </w:rPr>
        <w:t xml:space="preserve"> </w:t>
      </w:r>
      <w:r w:rsidRPr="00DC3BDA">
        <w:rPr>
          <w:rFonts w:eastAsiaTheme="minorEastAsia" w:cs="Arial"/>
        </w:rPr>
        <w:t xml:space="preserve">Regional production data (for the whole </w:t>
      </w:r>
      <w:proofErr w:type="spellStart"/>
      <w:r w:rsidRPr="00DC3BDA">
        <w:rPr>
          <w:rFonts w:eastAsiaTheme="minorEastAsia" w:cs="Arial"/>
        </w:rPr>
        <w:t>Lubelskie</w:t>
      </w:r>
      <w:proofErr w:type="spellEnd"/>
      <w:r w:rsidRPr="00DC3BDA">
        <w:rPr>
          <w:rFonts w:eastAsiaTheme="minorEastAsia" w:cs="Arial"/>
        </w:rPr>
        <w:t xml:space="preserve"> region) were obtained from the Central Statistical Office of Poland </w:t>
      </w:r>
      <w:r w:rsidR="007E5075">
        <w:rPr>
          <w:rFonts w:eastAsiaTheme="minorEastAsia" w:cs="Arial"/>
        </w:rPr>
        <w:t>[3]</w:t>
      </w:r>
      <w:r w:rsidRPr="00DC3BDA">
        <w:rPr>
          <w:rFonts w:eastAsiaTheme="minorEastAsia" w:cs="Arial"/>
        </w:rPr>
        <w:t xml:space="preserve"> for eight major crops (wheat, barley, rye, oats, triticale, potato, sugar beet, and oilseed rape) for the period 2005</w:t>
      </w:r>
      <w:r w:rsidR="00FB4BCD">
        <w:rPr>
          <w:rFonts w:cs="Arial"/>
        </w:rPr>
        <w:t>–</w:t>
      </w:r>
      <w:r w:rsidRPr="00DC3BDA">
        <w:rPr>
          <w:rFonts w:eastAsiaTheme="minorEastAsia" w:cs="Arial"/>
        </w:rPr>
        <w:t xml:space="preserve">2014. </w:t>
      </w:r>
      <w:r w:rsidR="00DA76D0">
        <w:rPr>
          <w:rFonts w:eastAsiaTheme="minorEastAsia" w:cs="Arial"/>
        </w:rPr>
        <w:t xml:space="preserve"> </w:t>
      </w:r>
      <w:r w:rsidRPr="00DC3BDA">
        <w:rPr>
          <w:rFonts w:eastAsiaTheme="minorEastAsia" w:cs="Arial"/>
        </w:rPr>
        <w:t>Annual production (by mass) was converted into annual food energy production for each crop in each year</w:t>
      </w:r>
      <w:r w:rsidR="0088259B" w:rsidRPr="00DC3BDA">
        <w:rPr>
          <w:rFonts w:eastAsiaTheme="minorEastAsia" w:cs="Arial"/>
        </w:rPr>
        <w:t xml:space="preserve"> based (as above) on </w:t>
      </w:r>
      <w:r w:rsidR="0088259B" w:rsidRPr="00DC3BDA">
        <w:rPr>
          <w:rFonts w:cs="Arial"/>
        </w:rPr>
        <w:t xml:space="preserve">energy content per unit weight of processed crop (from </w:t>
      </w:r>
      <w:r w:rsidR="007E5075">
        <w:rPr>
          <w:rFonts w:cs="Arial"/>
        </w:rPr>
        <w:t>ref. [7])</w:t>
      </w:r>
      <w:r w:rsidRPr="00DC3BDA">
        <w:rPr>
          <w:rFonts w:eastAsiaTheme="minorEastAsia" w:cs="Arial"/>
        </w:rPr>
        <w:t xml:space="preserve">. </w:t>
      </w:r>
      <w:r w:rsidR="00DA76D0">
        <w:rPr>
          <w:rFonts w:eastAsiaTheme="minorEastAsia" w:cs="Arial"/>
        </w:rPr>
        <w:t xml:space="preserve"> </w:t>
      </w:r>
      <w:proofErr w:type="gramStart"/>
      <w:r w:rsidRPr="00DC3BDA">
        <w:rPr>
          <w:rFonts w:eastAsiaTheme="minorEastAsia" w:cs="Arial"/>
        </w:rPr>
        <w:t>The mean annual change in regional food energy production (averaged across all eight crops) for 2005</w:t>
      </w:r>
      <w:r w:rsidR="00FB4BCD">
        <w:rPr>
          <w:rFonts w:cs="Arial"/>
        </w:rPr>
        <w:t>–</w:t>
      </w:r>
      <w:r w:rsidRPr="00DC3BDA">
        <w:rPr>
          <w:rFonts w:eastAsiaTheme="minorEastAsia" w:cs="Arial"/>
        </w:rPr>
        <w:t>2014 was calculated as +0.8 GJ ha</w:t>
      </w:r>
      <w:r w:rsidRPr="00DC3BDA">
        <w:rPr>
          <w:rFonts w:eastAsiaTheme="minorEastAsia" w:cs="Arial"/>
          <w:vertAlign w:val="superscript"/>
        </w:rPr>
        <w:t>-1</w:t>
      </w:r>
      <w:r w:rsidRPr="00DC3BDA">
        <w:rPr>
          <w:rFonts w:eastAsiaTheme="minorEastAsia" w:cs="Arial"/>
        </w:rPr>
        <w:t xml:space="preserve"> yr</w:t>
      </w:r>
      <w:r w:rsidRPr="00DC3BDA">
        <w:rPr>
          <w:rFonts w:eastAsiaTheme="minorEastAsia" w:cs="Arial"/>
          <w:vertAlign w:val="superscript"/>
        </w:rPr>
        <w:t>-1</w:t>
      </w:r>
      <w:r w:rsidR="0088259B" w:rsidRPr="00DC3BDA">
        <w:rPr>
          <w:rFonts w:eastAsiaTheme="minorEastAsia" w:cs="Arial"/>
        </w:rPr>
        <w:t>, which we</w:t>
      </w:r>
      <w:r w:rsidRPr="00DC3BDA">
        <w:rPr>
          <w:rFonts w:eastAsiaTheme="minorEastAsia" w:cs="Arial"/>
        </w:rPr>
        <w:t xml:space="preserve"> then projected forward to 2050.</w:t>
      </w:r>
      <w:proofErr w:type="gramEnd"/>
      <w:r w:rsidRPr="00DC3BDA">
        <w:rPr>
          <w:rFonts w:eastAsiaTheme="minorEastAsia" w:cs="Arial"/>
        </w:rPr>
        <w:t xml:space="preserve"> </w:t>
      </w:r>
      <w:r w:rsidR="00DA76D0">
        <w:rPr>
          <w:rFonts w:eastAsiaTheme="minorEastAsia" w:cs="Arial"/>
        </w:rPr>
        <w:t xml:space="preserve"> </w:t>
      </w:r>
      <w:r w:rsidRPr="00DC3BDA">
        <w:rPr>
          <w:rFonts w:eastAsiaTheme="minorEastAsia" w:cs="Arial"/>
        </w:rPr>
        <w:t xml:space="preserve">Overall, the Continued Growth scenario for 2050 represents a 72.5% increase from 2014 levels. </w:t>
      </w:r>
    </w:p>
    <w:p w:rsidR="00600387" w:rsidRPr="00DC3BDA" w:rsidRDefault="00E00F32" w:rsidP="00DC3BDA">
      <w:pPr>
        <w:pStyle w:val="ListParagraph"/>
        <w:ind w:left="0"/>
        <w:contextualSpacing w:val="0"/>
        <w:rPr>
          <w:rFonts w:eastAsiaTheme="minorEastAsia" w:cs="Arial"/>
        </w:rPr>
      </w:pPr>
      <w:r w:rsidRPr="00DC3BDA">
        <w:rPr>
          <w:rFonts w:eastAsiaTheme="minorEastAsia" w:cs="Arial"/>
        </w:rPr>
        <w:t>From 2004</w:t>
      </w:r>
      <w:r w:rsidR="00FB4BCD">
        <w:rPr>
          <w:rFonts w:cs="Arial"/>
        </w:rPr>
        <w:t>–</w:t>
      </w:r>
      <w:r w:rsidRPr="00DC3BDA">
        <w:rPr>
          <w:rFonts w:eastAsiaTheme="minorEastAsia" w:cs="Arial"/>
        </w:rPr>
        <w:t xml:space="preserve">2011, only a marginal increase in per capita consumption of +0.4% per annum has been observed </w:t>
      </w:r>
      <w:r w:rsidR="007E5075">
        <w:rPr>
          <w:rFonts w:eastAsiaTheme="minorEastAsia" w:cs="Arial"/>
        </w:rPr>
        <w:t>[3]</w:t>
      </w:r>
      <w:r w:rsidRPr="00DC3BDA">
        <w:rPr>
          <w:rFonts w:eastAsiaTheme="minorEastAsia" w:cs="Arial"/>
        </w:rPr>
        <w:t xml:space="preserve">. </w:t>
      </w:r>
      <w:r w:rsidR="00DA76D0">
        <w:rPr>
          <w:rFonts w:eastAsiaTheme="minorEastAsia" w:cs="Arial"/>
        </w:rPr>
        <w:t xml:space="preserve"> </w:t>
      </w:r>
      <w:r w:rsidR="000B437E" w:rsidRPr="00DC3BDA">
        <w:rPr>
          <w:rFonts w:eastAsiaTheme="minorEastAsia" w:cs="Arial"/>
        </w:rPr>
        <w:t xml:space="preserve">The current trend </w:t>
      </w:r>
      <w:r w:rsidRPr="00DC3BDA">
        <w:rPr>
          <w:rFonts w:eastAsiaTheme="minorEastAsia" w:cs="Arial"/>
        </w:rPr>
        <w:t xml:space="preserve">in agricultural output </w:t>
      </w:r>
      <w:r w:rsidR="000B437E" w:rsidRPr="00DC3BDA">
        <w:rPr>
          <w:rFonts w:eastAsiaTheme="minorEastAsia" w:cs="Arial"/>
        </w:rPr>
        <w:t xml:space="preserve">is driven by reasonably steady growth in wheat and triticale production (largely for export) alongside a significant increase in demand for </w:t>
      </w:r>
      <w:proofErr w:type="spellStart"/>
      <w:r w:rsidR="000B437E" w:rsidRPr="00DC3BDA">
        <w:rPr>
          <w:rFonts w:eastAsiaTheme="minorEastAsia" w:cs="Arial"/>
        </w:rPr>
        <w:t>biofuel</w:t>
      </w:r>
      <w:proofErr w:type="spellEnd"/>
      <w:r w:rsidR="000B437E" w:rsidRPr="00DC3BDA">
        <w:rPr>
          <w:rFonts w:eastAsiaTheme="minorEastAsia" w:cs="Arial"/>
        </w:rPr>
        <w:t xml:space="preserve"> </w:t>
      </w:r>
      <w:proofErr w:type="spellStart"/>
      <w:r w:rsidR="000B437E" w:rsidRPr="00DC3BDA">
        <w:rPr>
          <w:rFonts w:eastAsiaTheme="minorEastAsia" w:cs="Arial"/>
        </w:rPr>
        <w:t>feedstocks</w:t>
      </w:r>
      <w:proofErr w:type="spellEnd"/>
      <w:r w:rsidR="000B437E" w:rsidRPr="00DC3BDA">
        <w:rPr>
          <w:rFonts w:eastAsiaTheme="minorEastAsia" w:cs="Arial"/>
        </w:rPr>
        <w:t xml:space="preserve"> (particularly oilseed rape and sugar beet). Between 2014 and 2050, regional human population is predicted to decrease by more than 20% from 2014 levels </w:t>
      </w:r>
      <w:r w:rsidR="007E5075">
        <w:rPr>
          <w:rFonts w:eastAsiaTheme="minorEastAsia" w:cs="Arial"/>
        </w:rPr>
        <w:t>[3]</w:t>
      </w:r>
      <w:r w:rsidRPr="00DC3BDA">
        <w:rPr>
          <w:rFonts w:eastAsiaTheme="minorEastAsia" w:cs="Arial"/>
          <w:color w:val="000000" w:themeColor="text1"/>
        </w:rPr>
        <w:t>. In</w:t>
      </w:r>
      <w:r w:rsidR="000B437E" w:rsidRPr="00DC3BDA">
        <w:rPr>
          <w:rFonts w:eastAsiaTheme="minorEastAsia" w:cs="Arial"/>
        </w:rPr>
        <w:t xml:space="preserve">creases in production to 2050 under this scenario are therefore assumed to contribute primarily to national and international exports, and the </w:t>
      </w:r>
      <w:r w:rsidRPr="00DC3BDA">
        <w:rPr>
          <w:rFonts w:eastAsiaTheme="minorEastAsia" w:cs="Arial"/>
        </w:rPr>
        <w:t>burgeoning</w:t>
      </w:r>
      <w:r w:rsidR="000B437E" w:rsidRPr="00DC3BDA">
        <w:rPr>
          <w:rFonts w:eastAsiaTheme="minorEastAsia" w:cs="Arial"/>
        </w:rPr>
        <w:t xml:space="preserve"> market</w:t>
      </w:r>
      <w:r w:rsidRPr="00DC3BDA">
        <w:rPr>
          <w:rFonts w:eastAsiaTheme="minorEastAsia" w:cs="Arial"/>
        </w:rPr>
        <w:t xml:space="preserve"> for </w:t>
      </w:r>
      <w:proofErr w:type="spellStart"/>
      <w:r w:rsidRPr="00DC3BDA">
        <w:rPr>
          <w:rFonts w:eastAsiaTheme="minorEastAsia" w:cs="Arial"/>
        </w:rPr>
        <w:t>biofuels</w:t>
      </w:r>
      <w:proofErr w:type="spellEnd"/>
      <w:r w:rsidR="000B437E" w:rsidRPr="00DC3BDA">
        <w:rPr>
          <w:rFonts w:eastAsiaTheme="minorEastAsia" w:cs="Arial"/>
        </w:rPr>
        <w:t xml:space="preserve">. </w:t>
      </w:r>
    </w:p>
    <w:p w:rsidR="00C8039F" w:rsidRPr="00DC3BDA" w:rsidRDefault="00C8039F" w:rsidP="00DC3BDA">
      <w:pPr>
        <w:rPr>
          <w:rFonts w:eastAsiaTheme="minorEastAsia" w:cs="Arial"/>
        </w:rPr>
      </w:pPr>
      <w:r w:rsidRPr="00DC3BDA">
        <w:rPr>
          <w:rFonts w:eastAsiaTheme="minorEastAsia" w:cs="Arial"/>
        </w:rPr>
        <w:t xml:space="preserve">(2) </w:t>
      </w:r>
      <w:r w:rsidR="0088259B" w:rsidRPr="00DC3BDA">
        <w:rPr>
          <w:rFonts w:eastAsiaTheme="minorEastAsia" w:cs="Arial"/>
        </w:rPr>
        <w:t>Lower Bound</w:t>
      </w:r>
    </w:p>
    <w:p w:rsidR="00AD7D68" w:rsidRPr="00DC3BDA" w:rsidRDefault="00E00F32" w:rsidP="00DC3BDA">
      <w:pPr>
        <w:rPr>
          <w:rFonts w:cs="Arial"/>
        </w:rPr>
      </w:pPr>
      <w:r w:rsidRPr="00DC3BDA">
        <w:rPr>
          <w:rFonts w:eastAsiaTheme="minorEastAsia" w:cs="Arial"/>
        </w:rPr>
        <w:t>Under this scenario, we assume</w:t>
      </w:r>
      <w:r w:rsidR="0088259B" w:rsidRPr="00DC3BDA">
        <w:rPr>
          <w:rFonts w:eastAsiaTheme="minorEastAsia" w:cs="Arial"/>
        </w:rPr>
        <w:t>d</w:t>
      </w:r>
      <w:r w:rsidRPr="00DC3BDA">
        <w:rPr>
          <w:rFonts w:eastAsiaTheme="minorEastAsia" w:cs="Arial"/>
        </w:rPr>
        <w:t xml:space="preserve"> that combined demand from the agricultural sector (comprising consumption, exports and </w:t>
      </w:r>
      <w:proofErr w:type="spellStart"/>
      <w:r w:rsidRPr="00DC3BDA">
        <w:rPr>
          <w:rFonts w:eastAsiaTheme="minorEastAsia" w:cs="Arial"/>
        </w:rPr>
        <w:t>biofuel</w:t>
      </w:r>
      <w:proofErr w:type="spellEnd"/>
      <w:r w:rsidRPr="00DC3BDA">
        <w:rPr>
          <w:rFonts w:eastAsiaTheme="minorEastAsia" w:cs="Arial"/>
        </w:rPr>
        <w:t xml:space="preserve"> production) is capped at 2014 levels. </w:t>
      </w:r>
      <w:r w:rsidR="00DA76D0">
        <w:rPr>
          <w:rFonts w:eastAsiaTheme="minorEastAsia" w:cs="Arial"/>
        </w:rPr>
        <w:t xml:space="preserve"> </w:t>
      </w:r>
      <w:r w:rsidRPr="00DC3BDA">
        <w:rPr>
          <w:rFonts w:eastAsiaTheme="minorEastAsia" w:cs="Arial"/>
        </w:rPr>
        <w:t>In addition, we assume</w:t>
      </w:r>
      <w:r w:rsidR="0088259B" w:rsidRPr="00DC3BDA">
        <w:rPr>
          <w:rFonts w:eastAsiaTheme="minorEastAsia" w:cs="Arial"/>
        </w:rPr>
        <w:t>d</w:t>
      </w:r>
      <w:r w:rsidRPr="00DC3BDA">
        <w:rPr>
          <w:rFonts w:eastAsiaTheme="minorEastAsia" w:cs="Arial"/>
        </w:rPr>
        <w:t xml:space="preserve"> significant efforts are made to tackle edible food waste. Although estimates vary between crops and regions, roughly 30</w:t>
      </w:r>
      <w:r w:rsidR="00FB4BCD">
        <w:rPr>
          <w:rFonts w:cs="Arial"/>
        </w:rPr>
        <w:t>–</w:t>
      </w:r>
      <w:r w:rsidRPr="00DC3BDA">
        <w:rPr>
          <w:rFonts w:eastAsiaTheme="minorEastAsia" w:cs="Arial"/>
        </w:rPr>
        <w:t xml:space="preserve">40% of food is currently wasted at some stage in the food chain </w:t>
      </w:r>
      <w:r w:rsidR="007E5075">
        <w:rPr>
          <w:rFonts w:eastAsiaTheme="minorEastAsia" w:cs="Arial"/>
        </w:rPr>
        <w:t>[</w:t>
      </w:r>
      <w:r w:rsidR="00982FC4">
        <w:rPr>
          <w:rFonts w:eastAsiaTheme="minorEastAsia" w:cs="Arial"/>
        </w:rPr>
        <w:t>8,2</w:t>
      </w:r>
      <w:r w:rsidR="00DE4C8D">
        <w:rPr>
          <w:rFonts w:eastAsiaTheme="minorEastAsia" w:cs="Arial"/>
        </w:rPr>
        <w:t>8</w:t>
      </w:r>
      <w:r w:rsidR="00982FC4">
        <w:rPr>
          <w:rFonts w:eastAsiaTheme="minorEastAsia" w:cs="Arial"/>
        </w:rPr>
        <w:t>,2</w:t>
      </w:r>
      <w:r w:rsidR="00DE4C8D">
        <w:rPr>
          <w:rFonts w:eastAsiaTheme="minorEastAsia" w:cs="Arial"/>
        </w:rPr>
        <w:t>9</w:t>
      </w:r>
      <w:r w:rsidR="007E5075">
        <w:rPr>
          <w:rFonts w:eastAsiaTheme="minorEastAsia" w:cs="Arial"/>
        </w:rPr>
        <w:t>]</w:t>
      </w:r>
      <w:r w:rsidR="00AB7F8F" w:rsidRPr="00DC3BDA">
        <w:rPr>
          <w:rFonts w:eastAsiaTheme="minorEastAsia" w:cs="Arial"/>
        </w:rPr>
        <w:fldChar w:fldCharType="begin"/>
      </w:r>
      <w:r w:rsidRPr="00DC3BDA">
        <w:rPr>
          <w:rFonts w:eastAsiaTheme="minorEastAsia" w:cs="Arial"/>
        </w:rPr>
        <w:instrText xml:space="preserve"> ADDIN ZOTERO_ITEM CSL_CITATION {"citationID":"2m4rqu7rf7","properties":{"formattedCitation":"(Foley et al.; Parfitt, Barthel &amp; Macnaughton 2010; FAO 2011)","plainCitation":"(Foley et al.; Parfitt, Barthel &amp; Macnaughton 2010; FAO 2011)"},"citationItems":[{"id":409,"uris":["http://zotero.org/users/1075398/items/ZWTB2KSX"],"uri":["http://zotero.org/users/1075398/items/ZWTB2KSX"],"itemData":{"id":409,"type":"webpage","title":"Solutions for a cultivated planet","URL":"https://docs.google.com/viewer?a=v&amp;pid=gmail&amp;attid=0.1&amp;thid=132fdfd71c64a0cf&amp;mt=application/pdf&amp;url=https://mail.google.com/mail/?ui%3D2%26ik%3D63be724e5b%26view%3Datt%26th%3D132fdfd71c64a0cf%26attid%3D0.1%26disp%3Dsafe%26zw&amp;sig=AHIEtbQCSXKClQ4jmNhGqUoLllaQlgxVSQ","author":[{"family":"Foley et al.","given":"Jonathon"}],"accessed":{"date-parts":[["2012",8,1]]}},"label":"page"},{"id":144,"uris":["http://zotero.org/users/1075398/items/CKQGGI67"],"uri":["http://zotero.org/users/1075398/items/CKQGGI67"],"itemData":{"id":144,"type":"article-journal","title":"Food waste within food supply chains: quantification and potential for change to 2050","container-title":"Philosophical Transactions of the Royal Society B: Biological Sciences","page":"3065-3081","volume":"365","issue":"1554","source":"CrossRef","DOI":"10.1098/rstb.2010.0126","ISSN":"0962-8436, 1471-2970","shortTitle":"Food waste within food supply chains","language":"en","author":[{"family":"Parfitt","given":"J."},{"family":"Barthel","given":"M."},{"family":"Macnaughton","given":"S."}],"issued":{"date-parts":[["2010",9,27]]}},"label":"page"},{"id":59,"uris":["http://zotero.org/users/1075398/items/4H6JCK7D"],"uri":["http://zotero.org/users/1075398/items/4H6JCK7D"],"itemData":{"id":59,"type":"report","title":"Global food losses and food waste - Extent, causes and preventions","publisher-place":"Rome","event-place":"Rome","author":[{"family":"FAO","given":""}],"issued":{"date-parts":[["2011"]]},"accessed":{"date-parts":[["2015",7,21]]}},"label":"page"}],"schema":"https://github.com/citation-style-language/schema/raw/master/csl-citation.json"} </w:instrText>
      </w:r>
      <w:r w:rsidR="00AB7F8F" w:rsidRPr="00DC3BDA">
        <w:rPr>
          <w:rFonts w:eastAsiaTheme="minorEastAsia" w:cs="Arial"/>
        </w:rPr>
        <w:fldChar w:fldCharType="end"/>
      </w:r>
      <w:r w:rsidRPr="00DC3BDA">
        <w:rPr>
          <w:rFonts w:eastAsiaTheme="minorEastAsia" w:cs="Arial"/>
        </w:rPr>
        <w:t xml:space="preserve">. </w:t>
      </w:r>
      <w:r w:rsidR="00DA76D0">
        <w:rPr>
          <w:rFonts w:eastAsiaTheme="minorEastAsia" w:cs="Arial"/>
        </w:rPr>
        <w:t xml:space="preserve"> </w:t>
      </w:r>
      <w:r w:rsidRPr="00DC3BDA">
        <w:rPr>
          <w:rFonts w:eastAsiaTheme="minorEastAsia" w:cs="Arial"/>
        </w:rPr>
        <w:t xml:space="preserve">We adopted a mid-point value of 35% as a </w:t>
      </w:r>
      <w:r w:rsidRPr="00DC3BDA">
        <w:rPr>
          <w:rFonts w:eastAsiaTheme="minorEastAsia" w:cs="Arial"/>
        </w:rPr>
        <w:lastRenderedPageBreak/>
        <w:t>representative estimate of the proportion of edible food that is wasted in 2014. We assume an ambitious target of a 50% reduction in food waste by 2050, representing a likely upper-limit which is in line with other studies (e.g.</w:t>
      </w:r>
      <w:r w:rsidR="00982FC4">
        <w:rPr>
          <w:rFonts w:eastAsiaTheme="minorEastAsia" w:cs="Arial"/>
        </w:rPr>
        <w:t xml:space="preserve"> ref. [</w:t>
      </w:r>
      <w:r w:rsidR="00DE4C8D">
        <w:rPr>
          <w:rFonts w:eastAsiaTheme="minorEastAsia" w:cs="Arial"/>
        </w:rPr>
        <w:t>30</w:t>
      </w:r>
      <w:r w:rsidR="00982FC4">
        <w:rPr>
          <w:rFonts w:eastAsiaTheme="minorEastAsia" w:cs="Arial"/>
        </w:rPr>
        <w:t>])</w:t>
      </w:r>
      <w:r w:rsidRPr="00DC3BDA">
        <w:rPr>
          <w:rFonts w:cs="Arial"/>
        </w:rPr>
        <w:t>.</w:t>
      </w:r>
      <w:r w:rsidR="00DA76D0">
        <w:rPr>
          <w:rFonts w:cs="Arial"/>
        </w:rPr>
        <w:t xml:space="preserve"> </w:t>
      </w:r>
      <w:r w:rsidRPr="00DC3BDA">
        <w:rPr>
          <w:rFonts w:cs="Arial"/>
        </w:rPr>
        <w:t xml:space="preserve"> </w:t>
      </w:r>
      <w:r w:rsidRPr="00DC3BDA">
        <w:rPr>
          <w:rFonts w:eastAsiaTheme="minorEastAsia" w:cs="Arial"/>
        </w:rPr>
        <w:t xml:space="preserve">Overall, this </w:t>
      </w:r>
      <w:r w:rsidR="005D69A9" w:rsidRPr="00DC3BDA">
        <w:rPr>
          <w:rFonts w:eastAsiaTheme="minorEastAsia" w:cs="Arial"/>
        </w:rPr>
        <w:t>‘</w:t>
      </w:r>
      <w:r w:rsidRPr="00DC3BDA">
        <w:rPr>
          <w:rFonts w:eastAsiaTheme="minorEastAsia" w:cs="Arial"/>
        </w:rPr>
        <w:t>zero-growth plus waste reduction</w:t>
      </w:r>
      <w:r w:rsidR="005D69A9" w:rsidRPr="00DC3BDA">
        <w:rPr>
          <w:rFonts w:eastAsiaTheme="minorEastAsia" w:cs="Arial"/>
        </w:rPr>
        <w:t>’</w:t>
      </w:r>
      <w:r w:rsidRPr="00DC3BDA">
        <w:rPr>
          <w:rFonts w:eastAsiaTheme="minorEastAsia" w:cs="Arial"/>
        </w:rPr>
        <w:t xml:space="preserve"> scenario assumes a 17.5% decrease in </w:t>
      </w:r>
      <w:r w:rsidRPr="00DC3BDA">
        <w:rPr>
          <w:rFonts w:cs="Arial"/>
          <w:i/>
        </w:rPr>
        <w:t>AAO</w:t>
      </w:r>
      <w:r w:rsidRPr="00DC3BDA">
        <w:rPr>
          <w:rFonts w:cs="Arial"/>
          <w:i/>
          <w:vertAlign w:val="subscript"/>
        </w:rPr>
        <w:t>TOTAL</w:t>
      </w:r>
      <w:r w:rsidRPr="00DC3BDA">
        <w:rPr>
          <w:rFonts w:eastAsiaTheme="minorEastAsia" w:cs="Arial"/>
        </w:rPr>
        <w:t xml:space="preserve"> from 2014 levels by 2050. </w:t>
      </w:r>
    </w:p>
    <w:p w:rsidR="0097568C" w:rsidRPr="00DC3BDA" w:rsidRDefault="0097568C" w:rsidP="00DC3BDA">
      <w:pPr>
        <w:rPr>
          <w:rFonts w:cs="Arial"/>
          <w:b/>
        </w:rPr>
      </w:pPr>
    </w:p>
    <w:p w:rsidR="00600387" w:rsidRPr="00DC3BDA" w:rsidRDefault="00C8039F" w:rsidP="00DC3BDA">
      <w:pPr>
        <w:rPr>
          <w:rFonts w:cs="Arial"/>
          <w:b/>
        </w:rPr>
      </w:pPr>
      <w:r w:rsidRPr="00DC3BDA">
        <w:rPr>
          <w:rFonts w:cs="Arial"/>
          <w:b/>
        </w:rPr>
        <w:t xml:space="preserve">(g) </w:t>
      </w:r>
      <w:r w:rsidR="00600387" w:rsidRPr="00DC3BDA">
        <w:rPr>
          <w:rFonts w:cs="Arial"/>
          <w:b/>
        </w:rPr>
        <w:t xml:space="preserve">Estimating </w:t>
      </w:r>
      <w:r w:rsidR="00FB4BCD">
        <w:rPr>
          <w:rFonts w:cs="Arial"/>
          <w:b/>
        </w:rPr>
        <w:t>t</w:t>
      </w:r>
      <w:r w:rsidR="00600387" w:rsidRPr="00DC3BDA">
        <w:rPr>
          <w:rFonts w:cs="Arial"/>
          <w:b/>
        </w:rPr>
        <w:t xml:space="preserve">otal </w:t>
      </w:r>
      <w:r w:rsidR="00FB4BCD">
        <w:rPr>
          <w:rFonts w:cs="Arial"/>
          <w:b/>
        </w:rPr>
        <w:t>r</w:t>
      </w:r>
      <w:r w:rsidR="00600387" w:rsidRPr="00DC3BDA">
        <w:rPr>
          <w:rFonts w:cs="Arial"/>
          <w:b/>
        </w:rPr>
        <w:t xml:space="preserve">egional </w:t>
      </w:r>
      <w:r w:rsidR="00FB4BCD">
        <w:rPr>
          <w:rFonts w:cs="Arial"/>
          <w:b/>
        </w:rPr>
        <w:t>p</w:t>
      </w:r>
      <w:r w:rsidR="00600387" w:rsidRPr="00DC3BDA">
        <w:rPr>
          <w:rFonts w:cs="Arial"/>
          <w:b/>
        </w:rPr>
        <w:t>opulations at 2050 (</w:t>
      </w:r>
      <w:r w:rsidR="00FB4BCD">
        <w:rPr>
          <w:rFonts w:cs="Arial"/>
          <w:b/>
        </w:rPr>
        <w:t>t</w:t>
      </w:r>
      <w:r w:rsidR="00600387" w:rsidRPr="00DC3BDA">
        <w:rPr>
          <w:rFonts w:cs="Arial"/>
          <w:b/>
        </w:rPr>
        <w:t>wo-</w:t>
      </w:r>
      <w:r w:rsidR="00FB4BCD">
        <w:rPr>
          <w:rFonts w:cs="Arial"/>
          <w:b/>
        </w:rPr>
        <w:t>c</w:t>
      </w:r>
      <w:r w:rsidR="00600387" w:rsidRPr="00DC3BDA">
        <w:rPr>
          <w:rFonts w:cs="Arial"/>
          <w:b/>
        </w:rPr>
        <w:t xml:space="preserve">ompartment </w:t>
      </w:r>
      <w:r w:rsidR="00FB4BCD">
        <w:rPr>
          <w:rFonts w:cs="Arial"/>
          <w:b/>
        </w:rPr>
        <w:t>m</w:t>
      </w:r>
      <w:r w:rsidR="00600387" w:rsidRPr="00DC3BDA">
        <w:rPr>
          <w:rFonts w:cs="Arial"/>
          <w:b/>
        </w:rPr>
        <w:t>odel)</w:t>
      </w:r>
    </w:p>
    <w:p w:rsidR="00984678" w:rsidRPr="00DC3BDA" w:rsidRDefault="007025FA" w:rsidP="00DC3BDA">
      <w:pPr>
        <w:rPr>
          <w:rFonts w:eastAsiaTheme="minorEastAsia" w:cs="Arial"/>
          <w:b/>
        </w:rPr>
      </w:pPr>
      <w:r w:rsidRPr="00DC3BDA">
        <w:rPr>
          <w:rFonts w:cs="Arial"/>
        </w:rPr>
        <w:t xml:space="preserve">For all values of </w:t>
      </w:r>
      <w:r w:rsidRPr="00DC3BDA">
        <w:rPr>
          <w:rFonts w:cs="Arial"/>
          <w:i/>
        </w:rPr>
        <w:t>AAO</w:t>
      </w:r>
      <w:r w:rsidRPr="00DC3BDA">
        <w:rPr>
          <w:rFonts w:cs="Arial"/>
          <w:i/>
          <w:vertAlign w:val="subscript"/>
        </w:rPr>
        <w:t>TOTAL</w:t>
      </w:r>
      <w:r w:rsidRPr="00DC3BDA">
        <w:rPr>
          <w:rFonts w:cs="Arial"/>
          <w:vertAlign w:val="subscript"/>
        </w:rPr>
        <w:t xml:space="preserve"> </w:t>
      </w:r>
      <w:r w:rsidRPr="00DC3BDA">
        <w:rPr>
          <w:rFonts w:cs="Arial"/>
        </w:rPr>
        <w:t xml:space="preserve">within </w:t>
      </w:r>
      <w:r w:rsidR="002D368D" w:rsidRPr="00DC3BDA">
        <w:rPr>
          <w:rFonts w:cs="Arial"/>
        </w:rPr>
        <w:t>the feasible range (described above)</w:t>
      </w:r>
      <w:r w:rsidRPr="00DC3BDA">
        <w:rPr>
          <w:rFonts w:cs="Arial"/>
        </w:rPr>
        <w:t xml:space="preserve">, we </w:t>
      </w:r>
      <w:r w:rsidR="00984678" w:rsidRPr="00DC3BDA">
        <w:rPr>
          <w:rFonts w:eastAsiaTheme="minorEastAsia" w:cs="Arial"/>
        </w:rPr>
        <w:t xml:space="preserve">calculated the total regional population of each species by multiplying the area under each land-use by the predicted population densities at the relevant level of agricultural yield, derived from the fitted density-yield models such that: </w:t>
      </w:r>
    </w:p>
    <w:p w:rsidR="0031063E" w:rsidRPr="00DC3BDA" w:rsidRDefault="0031063E" w:rsidP="00DC3BDA">
      <w:pPr>
        <w:rPr>
          <w:rFonts w:cs="Arial"/>
        </w:rPr>
      </w:pPr>
      <w:proofErr w:type="gramStart"/>
      <w:r w:rsidRPr="00DC3BDA">
        <w:rPr>
          <w:rFonts w:cs="Arial"/>
          <w:i/>
        </w:rPr>
        <w:t>POP</w:t>
      </w:r>
      <w:r w:rsidRPr="00DC3BDA">
        <w:rPr>
          <w:rFonts w:cs="Arial"/>
          <w:i/>
          <w:vertAlign w:val="subscript"/>
        </w:rPr>
        <w:t>TOTAL</w:t>
      </w:r>
      <w:r w:rsidRPr="00DC3BDA">
        <w:rPr>
          <w:rFonts w:cs="Arial"/>
          <w:vertAlign w:val="subscript"/>
        </w:rPr>
        <w:t xml:space="preserve"> </w:t>
      </w:r>
      <w:r w:rsidRPr="00DC3BDA">
        <w:rPr>
          <w:rFonts w:cs="Arial"/>
        </w:rPr>
        <w:t xml:space="preserve"> =</w:t>
      </w:r>
      <w:proofErr w:type="gramEnd"/>
      <w:r w:rsidRPr="00DC3BDA">
        <w:rPr>
          <w:rFonts w:cs="Arial"/>
        </w:rPr>
        <w:t xml:space="preserve"> (A – (</w:t>
      </w:r>
      <w:r w:rsidRPr="00DC3BDA">
        <w:rPr>
          <w:rFonts w:cs="Arial"/>
          <w:i/>
        </w:rPr>
        <w:t>AAO</w:t>
      </w:r>
      <w:r w:rsidRPr="00DC3BDA">
        <w:rPr>
          <w:rFonts w:cs="Arial"/>
          <w:i/>
          <w:vertAlign w:val="subscript"/>
        </w:rPr>
        <w:t>TOTAL</w:t>
      </w:r>
      <w:r w:rsidRPr="00DC3BDA">
        <w:rPr>
          <w:rFonts w:cs="Arial"/>
          <w:vertAlign w:val="subscript"/>
        </w:rPr>
        <w:t xml:space="preserve"> </w:t>
      </w:r>
      <w:r w:rsidRPr="00DC3BDA">
        <w:rPr>
          <w:rFonts w:cs="Arial"/>
        </w:rPr>
        <w:t>/</w:t>
      </w:r>
      <w:r w:rsidRPr="00DC3BDA">
        <w:rPr>
          <w:rFonts w:cs="Arial"/>
          <w:i/>
        </w:rPr>
        <w:t>x</w:t>
      </w:r>
      <w:r w:rsidRPr="00DC3BDA">
        <w:rPr>
          <w:rFonts w:cs="Arial"/>
        </w:rPr>
        <w:t xml:space="preserve">)) </w:t>
      </w:r>
      <w:r w:rsidRPr="00DC3BDA">
        <w:rPr>
          <w:rFonts w:cs="Arial"/>
          <w:i/>
        </w:rPr>
        <w:t>f(0</w:t>
      </w:r>
      <w:r w:rsidRPr="00DC3BDA">
        <w:rPr>
          <w:rFonts w:cs="Arial"/>
        </w:rPr>
        <w:t>) +</w:t>
      </w:r>
      <w:r w:rsidR="001D2252">
        <w:rPr>
          <w:rFonts w:cs="Arial"/>
        </w:rPr>
        <w:t xml:space="preserve"> </w:t>
      </w:r>
      <w:r w:rsidRPr="00DC3BDA">
        <w:rPr>
          <w:rFonts w:cs="Arial"/>
        </w:rPr>
        <w:t>(</w:t>
      </w:r>
      <w:r w:rsidRPr="00DC3BDA">
        <w:rPr>
          <w:rFonts w:cs="Arial"/>
          <w:i/>
        </w:rPr>
        <w:t>AAO</w:t>
      </w:r>
      <w:r w:rsidRPr="00DC3BDA">
        <w:rPr>
          <w:rFonts w:cs="Arial"/>
          <w:i/>
          <w:vertAlign w:val="subscript"/>
        </w:rPr>
        <w:t>TOTAL</w:t>
      </w:r>
      <w:r w:rsidRPr="00DC3BDA">
        <w:rPr>
          <w:rFonts w:cs="Arial"/>
        </w:rPr>
        <w:t>/</w:t>
      </w:r>
      <w:r w:rsidRPr="00DC3BDA">
        <w:rPr>
          <w:rFonts w:cs="Arial"/>
          <w:i/>
        </w:rPr>
        <w:t>x</w:t>
      </w:r>
      <w:r w:rsidRPr="00DC3BDA">
        <w:rPr>
          <w:rFonts w:cs="Arial"/>
        </w:rPr>
        <w:t xml:space="preserve">) </w:t>
      </w:r>
      <w:r w:rsidRPr="00DC3BDA">
        <w:rPr>
          <w:rFonts w:cs="Arial"/>
          <w:i/>
        </w:rPr>
        <w:t>f(x)</w:t>
      </w:r>
    </w:p>
    <w:p w:rsidR="002D368D" w:rsidRPr="00DC3BDA" w:rsidRDefault="00984678" w:rsidP="00DC3BDA">
      <w:pPr>
        <w:rPr>
          <w:rFonts w:eastAsiaTheme="minorEastAsia" w:cs="Arial"/>
        </w:rPr>
      </w:pPr>
      <w:r w:rsidRPr="00DC3BDA">
        <w:rPr>
          <w:rFonts w:eastAsiaTheme="minorEastAsia" w:cs="Arial"/>
        </w:rPr>
        <w:t xml:space="preserve">Where </w:t>
      </w:r>
      <w:r w:rsidR="0031063E" w:rsidRPr="00DC3BDA">
        <w:rPr>
          <w:rFonts w:eastAsiaTheme="minorEastAsia" w:cs="Arial"/>
          <w:i/>
        </w:rPr>
        <w:t>P</w:t>
      </w:r>
      <w:r w:rsidR="0031063E" w:rsidRPr="00DC3BDA">
        <w:rPr>
          <w:rFonts w:cs="Arial"/>
          <w:i/>
        </w:rPr>
        <w:t>OP</w:t>
      </w:r>
      <w:r w:rsidR="0031063E" w:rsidRPr="00DC3BDA">
        <w:rPr>
          <w:rFonts w:cs="Arial"/>
          <w:i/>
          <w:vertAlign w:val="subscript"/>
        </w:rPr>
        <w:t>TOTAL</w:t>
      </w:r>
      <w:r w:rsidRPr="00DC3BDA">
        <w:rPr>
          <w:rFonts w:eastAsiaTheme="minorEastAsia" w:cs="Arial"/>
        </w:rPr>
        <w:t xml:space="preserve"> is the total regional population</w:t>
      </w:r>
      <w:r w:rsidR="00BF6DFD" w:rsidRPr="00DC3BDA">
        <w:rPr>
          <w:rFonts w:eastAsiaTheme="minorEastAsia" w:cs="Arial"/>
        </w:rPr>
        <w:t xml:space="preserve"> of a species</w:t>
      </w:r>
      <w:r w:rsidRPr="00DC3BDA">
        <w:rPr>
          <w:rFonts w:eastAsiaTheme="minorEastAsia" w:cs="Arial"/>
        </w:rPr>
        <w:t xml:space="preserve">, </w:t>
      </w:r>
      <w:r w:rsidR="00BF6DFD" w:rsidRPr="00DC3BDA">
        <w:rPr>
          <w:rFonts w:eastAsiaTheme="minorEastAsia" w:cs="Arial"/>
          <w:i/>
        </w:rPr>
        <w:t xml:space="preserve">A </w:t>
      </w:r>
      <w:r w:rsidR="00BF6DFD" w:rsidRPr="00DC3BDA">
        <w:rPr>
          <w:rFonts w:eastAsiaTheme="minorEastAsia" w:cs="Arial"/>
        </w:rPr>
        <w:t>is the total cultivable area of the region</w:t>
      </w:r>
      <w:r w:rsidR="00BF6DFD" w:rsidRPr="00DC3BDA">
        <w:rPr>
          <w:rFonts w:eastAsiaTheme="minorEastAsia" w:cs="Arial"/>
          <w:i/>
        </w:rPr>
        <w:t xml:space="preserve">, </w:t>
      </w:r>
      <w:r w:rsidR="00BF6DFD" w:rsidRPr="00DC3BDA">
        <w:rPr>
          <w:rFonts w:cs="Arial"/>
          <w:i/>
        </w:rPr>
        <w:t>AAO</w:t>
      </w:r>
      <w:r w:rsidR="00BF6DFD" w:rsidRPr="00DC3BDA">
        <w:rPr>
          <w:rFonts w:cs="Arial"/>
          <w:i/>
          <w:vertAlign w:val="subscript"/>
        </w:rPr>
        <w:t>TOTAL</w:t>
      </w:r>
      <w:r w:rsidR="00BF6DFD" w:rsidRPr="00DC3BDA">
        <w:rPr>
          <w:rFonts w:eastAsiaTheme="minorEastAsia" w:cs="Arial"/>
          <w:i/>
        </w:rPr>
        <w:t xml:space="preserve"> </w:t>
      </w:r>
      <w:r w:rsidR="00BF6DFD" w:rsidRPr="00DC3BDA">
        <w:rPr>
          <w:rFonts w:eastAsiaTheme="minorEastAsia" w:cs="Arial"/>
        </w:rPr>
        <w:t xml:space="preserve">is the Total Annual Agricultural Output of the region, and </w:t>
      </w:r>
      <w:r w:rsidR="00BF6DFD" w:rsidRPr="00DC3BDA">
        <w:rPr>
          <w:rFonts w:eastAsiaTheme="minorEastAsia" w:cs="Arial"/>
          <w:i/>
        </w:rPr>
        <w:t>x</w:t>
      </w:r>
      <w:r w:rsidR="00BF6DFD" w:rsidRPr="00DC3BDA">
        <w:rPr>
          <w:rFonts w:eastAsiaTheme="minorEastAsia" w:cs="Arial"/>
        </w:rPr>
        <w:t xml:space="preserve"> is the yield of farmed land.</w:t>
      </w:r>
      <w:r w:rsidR="00BF6DFD" w:rsidRPr="00DC3BDA">
        <w:rPr>
          <w:rFonts w:cs="Arial"/>
        </w:rPr>
        <w:t xml:space="preserve"> </w:t>
      </w:r>
      <w:proofErr w:type="gramStart"/>
      <w:r w:rsidR="00BF6DFD" w:rsidRPr="00DC3BDA">
        <w:rPr>
          <w:rFonts w:cs="Arial"/>
          <w:i/>
        </w:rPr>
        <w:t>f(</w:t>
      </w:r>
      <w:proofErr w:type="gramEnd"/>
      <w:r w:rsidR="00BF6DFD" w:rsidRPr="00DC3BDA">
        <w:rPr>
          <w:rFonts w:cs="Arial"/>
          <w:i/>
        </w:rPr>
        <w:t>0)</w:t>
      </w:r>
      <w:r w:rsidR="00BF6DFD" w:rsidRPr="00DC3BDA">
        <w:rPr>
          <w:rFonts w:cs="Arial"/>
        </w:rPr>
        <w:t xml:space="preserve"> and </w:t>
      </w:r>
      <w:r w:rsidR="00BF6DFD" w:rsidRPr="00DC3BDA">
        <w:rPr>
          <w:rFonts w:cs="Arial"/>
          <w:i/>
        </w:rPr>
        <w:t>f(x)</w:t>
      </w:r>
      <w:r w:rsidR="00BF6DFD" w:rsidRPr="00DC3BDA">
        <w:rPr>
          <w:rFonts w:cs="Arial"/>
        </w:rPr>
        <w:t xml:space="preserve"> are expected values of population density at zero yield and the yield </w:t>
      </w:r>
      <w:r w:rsidR="00BF6DFD" w:rsidRPr="00DC3BDA">
        <w:rPr>
          <w:rFonts w:cs="Arial"/>
          <w:i/>
        </w:rPr>
        <w:t>x</w:t>
      </w:r>
      <w:r w:rsidR="00BF6DFD" w:rsidRPr="00DC3BDA">
        <w:rPr>
          <w:rFonts w:cs="Arial"/>
        </w:rPr>
        <w:t xml:space="preserve"> (derived from fitted density-yield curves)</w:t>
      </w:r>
      <w:r w:rsidRPr="00DC3BDA">
        <w:rPr>
          <w:rFonts w:eastAsiaTheme="minorEastAsia" w:cs="Arial"/>
        </w:rPr>
        <w:t xml:space="preserve">. </w:t>
      </w:r>
      <w:r w:rsidR="00DA76D0">
        <w:rPr>
          <w:rFonts w:eastAsiaTheme="minorEastAsia" w:cs="Arial"/>
        </w:rPr>
        <w:t xml:space="preserve"> </w:t>
      </w:r>
      <w:r w:rsidR="00BF6DFD" w:rsidRPr="00DC3BDA">
        <w:rPr>
          <w:rFonts w:eastAsiaTheme="minorEastAsia" w:cs="Arial"/>
        </w:rPr>
        <w:t xml:space="preserve">The value of </w:t>
      </w:r>
      <w:r w:rsidR="0031063E" w:rsidRPr="00DC3BDA">
        <w:rPr>
          <w:rFonts w:eastAsiaTheme="minorEastAsia" w:cs="Arial"/>
          <w:i/>
        </w:rPr>
        <w:t>x</w:t>
      </w:r>
      <w:r w:rsidRPr="00DC3BDA">
        <w:rPr>
          <w:rFonts w:eastAsiaTheme="minorEastAsia" w:cs="Arial"/>
        </w:rPr>
        <w:t xml:space="preserve"> will vary between</w:t>
      </w:r>
      <w:r w:rsidR="00173725" w:rsidRPr="00DC3BDA">
        <w:rPr>
          <w:rFonts w:eastAsiaTheme="minorEastAsia" w:cs="Arial"/>
        </w:rPr>
        <w:t xml:space="preserve"> different land-use strategies (Sharing, Sparing or Intermediate)</w:t>
      </w:r>
      <w:r w:rsidR="00BF6DFD" w:rsidRPr="00DC3BDA">
        <w:rPr>
          <w:rFonts w:eastAsiaTheme="minorEastAsia" w:cs="Arial"/>
        </w:rPr>
        <w:t>: u</w:t>
      </w:r>
      <w:r w:rsidR="002D368D" w:rsidRPr="00DC3BDA">
        <w:rPr>
          <w:rFonts w:eastAsiaTheme="minorEastAsia" w:cs="Arial"/>
        </w:rPr>
        <w:t xml:space="preserve">nder Sharing, </w:t>
      </w:r>
      <w:r w:rsidR="00BF6DFD" w:rsidRPr="00DC3BDA">
        <w:rPr>
          <w:rFonts w:eastAsiaTheme="minorEastAsia" w:cs="Arial"/>
          <w:i/>
        </w:rPr>
        <w:t>x</w:t>
      </w:r>
      <w:r w:rsidR="002D368D" w:rsidRPr="00DC3BDA">
        <w:rPr>
          <w:rFonts w:eastAsiaTheme="minorEastAsia" w:cs="Arial"/>
          <w:i/>
        </w:rPr>
        <w:t xml:space="preserve"> </w:t>
      </w:r>
      <w:r w:rsidR="002D368D" w:rsidRPr="00DC3BDA">
        <w:rPr>
          <w:rFonts w:eastAsiaTheme="minorEastAsia" w:cs="Arial"/>
        </w:rPr>
        <w:t xml:space="preserve">is the minimum yield necessary to achieve </w:t>
      </w:r>
      <w:r w:rsidR="002D368D" w:rsidRPr="00DC3BDA">
        <w:rPr>
          <w:rFonts w:cs="Arial"/>
          <w:i/>
        </w:rPr>
        <w:t>AAO</w:t>
      </w:r>
      <w:r w:rsidR="002D368D" w:rsidRPr="00DC3BDA">
        <w:rPr>
          <w:rFonts w:cs="Arial"/>
          <w:i/>
          <w:vertAlign w:val="subscript"/>
        </w:rPr>
        <w:t xml:space="preserve">TOTAL </w:t>
      </w:r>
      <w:r w:rsidR="002D368D" w:rsidRPr="00DC3BDA">
        <w:rPr>
          <w:rFonts w:cs="Arial"/>
        </w:rPr>
        <w:t>through farmin</w:t>
      </w:r>
      <w:r w:rsidR="00BF6DFD" w:rsidRPr="00DC3BDA">
        <w:rPr>
          <w:rFonts w:cs="Arial"/>
        </w:rPr>
        <w:t>g the entire cultivable area; un</w:t>
      </w:r>
      <w:r w:rsidR="002D368D" w:rsidRPr="00DC3BDA">
        <w:rPr>
          <w:rFonts w:cs="Arial"/>
        </w:rPr>
        <w:t xml:space="preserve">der Sparing, </w:t>
      </w:r>
      <w:r w:rsidR="00BF6DFD" w:rsidRPr="00DC3BDA">
        <w:rPr>
          <w:rFonts w:cs="Arial"/>
          <w:i/>
        </w:rPr>
        <w:t>x</w:t>
      </w:r>
      <w:r w:rsidR="002D368D" w:rsidRPr="00DC3BDA">
        <w:rPr>
          <w:rFonts w:cs="Arial"/>
          <w:i/>
        </w:rPr>
        <w:t xml:space="preserve"> </w:t>
      </w:r>
      <w:r w:rsidR="002D368D" w:rsidRPr="00DC3BDA">
        <w:rPr>
          <w:rFonts w:cs="Arial"/>
        </w:rPr>
        <w:t xml:space="preserve">is the maximum </w:t>
      </w:r>
      <w:r w:rsidR="001D2252">
        <w:rPr>
          <w:rFonts w:cs="Arial"/>
        </w:rPr>
        <w:t>attainable</w:t>
      </w:r>
      <w:r w:rsidR="001D2252" w:rsidRPr="00DC3BDA">
        <w:rPr>
          <w:rFonts w:cs="Arial"/>
        </w:rPr>
        <w:t xml:space="preserve"> </w:t>
      </w:r>
      <w:r w:rsidR="002D368D" w:rsidRPr="00DC3BDA">
        <w:rPr>
          <w:rFonts w:cs="Arial"/>
        </w:rPr>
        <w:t>yield (</w:t>
      </w:r>
      <w:proofErr w:type="spellStart"/>
      <w:proofErr w:type="gramStart"/>
      <w:r w:rsidR="00BF6DFD" w:rsidRPr="00DC3BDA">
        <w:rPr>
          <w:rFonts w:cs="Arial"/>
          <w:i/>
        </w:rPr>
        <w:t>x</w:t>
      </w:r>
      <w:r w:rsidR="00BF6DFD" w:rsidRPr="00DC3BDA">
        <w:rPr>
          <w:rFonts w:cs="Arial"/>
          <w:i/>
          <w:vertAlign w:val="subscript"/>
        </w:rPr>
        <w:t>MAX</w:t>
      </w:r>
      <w:proofErr w:type="spellEnd"/>
      <w:r w:rsidR="00BF6DFD" w:rsidRPr="00DC3BDA">
        <w:rPr>
          <w:rFonts w:cs="Arial"/>
        </w:rPr>
        <w:t xml:space="preserve">  -</w:t>
      </w:r>
      <w:proofErr w:type="gramEnd"/>
      <w:r w:rsidR="00BF6DFD" w:rsidRPr="00DC3BDA">
        <w:rPr>
          <w:rFonts w:cs="Arial"/>
        </w:rPr>
        <w:t xml:space="preserve"> </w:t>
      </w:r>
      <w:r w:rsidR="002D368D" w:rsidRPr="00DC3BDA">
        <w:rPr>
          <w:rFonts w:cs="Arial"/>
        </w:rPr>
        <w:t>in this study, 99 GJ ha</w:t>
      </w:r>
      <w:r w:rsidR="002D368D" w:rsidRPr="00DC3BDA">
        <w:rPr>
          <w:rFonts w:cs="Arial"/>
          <w:vertAlign w:val="superscript"/>
        </w:rPr>
        <w:t>-1</w:t>
      </w:r>
      <w:r w:rsidR="002D368D" w:rsidRPr="00DC3BDA">
        <w:rPr>
          <w:rFonts w:cs="Arial"/>
        </w:rPr>
        <w:t xml:space="preserve"> yr</w:t>
      </w:r>
      <w:r w:rsidR="002D368D" w:rsidRPr="00DC3BDA">
        <w:rPr>
          <w:rFonts w:cs="Arial"/>
          <w:vertAlign w:val="superscript"/>
        </w:rPr>
        <w:t>-1</w:t>
      </w:r>
      <w:r w:rsidR="002D368D" w:rsidRPr="00DC3BDA">
        <w:rPr>
          <w:rFonts w:cs="Arial"/>
        </w:rPr>
        <w:t>, based on agricultural survey data)</w:t>
      </w:r>
      <w:r w:rsidR="00BF6DFD" w:rsidRPr="00DC3BDA">
        <w:rPr>
          <w:rFonts w:cs="Arial"/>
        </w:rPr>
        <w:t>; and under Intermediate strategies it can be any value between the two.</w:t>
      </w:r>
    </w:p>
    <w:p w:rsidR="00984678" w:rsidRPr="00DC3BDA" w:rsidRDefault="00173725" w:rsidP="00DC3BDA">
      <w:pPr>
        <w:rPr>
          <w:rFonts w:cs="Arial"/>
        </w:rPr>
      </w:pPr>
      <w:r w:rsidRPr="00DC3BDA">
        <w:rPr>
          <w:rFonts w:cs="Arial"/>
        </w:rPr>
        <w:t xml:space="preserve">We calculated species’ population density on zero-yielding natural habitats </w:t>
      </w:r>
      <w:r w:rsidR="002D368D" w:rsidRPr="00DC3BDA">
        <w:rPr>
          <w:rFonts w:cs="Arial"/>
        </w:rPr>
        <w:t>(</w:t>
      </w:r>
      <w:proofErr w:type="gramStart"/>
      <w:r w:rsidR="00BF6DFD" w:rsidRPr="00DC3BDA">
        <w:rPr>
          <w:rFonts w:cs="Arial"/>
          <w:i/>
        </w:rPr>
        <w:t>f(</w:t>
      </w:r>
      <w:proofErr w:type="gramEnd"/>
      <w:r w:rsidR="00BF6DFD" w:rsidRPr="00DC3BDA">
        <w:rPr>
          <w:rFonts w:cs="Arial"/>
          <w:i/>
        </w:rPr>
        <w:t>0)</w:t>
      </w:r>
      <w:r w:rsidR="00BF6DFD" w:rsidRPr="00DC3BDA">
        <w:rPr>
          <w:rFonts w:cs="Arial"/>
        </w:rPr>
        <w:t xml:space="preserve">) </w:t>
      </w:r>
      <w:r w:rsidRPr="00DC3BDA">
        <w:rPr>
          <w:rFonts w:cs="Arial"/>
        </w:rPr>
        <w:t>a</w:t>
      </w:r>
      <w:r w:rsidR="0031063E" w:rsidRPr="00DC3BDA">
        <w:rPr>
          <w:rFonts w:cs="Arial"/>
        </w:rPr>
        <w:t>s the sum of their densities i</w:t>
      </w:r>
      <w:r w:rsidRPr="00DC3BDA">
        <w:rPr>
          <w:rFonts w:cs="Arial"/>
        </w:rPr>
        <w:t>n forest</w:t>
      </w:r>
      <w:r w:rsidR="0031063E" w:rsidRPr="00DC3BDA">
        <w:rPr>
          <w:rFonts w:cs="Arial"/>
        </w:rPr>
        <w:t xml:space="preserve"> (</w:t>
      </w:r>
      <w:r w:rsidR="00BF6DFD" w:rsidRPr="00DC3BDA">
        <w:rPr>
          <w:rFonts w:cs="Arial"/>
          <w:i/>
        </w:rPr>
        <w:t>f</w:t>
      </w:r>
      <w:r w:rsidR="0031063E" w:rsidRPr="00DC3BDA">
        <w:rPr>
          <w:rFonts w:cs="Arial"/>
          <w:i/>
          <w:vertAlign w:val="subscript"/>
        </w:rPr>
        <w:t>(forest)</w:t>
      </w:r>
      <w:r w:rsidR="0031063E" w:rsidRPr="00DC3BDA">
        <w:rPr>
          <w:rFonts w:cs="Arial"/>
        </w:rPr>
        <w:t xml:space="preserve">) </w:t>
      </w:r>
      <w:r w:rsidR="00FB4BCD">
        <w:rPr>
          <w:rFonts w:cs="Arial"/>
        </w:rPr>
        <w:t>–</w:t>
      </w:r>
      <w:r w:rsidRPr="00DC3BDA">
        <w:rPr>
          <w:rFonts w:cs="Arial"/>
        </w:rPr>
        <w:t xml:space="preserve"> and wetland</w:t>
      </w:r>
      <w:r w:rsidR="0031063E" w:rsidRPr="00DC3BDA">
        <w:rPr>
          <w:rFonts w:cs="Arial"/>
        </w:rPr>
        <w:t xml:space="preserve"> (</w:t>
      </w:r>
      <w:r w:rsidR="0031063E" w:rsidRPr="00DC3BDA">
        <w:rPr>
          <w:rFonts w:cs="Arial"/>
          <w:i/>
        </w:rPr>
        <w:t>D</w:t>
      </w:r>
      <w:r w:rsidR="0031063E" w:rsidRPr="00DC3BDA">
        <w:rPr>
          <w:rFonts w:cs="Arial"/>
          <w:i/>
          <w:vertAlign w:val="subscript"/>
        </w:rPr>
        <w:t>(wetland)</w:t>
      </w:r>
      <w:r w:rsidR="0031063E" w:rsidRPr="00DC3BDA">
        <w:rPr>
          <w:rFonts w:cs="Arial"/>
        </w:rPr>
        <w:t xml:space="preserve">) </w:t>
      </w:r>
      <w:r w:rsidRPr="00DC3BDA">
        <w:rPr>
          <w:rFonts w:cs="Arial"/>
        </w:rPr>
        <w:t>habitats multiplied by the proportion of the total area that could support these habitats, based on soil type (0.75 and 0.25 respectively)</w:t>
      </w:r>
      <w:r w:rsidR="002D368D" w:rsidRPr="00DC3BDA">
        <w:rPr>
          <w:rFonts w:cs="Arial"/>
        </w:rPr>
        <w:t>:</w:t>
      </w:r>
    </w:p>
    <w:p w:rsidR="00BF6DFD" w:rsidRPr="00DC3BDA" w:rsidRDefault="00BF6DFD" w:rsidP="00DC3BDA">
      <w:pPr>
        <w:rPr>
          <w:rFonts w:cs="Arial"/>
          <w:i/>
        </w:rPr>
      </w:pPr>
      <w:proofErr w:type="gramStart"/>
      <w:r w:rsidRPr="00DC3BDA">
        <w:rPr>
          <w:rFonts w:cs="Arial"/>
          <w:i/>
        </w:rPr>
        <w:t>f(</w:t>
      </w:r>
      <w:proofErr w:type="gramEnd"/>
      <w:r w:rsidRPr="00DC3BDA">
        <w:rPr>
          <w:rFonts w:cs="Arial"/>
          <w:i/>
        </w:rPr>
        <w:t>0</w:t>
      </w:r>
      <w:r w:rsidRPr="00DC3BDA">
        <w:rPr>
          <w:rFonts w:cs="Arial"/>
        </w:rPr>
        <w:t>) = 0.75 (</w:t>
      </w:r>
      <w:r w:rsidRPr="00DC3BDA">
        <w:rPr>
          <w:rFonts w:cs="Arial"/>
          <w:i/>
        </w:rPr>
        <w:t>f</w:t>
      </w:r>
      <w:r w:rsidRPr="00DC3BDA">
        <w:rPr>
          <w:rFonts w:cs="Arial"/>
          <w:i/>
          <w:vertAlign w:val="subscript"/>
        </w:rPr>
        <w:t>(forest)</w:t>
      </w:r>
      <w:r w:rsidRPr="00DC3BDA">
        <w:rPr>
          <w:rFonts w:cs="Arial"/>
          <w:i/>
        </w:rPr>
        <w:t xml:space="preserve">) + </w:t>
      </w:r>
      <w:r w:rsidR="00600387" w:rsidRPr="00DC3BDA">
        <w:rPr>
          <w:rFonts w:cs="Arial"/>
        </w:rPr>
        <w:t>0.25</w:t>
      </w:r>
      <w:r w:rsidRPr="00DC3BDA">
        <w:rPr>
          <w:rFonts w:cs="Arial"/>
          <w:i/>
        </w:rPr>
        <w:t xml:space="preserve"> (f</w:t>
      </w:r>
      <w:r w:rsidRPr="00DC3BDA">
        <w:rPr>
          <w:rFonts w:cs="Arial"/>
          <w:i/>
          <w:vertAlign w:val="subscript"/>
        </w:rPr>
        <w:t>(wetland)</w:t>
      </w:r>
      <w:r w:rsidRPr="00DC3BDA">
        <w:rPr>
          <w:rFonts w:cs="Arial"/>
          <w:i/>
        </w:rPr>
        <w:t>)</w:t>
      </w:r>
    </w:p>
    <w:p w:rsidR="0031063E" w:rsidRPr="00DC3BDA" w:rsidRDefault="0031063E" w:rsidP="00023E88">
      <w:pPr>
        <w:pStyle w:val="ListParagraph"/>
        <w:ind w:left="0"/>
        <w:rPr>
          <w:rFonts w:cs="Arial"/>
          <w:b/>
        </w:rPr>
      </w:pPr>
    </w:p>
    <w:p w:rsidR="00600387" w:rsidRPr="00DC3BDA" w:rsidRDefault="00C8039F" w:rsidP="00DC3BDA">
      <w:pPr>
        <w:rPr>
          <w:rFonts w:cs="Arial"/>
          <w:b/>
        </w:rPr>
      </w:pPr>
      <w:r w:rsidRPr="00DC3BDA">
        <w:rPr>
          <w:rFonts w:cs="Arial"/>
          <w:b/>
        </w:rPr>
        <w:t xml:space="preserve">(h) </w:t>
      </w:r>
      <w:r w:rsidR="00600387" w:rsidRPr="00DC3BDA">
        <w:rPr>
          <w:rFonts w:cs="Arial"/>
          <w:b/>
        </w:rPr>
        <w:t xml:space="preserve">Estimating </w:t>
      </w:r>
      <w:r w:rsidR="00FB4BCD">
        <w:rPr>
          <w:rFonts w:cs="Arial"/>
          <w:b/>
        </w:rPr>
        <w:t>t</w:t>
      </w:r>
      <w:r w:rsidR="00600387" w:rsidRPr="00DC3BDA">
        <w:rPr>
          <w:rFonts w:cs="Arial"/>
          <w:b/>
        </w:rPr>
        <w:t xml:space="preserve">otal </w:t>
      </w:r>
      <w:r w:rsidR="00FB4BCD">
        <w:rPr>
          <w:rFonts w:cs="Arial"/>
          <w:b/>
        </w:rPr>
        <w:t>r</w:t>
      </w:r>
      <w:r w:rsidR="00600387" w:rsidRPr="00DC3BDA">
        <w:rPr>
          <w:rFonts w:cs="Arial"/>
          <w:b/>
        </w:rPr>
        <w:t xml:space="preserve">egional </w:t>
      </w:r>
      <w:r w:rsidR="00FB4BCD">
        <w:rPr>
          <w:rFonts w:cs="Arial"/>
          <w:b/>
        </w:rPr>
        <w:t>p</w:t>
      </w:r>
      <w:r w:rsidR="00600387" w:rsidRPr="00DC3BDA">
        <w:rPr>
          <w:rFonts w:cs="Arial"/>
          <w:b/>
        </w:rPr>
        <w:t>opulations at 2050 (</w:t>
      </w:r>
      <w:r w:rsidR="00FB4BCD">
        <w:rPr>
          <w:rFonts w:cs="Arial"/>
          <w:b/>
        </w:rPr>
        <w:t>t</w:t>
      </w:r>
      <w:r w:rsidR="00600387" w:rsidRPr="00DC3BDA">
        <w:rPr>
          <w:rFonts w:cs="Arial"/>
          <w:b/>
        </w:rPr>
        <w:t>hree-</w:t>
      </w:r>
      <w:r w:rsidR="00FB4BCD">
        <w:rPr>
          <w:rFonts w:cs="Arial"/>
          <w:b/>
        </w:rPr>
        <w:t>c</w:t>
      </w:r>
      <w:r w:rsidR="00600387" w:rsidRPr="00DC3BDA">
        <w:rPr>
          <w:rFonts w:cs="Arial"/>
          <w:b/>
        </w:rPr>
        <w:t xml:space="preserve">ompartment </w:t>
      </w:r>
      <w:r w:rsidR="00FB4BCD">
        <w:rPr>
          <w:rFonts w:cs="Arial"/>
          <w:b/>
        </w:rPr>
        <w:t>m</w:t>
      </w:r>
      <w:r w:rsidR="00600387" w:rsidRPr="00DC3BDA">
        <w:rPr>
          <w:rFonts w:cs="Arial"/>
          <w:b/>
        </w:rPr>
        <w:t>odel)</w:t>
      </w:r>
    </w:p>
    <w:p w:rsidR="00054C12" w:rsidRPr="00DC3BDA" w:rsidRDefault="00D17435" w:rsidP="0034544A">
      <w:pPr>
        <w:rPr>
          <w:rFonts w:cs="Arial"/>
        </w:rPr>
      </w:pPr>
      <w:r w:rsidRPr="00DC3BDA">
        <w:rPr>
          <w:rFonts w:cs="Arial"/>
        </w:rPr>
        <w:t xml:space="preserve">We proposed an alternative formulation of the land sparing model, such that the land area required to achieve a given value of </w:t>
      </w:r>
      <w:r w:rsidRPr="00DC3BDA">
        <w:rPr>
          <w:rFonts w:cs="Arial"/>
          <w:i/>
        </w:rPr>
        <w:t>AAO</w:t>
      </w:r>
      <w:r w:rsidRPr="00DC3BDA">
        <w:rPr>
          <w:rFonts w:cs="Arial"/>
          <w:i/>
          <w:vertAlign w:val="subscript"/>
        </w:rPr>
        <w:t>TOTAL</w:t>
      </w:r>
      <w:r w:rsidRPr="00DC3BDA">
        <w:rPr>
          <w:rFonts w:cs="Arial"/>
        </w:rPr>
        <w:t xml:space="preserve"> is minimised </w:t>
      </w:r>
      <w:r w:rsidR="00054C12" w:rsidRPr="00DC3BDA">
        <w:rPr>
          <w:rFonts w:cs="Arial"/>
        </w:rPr>
        <w:t>by farming at the highest feasible yield (</w:t>
      </w:r>
      <w:proofErr w:type="spellStart"/>
      <w:r w:rsidR="00054C12" w:rsidRPr="00DC3BDA">
        <w:rPr>
          <w:rFonts w:cs="Arial"/>
        </w:rPr>
        <w:t>x</w:t>
      </w:r>
      <w:r w:rsidR="00054C12" w:rsidRPr="00DC3BDA">
        <w:rPr>
          <w:rFonts w:cs="Arial"/>
          <w:i/>
          <w:vertAlign w:val="subscript"/>
        </w:rPr>
        <w:t>MAX</w:t>
      </w:r>
      <w:proofErr w:type="spellEnd"/>
      <w:r w:rsidR="00054C12" w:rsidRPr="00DC3BDA">
        <w:rPr>
          <w:rFonts w:cs="Arial"/>
        </w:rPr>
        <w:t>), and that unfarmed land (Au) is divided between unfarmed natural habitats (A(0)) and very extensively-managed farmland, often characterised as High Nature Value farmland (</w:t>
      </w:r>
      <w:proofErr w:type="spellStart"/>
      <w:r w:rsidR="00054C12" w:rsidRPr="00DC3BDA">
        <w:rPr>
          <w:rFonts w:cs="Arial"/>
          <w:i/>
        </w:rPr>
        <w:t>A</w:t>
      </w:r>
      <w:r w:rsidR="00054C12" w:rsidRPr="00DC3BDA">
        <w:rPr>
          <w:rFonts w:cs="Arial"/>
          <w:i/>
          <w:vertAlign w:val="subscript"/>
        </w:rPr>
        <w:t>HNV</w:t>
      </w:r>
      <w:r w:rsidR="00FB7645" w:rsidRPr="00DC3BDA">
        <w:rPr>
          <w:rFonts w:cs="Arial"/>
          <w:i/>
          <w:vertAlign w:val="subscript"/>
        </w:rPr>
        <w:t>f</w:t>
      </w:r>
      <w:proofErr w:type="spellEnd"/>
      <w:r w:rsidR="00054C12" w:rsidRPr="00DC3BDA">
        <w:rPr>
          <w:rFonts w:cs="Arial"/>
        </w:rPr>
        <w:t xml:space="preserve">). </w:t>
      </w:r>
    </w:p>
    <w:p w:rsidR="0031063E" w:rsidRPr="00DC3BDA" w:rsidRDefault="0031063E" w:rsidP="00DC3BDA">
      <w:pPr>
        <w:rPr>
          <w:rFonts w:cs="Arial"/>
        </w:rPr>
      </w:pPr>
      <w:r w:rsidRPr="00DC3BDA">
        <w:rPr>
          <w:rFonts w:cs="Arial"/>
        </w:rPr>
        <w:t>In the three-compartment model, the total province-wide population size of a given species was evaluated as</w:t>
      </w:r>
      <w:r w:rsidR="00AF7C40" w:rsidRPr="00DC3BDA">
        <w:rPr>
          <w:rFonts w:cs="Arial"/>
        </w:rPr>
        <w:t>:</w:t>
      </w:r>
    </w:p>
    <w:p w:rsidR="00BF6DFD" w:rsidRPr="00DC3BDA" w:rsidRDefault="00BF6DFD" w:rsidP="00DC3BDA">
      <w:pPr>
        <w:rPr>
          <w:rFonts w:cs="Arial"/>
        </w:rPr>
      </w:pPr>
      <w:proofErr w:type="gramStart"/>
      <w:r w:rsidRPr="00DC3BDA">
        <w:rPr>
          <w:rFonts w:cs="Arial"/>
          <w:i/>
        </w:rPr>
        <w:t>POP</w:t>
      </w:r>
      <w:r w:rsidRPr="00DC3BDA">
        <w:rPr>
          <w:rFonts w:cs="Arial"/>
          <w:i/>
          <w:vertAlign w:val="subscript"/>
        </w:rPr>
        <w:t>TOTAL</w:t>
      </w:r>
      <w:r w:rsidRPr="00DC3BDA">
        <w:rPr>
          <w:rFonts w:cs="Arial"/>
          <w:vertAlign w:val="subscript"/>
        </w:rPr>
        <w:t xml:space="preserve"> </w:t>
      </w:r>
      <w:r w:rsidR="00E156F5" w:rsidRPr="00DC3BDA">
        <w:rPr>
          <w:rFonts w:cs="Arial"/>
        </w:rPr>
        <w:t xml:space="preserve"> =</w:t>
      </w:r>
      <w:proofErr w:type="gramEnd"/>
      <w:r w:rsidR="00E156F5" w:rsidRPr="00DC3BDA">
        <w:rPr>
          <w:rFonts w:cs="Arial"/>
        </w:rPr>
        <w:t xml:space="preserve"> </w:t>
      </w:r>
      <w:r w:rsidR="00E156F5" w:rsidRPr="00DC3BDA">
        <w:rPr>
          <w:rFonts w:cs="Arial"/>
          <w:i/>
        </w:rPr>
        <w:t>A(0) f(0)</w:t>
      </w:r>
      <w:r w:rsidR="00E156F5" w:rsidRPr="00DC3BDA">
        <w:rPr>
          <w:rFonts w:cs="Arial"/>
        </w:rPr>
        <w:t xml:space="preserve"> + </w:t>
      </w:r>
      <w:proofErr w:type="spellStart"/>
      <w:r w:rsidR="00E156F5" w:rsidRPr="00DC3BDA">
        <w:rPr>
          <w:rFonts w:cs="Arial"/>
          <w:i/>
        </w:rPr>
        <w:t>A</w:t>
      </w:r>
      <w:r w:rsidR="00E156F5" w:rsidRPr="00DC3BDA">
        <w:rPr>
          <w:rFonts w:cs="Arial"/>
          <w:i/>
          <w:vertAlign w:val="subscript"/>
        </w:rPr>
        <w:t>HNV</w:t>
      </w:r>
      <w:r w:rsidR="006B60FE" w:rsidRPr="00DC3BDA">
        <w:rPr>
          <w:rFonts w:cs="Arial"/>
          <w:i/>
          <w:vertAlign w:val="subscript"/>
        </w:rPr>
        <w:t>f</w:t>
      </w:r>
      <w:proofErr w:type="spellEnd"/>
      <w:r w:rsidR="00E156F5" w:rsidRPr="00DC3BDA">
        <w:rPr>
          <w:rFonts w:cs="Arial"/>
          <w:i/>
        </w:rPr>
        <w:t xml:space="preserve"> f(</w:t>
      </w:r>
      <w:proofErr w:type="spellStart"/>
      <w:r w:rsidR="00E156F5" w:rsidRPr="00DC3BDA">
        <w:rPr>
          <w:rFonts w:cs="Arial"/>
          <w:i/>
        </w:rPr>
        <w:t>x</w:t>
      </w:r>
      <w:r w:rsidR="00E156F5" w:rsidRPr="00DC3BDA">
        <w:rPr>
          <w:rFonts w:cs="Arial"/>
          <w:i/>
          <w:vertAlign w:val="subscript"/>
        </w:rPr>
        <w:t>HNV</w:t>
      </w:r>
      <w:r w:rsidR="00FB7645" w:rsidRPr="00DC3BDA">
        <w:rPr>
          <w:rFonts w:cs="Arial"/>
          <w:i/>
          <w:vertAlign w:val="subscript"/>
        </w:rPr>
        <w:t>f</w:t>
      </w:r>
      <w:proofErr w:type="spellEnd"/>
      <w:r w:rsidR="00E156F5" w:rsidRPr="00DC3BDA">
        <w:rPr>
          <w:rFonts w:cs="Arial"/>
          <w:i/>
        </w:rPr>
        <w:t xml:space="preserve">) </w:t>
      </w:r>
      <w:r w:rsidRPr="00DC3BDA">
        <w:rPr>
          <w:rFonts w:cs="Arial"/>
        </w:rPr>
        <w:t>+</w:t>
      </w:r>
      <w:r w:rsidR="00C05EC2" w:rsidRPr="00DC3BDA">
        <w:rPr>
          <w:rFonts w:cs="Arial"/>
        </w:rPr>
        <w:t xml:space="preserve"> </w:t>
      </w:r>
      <w:r w:rsidRPr="00DC3BDA">
        <w:rPr>
          <w:rFonts w:cs="Arial"/>
        </w:rPr>
        <w:t>(</w:t>
      </w:r>
      <w:r w:rsidRPr="00DC3BDA">
        <w:rPr>
          <w:rFonts w:cs="Arial"/>
          <w:i/>
        </w:rPr>
        <w:t>AAO</w:t>
      </w:r>
      <w:r w:rsidRPr="00DC3BDA">
        <w:rPr>
          <w:rFonts w:cs="Arial"/>
          <w:i/>
          <w:vertAlign w:val="subscript"/>
        </w:rPr>
        <w:t>TOTAL</w:t>
      </w:r>
      <w:r w:rsidRPr="00DC3BDA">
        <w:rPr>
          <w:rFonts w:cs="Arial"/>
        </w:rPr>
        <w:t>/</w:t>
      </w:r>
      <w:r w:rsidRPr="00DC3BDA">
        <w:rPr>
          <w:rFonts w:cs="Arial"/>
          <w:i/>
        </w:rPr>
        <w:t>x</w:t>
      </w:r>
      <w:r w:rsidRPr="00DC3BDA">
        <w:rPr>
          <w:rFonts w:cs="Arial"/>
        </w:rPr>
        <w:t xml:space="preserve">) </w:t>
      </w:r>
      <w:r w:rsidRPr="00DC3BDA">
        <w:rPr>
          <w:rFonts w:cs="Arial"/>
          <w:i/>
        </w:rPr>
        <w:t>f(</w:t>
      </w:r>
      <w:proofErr w:type="spellStart"/>
      <w:r w:rsidRPr="00DC3BDA">
        <w:rPr>
          <w:rFonts w:cs="Arial"/>
          <w:i/>
        </w:rPr>
        <w:t>x</w:t>
      </w:r>
      <w:r w:rsidRPr="00DC3BDA">
        <w:rPr>
          <w:rFonts w:cs="Arial"/>
          <w:i/>
          <w:vertAlign w:val="subscript"/>
        </w:rPr>
        <w:t>MAX</w:t>
      </w:r>
      <w:proofErr w:type="spellEnd"/>
      <w:r w:rsidRPr="00DC3BDA">
        <w:rPr>
          <w:rFonts w:cs="Arial"/>
          <w:i/>
        </w:rPr>
        <w:t>)</w:t>
      </w:r>
    </w:p>
    <w:p w:rsidR="00507A1B" w:rsidRPr="00DC3BDA" w:rsidRDefault="0031063E" w:rsidP="00DC3BDA">
      <w:pPr>
        <w:rPr>
          <w:rFonts w:cs="Arial"/>
        </w:rPr>
      </w:pPr>
      <w:r w:rsidRPr="00DC3BDA">
        <w:rPr>
          <w:rFonts w:cs="Arial"/>
        </w:rPr>
        <w:lastRenderedPageBreak/>
        <w:t xml:space="preserve">Where </w:t>
      </w:r>
      <w:proofErr w:type="gramStart"/>
      <w:r w:rsidRPr="00DC3BDA">
        <w:rPr>
          <w:rFonts w:cs="Arial"/>
          <w:i/>
        </w:rPr>
        <w:t>f(</w:t>
      </w:r>
      <w:proofErr w:type="gramEnd"/>
      <w:r w:rsidRPr="00DC3BDA">
        <w:rPr>
          <w:rFonts w:cs="Arial"/>
          <w:i/>
        </w:rPr>
        <w:t>0)</w:t>
      </w:r>
      <w:r w:rsidR="00507A1B" w:rsidRPr="00DC3BDA">
        <w:rPr>
          <w:rFonts w:cs="Arial"/>
        </w:rPr>
        <w:t>,</w:t>
      </w:r>
      <w:r w:rsidRPr="00DC3BDA">
        <w:rPr>
          <w:rFonts w:cs="Arial"/>
        </w:rPr>
        <w:t xml:space="preserve"> </w:t>
      </w:r>
      <w:r w:rsidRPr="00DC3BDA">
        <w:rPr>
          <w:rFonts w:cs="Arial"/>
          <w:i/>
        </w:rPr>
        <w:t>f(</w:t>
      </w:r>
      <w:proofErr w:type="spellStart"/>
      <w:r w:rsidRPr="00DC3BDA">
        <w:rPr>
          <w:rFonts w:cs="Arial"/>
          <w:i/>
        </w:rPr>
        <w:t>x</w:t>
      </w:r>
      <w:r w:rsidR="00E156F5" w:rsidRPr="00DC3BDA">
        <w:rPr>
          <w:rFonts w:cs="Arial"/>
          <w:i/>
          <w:vertAlign w:val="subscript"/>
        </w:rPr>
        <w:t>HNV</w:t>
      </w:r>
      <w:proofErr w:type="spellEnd"/>
      <w:r w:rsidRPr="00DC3BDA">
        <w:rPr>
          <w:rFonts w:cs="Arial"/>
          <w:i/>
        </w:rPr>
        <w:t>)</w:t>
      </w:r>
      <w:r w:rsidRPr="00DC3BDA">
        <w:rPr>
          <w:rFonts w:cs="Arial"/>
        </w:rPr>
        <w:t xml:space="preserve"> and f(</w:t>
      </w:r>
      <w:proofErr w:type="spellStart"/>
      <w:r w:rsidRPr="00DC3BDA">
        <w:rPr>
          <w:rFonts w:cs="Arial"/>
        </w:rPr>
        <w:t>x</w:t>
      </w:r>
      <w:r w:rsidR="00507A1B" w:rsidRPr="00DC3BDA">
        <w:rPr>
          <w:rFonts w:cs="Arial"/>
          <w:i/>
          <w:vertAlign w:val="subscript"/>
        </w:rPr>
        <w:t>MAX</w:t>
      </w:r>
      <w:proofErr w:type="spellEnd"/>
      <w:r w:rsidRPr="00DC3BDA">
        <w:rPr>
          <w:rFonts w:cs="Arial"/>
        </w:rPr>
        <w:t xml:space="preserve">) are expected values of population density at zero yield and the yields </w:t>
      </w:r>
      <w:proofErr w:type="spellStart"/>
      <w:r w:rsidRPr="00DC3BDA">
        <w:rPr>
          <w:rFonts w:cs="Arial"/>
        </w:rPr>
        <w:t>x</w:t>
      </w:r>
      <w:r w:rsidR="00E156F5" w:rsidRPr="00DC3BDA">
        <w:rPr>
          <w:rFonts w:cs="Arial"/>
          <w:vertAlign w:val="subscript"/>
        </w:rPr>
        <w:t>HNV</w:t>
      </w:r>
      <w:r w:rsidR="00507A1B" w:rsidRPr="00DC3BDA">
        <w:rPr>
          <w:rFonts w:cs="Arial"/>
          <w:vertAlign w:val="subscript"/>
        </w:rPr>
        <w:t>f</w:t>
      </w:r>
      <w:proofErr w:type="spellEnd"/>
      <w:r w:rsidRPr="00DC3BDA">
        <w:rPr>
          <w:rFonts w:cs="Arial"/>
        </w:rPr>
        <w:t xml:space="preserve"> and </w:t>
      </w:r>
      <w:proofErr w:type="spellStart"/>
      <w:r w:rsidRPr="00DC3BDA">
        <w:rPr>
          <w:rFonts w:cs="Arial"/>
        </w:rPr>
        <w:t>x</w:t>
      </w:r>
      <w:r w:rsidR="00507A1B" w:rsidRPr="00DC3BDA">
        <w:rPr>
          <w:rFonts w:cs="Arial"/>
          <w:i/>
          <w:vertAlign w:val="subscript"/>
        </w:rPr>
        <w:t>MAX</w:t>
      </w:r>
      <w:proofErr w:type="spellEnd"/>
      <w:r w:rsidRPr="00DC3BDA">
        <w:rPr>
          <w:rFonts w:cs="Arial"/>
        </w:rPr>
        <w:t xml:space="preserve"> assumed to apply to the </w:t>
      </w:r>
      <w:proofErr w:type="spellStart"/>
      <w:r w:rsidR="00507A1B" w:rsidRPr="00DC3BDA">
        <w:rPr>
          <w:rFonts w:cs="Arial"/>
        </w:rPr>
        <w:t>HNVf</w:t>
      </w:r>
      <w:proofErr w:type="spellEnd"/>
      <w:r w:rsidRPr="00DC3BDA">
        <w:rPr>
          <w:rFonts w:cs="Arial"/>
        </w:rPr>
        <w:t xml:space="preserve"> and high-yielding farmed parts of the </w:t>
      </w:r>
      <w:r w:rsidR="00507A1B" w:rsidRPr="00DC3BDA">
        <w:rPr>
          <w:rFonts w:cs="Arial"/>
        </w:rPr>
        <w:t>region</w:t>
      </w:r>
      <w:r w:rsidRPr="00DC3BDA">
        <w:rPr>
          <w:rFonts w:cs="Arial"/>
        </w:rPr>
        <w:t xml:space="preserve"> respectively.  </w:t>
      </w:r>
    </w:p>
    <w:p w:rsidR="00457FDF" w:rsidRPr="00DC3BDA" w:rsidRDefault="00457FDF" w:rsidP="0034544A">
      <w:pPr>
        <w:rPr>
          <w:rFonts w:cs="Arial"/>
        </w:rPr>
      </w:pPr>
      <w:r w:rsidRPr="00DC3BDA">
        <w:rPr>
          <w:rFonts w:cs="Arial"/>
        </w:rPr>
        <w:t xml:space="preserve">For the purposes of estimating population densities for </w:t>
      </w:r>
      <w:proofErr w:type="spellStart"/>
      <w:r w:rsidRPr="00DC3BDA">
        <w:rPr>
          <w:rFonts w:cs="Arial"/>
          <w:i/>
        </w:rPr>
        <w:t>A</w:t>
      </w:r>
      <w:r w:rsidRPr="00DC3BDA">
        <w:rPr>
          <w:rFonts w:cs="Arial"/>
          <w:i/>
          <w:vertAlign w:val="subscript"/>
        </w:rPr>
        <w:t>HNVf</w:t>
      </w:r>
      <w:proofErr w:type="spellEnd"/>
      <w:r w:rsidRPr="00DC3BDA">
        <w:rPr>
          <w:rFonts w:cs="Arial"/>
          <w:vertAlign w:val="subscript"/>
        </w:rPr>
        <w:t xml:space="preserve"> </w:t>
      </w:r>
      <w:r w:rsidRPr="00DC3BDA">
        <w:rPr>
          <w:rFonts w:cs="Arial"/>
        </w:rPr>
        <w:t xml:space="preserve">using species’ density-yield curves, we assume management of this ‘compartment’ reflects low-yielding farming with a theoretical yield of </w:t>
      </w:r>
      <w:proofErr w:type="spellStart"/>
      <w:r w:rsidRPr="00DC3BDA">
        <w:rPr>
          <w:rFonts w:cs="Arial"/>
          <w:i/>
        </w:rPr>
        <w:t>x</w:t>
      </w:r>
      <w:r w:rsidRPr="00DC3BDA">
        <w:rPr>
          <w:rFonts w:cs="Arial"/>
          <w:i/>
          <w:vertAlign w:val="subscript"/>
        </w:rPr>
        <w:t>HNVf</w:t>
      </w:r>
      <w:proofErr w:type="spellEnd"/>
      <w:r w:rsidRPr="00DC3BDA">
        <w:rPr>
          <w:rFonts w:cs="Arial"/>
        </w:rPr>
        <w:t xml:space="preserve">. </w:t>
      </w:r>
      <w:r w:rsidR="00DA76D0">
        <w:rPr>
          <w:rFonts w:cs="Arial"/>
        </w:rPr>
        <w:t xml:space="preserve"> </w:t>
      </w:r>
      <w:r w:rsidRPr="00DC3BDA">
        <w:rPr>
          <w:rFonts w:cs="Arial"/>
        </w:rPr>
        <w:t xml:space="preserve">This could be any value outside the feasible range of yields for a given value of </w:t>
      </w:r>
      <w:r w:rsidRPr="00DC3BDA">
        <w:rPr>
          <w:rFonts w:cs="Arial"/>
          <w:i/>
        </w:rPr>
        <w:t>AAO</w:t>
      </w:r>
      <w:r w:rsidRPr="00DC3BDA">
        <w:rPr>
          <w:rFonts w:cs="Arial"/>
          <w:i/>
          <w:vertAlign w:val="subscript"/>
        </w:rPr>
        <w:t>TOTAL</w:t>
      </w:r>
      <w:r w:rsidRPr="00DC3BDA">
        <w:rPr>
          <w:rFonts w:cs="Arial"/>
        </w:rPr>
        <w:t>.</w:t>
      </w:r>
      <w:r w:rsidR="00797D5C">
        <w:rPr>
          <w:rFonts w:cs="Arial"/>
        </w:rPr>
        <w:t xml:space="preserve">  </w:t>
      </w:r>
      <w:r w:rsidRPr="00DC3BDA">
        <w:rPr>
          <w:rFonts w:cs="Arial"/>
        </w:rPr>
        <w:t xml:space="preserve">For this study, we assumed </w:t>
      </w:r>
      <w:proofErr w:type="spellStart"/>
      <w:r w:rsidRPr="00DC3BDA">
        <w:rPr>
          <w:rFonts w:cs="Arial"/>
          <w:i/>
        </w:rPr>
        <w:t>x</w:t>
      </w:r>
      <w:r w:rsidRPr="00DC3BDA">
        <w:rPr>
          <w:rFonts w:cs="Arial"/>
          <w:i/>
          <w:vertAlign w:val="subscript"/>
        </w:rPr>
        <w:t>HNVf</w:t>
      </w:r>
      <w:proofErr w:type="spellEnd"/>
      <w:r w:rsidRPr="00DC3BDA">
        <w:rPr>
          <w:rFonts w:cs="Arial"/>
        </w:rPr>
        <w:t xml:space="preserve">  to be the mean yield of all the study sites where average yields fell below the minimum feasible yield for 2050</w:t>
      </w:r>
      <w:r w:rsidR="00C05EC2" w:rsidRPr="00DC3BDA">
        <w:rPr>
          <w:rFonts w:cs="Arial"/>
        </w:rPr>
        <w:t xml:space="preserve"> -</w:t>
      </w:r>
      <w:r w:rsidRPr="00DC3BDA">
        <w:rPr>
          <w:rFonts w:cs="Arial"/>
        </w:rPr>
        <w:t xml:space="preserve"> i.e. below the minimum yield for </w:t>
      </w:r>
      <w:r w:rsidR="00C05EC2" w:rsidRPr="00DC3BDA">
        <w:rPr>
          <w:rFonts w:cs="Arial"/>
        </w:rPr>
        <w:t>our Lower Bound</w:t>
      </w:r>
      <w:r w:rsidRPr="00DC3BDA">
        <w:rPr>
          <w:rFonts w:cs="Arial"/>
        </w:rPr>
        <w:t xml:space="preserve"> scenario (8GJ ha</w:t>
      </w:r>
      <w:r w:rsidRPr="00DC3BDA">
        <w:rPr>
          <w:rFonts w:cs="Arial"/>
          <w:vertAlign w:val="superscript"/>
        </w:rPr>
        <w:t>-1</w:t>
      </w:r>
      <w:r w:rsidRPr="00DC3BDA">
        <w:rPr>
          <w:rFonts w:cs="Arial"/>
        </w:rPr>
        <w:t xml:space="preserve"> yr</w:t>
      </w:r>
      <w:r w:rsidRPr="00DC3BDA">
        <w:rPr>
          <w:rFonts w:cs="Arial"/>
          <w:vertAlign w:val="superscript"/>
        </w:rPr>
        <w:t>-1</w:t>
      </w:r>
      <w:r w:rsidRPr="00DC3BDA">
        <w:rPr>
          <w:rFonts w:cs="Arial"/>
        </w:rPr>
        <w:t>, n=9).</w:t>
      </w:r>
      <w:r w:rsidR="00DA76D0">
        <w:rPr>
          <w:rFonts w:cs="Arial"/>
        </w:rPr>
        <w:t xml:space="preserve"> </w:t>
      </w:r>
      <w:r w:rsidRPr="00DC3BDA">
        <w:rPr>
          <w:rFonts w:cs="Arial"/>
        </w:rPr>
        <w:t xml:space="preserve"> These sites are characterised by farmland with a high proportion of semi-natural habitat; mosaics of low</w:t>
      </w:r>
      <w:r w:rsidR="00031030" w:rsidRPr="00DC3BDA">
        <w:rPr>
          <w:rFonts w:cs="Arial"/>
        </w:rPr>
        <w:t>-</w:t>
      </w:r>
      <w:r w:rsidRPr="00DC3BDA">
        <w:rPr>
          <w:rFonts w:cs="Arial"/>
        </w:rPr>
        <w:t>inten</w:t>
      </w:r>
      <w:r w:rsidR="00031030" w:rsidRPr="00DC3BDA">
        <w:rPr>
          <w:rFonts w:cs="Arial"/>
        </w:rPr>
        <w:t>sity agriculture and natural</w:t>
      </w:r>
      <w:r w:rsidR="007E5A17">
        <w:rPr>
          <w:rFonts w:cs="Arial"/>
        </w:rPr>
        <w:t xml:space="preserve"> structural </w:t>
      </w:r>
      <w:r w:rsidRPr="00DC3BDA">
        <w:rPr>
          <w:rFonts w:cs="Arial"/>
        </w:rPr>
        <w:t xml:space="preserve">elements; and/or farmland supporting rare species or species of conservation concern – meeting the criteria for the three types of HNV farming described by the European Environment Agency </w:t>
      </w:r>
      <w:r w:rsidR="00982FC4">
        <w:rPr>
          <w:rFonts w:cs="Arial"/>
        </w:rPr>
        <w:t>[3</w:t>
      </w:r>
      <w:r w:rsidR="00DE4C8D">
        <w:rPr>
          <w:rFonts w:cs="Arial"/>
        </w:rPr>
        <w:t>1</w:t>
      </w:r>
      <w:r w:rsidR="00982FC4">
        <w:rPr>
          <w:rFonts w:cs="Arial"/>
        </w:rPr>
        <w:t>]</w:t>
      </w:r>
      <w:r w:rsidRPr="00DC3BDA">
        <w:rPr>
          <w:rFonts w:cs="Arial"/>
        </w:rPr>
        <w:t xml:space="preserve">. </w:t>
      </w:r>
    </w:p>
    <w:p w:rsidR="0031063E" w:rsidRPr="00DC3BDA" w:rsidRDefault="00457FDF" w:rsidP="00DC3BDA">
      <w:pPr>
        <w:rPr>
          <w:rFonts w:cs="Arial"/>
        </w:rPr>
      </w:pPr>
      <w:r w:rsidRPr="00DC3BDA">
        <w:rPr>
          <w:rFonts w:cs="Arial"/>
        </w:rPr>
        <w:t xml:space="preserve">Although we assign </w:t>
      </w:r>
      <w:proofErr w:type="spellStart"/>
      <w:r w:rsidRPr="00DC3BDA">
        <w:rPr>
          <w:rFonts w:cs="Arial"/>
        </w:rPr>
        <w:t>HNVf</w:t>
      </w:r>
      <w:proofErr w:type="spellEnd"/>
      <w:r w:rsidRPr="00DC3BDA">
        <w:rPr>
          <w:rFonts w:cs="Arial"/>
        </w:rPr>
        <w:t xml:space="preserve"> a theoretical yield value for the purposes of estimating population densities, w</w:t>
      </w:r>
      <w:r w:rsidR="00507A1B" w:rsidRPr="00DC3BDA">
        <w:rPr>
          <w:rFonts w:cs="Arial"/>
        </w:rPr>
        <w:t xml:space="preserve">e conservatively assume that </w:t>
      </w:r>
      <w:proofErr w:type="spellStart"/>
      <w:r w:rsidR="00507A1B" w:rsidRPr="00DC3BDA">
        <w:rPr>
          <w:rFonts w:cs="Arial"/>
        </w:rPr>
        <w:t>HNVf</w:t>
      </w:r>
      <w:proofErr w:type="spellEnd"/>
      <w:r w:rsidR="00507A1B" w:rsidRPr="00DC3BDA">
        <w:rPr>
          <w:rFonts w:cs="Arial"/>
        </w:rPr>
        <w:t xml:space="preserve"> makes zero contribution to </w:t>
      </w:r>
      <w:r w:rsidR="00507A1B" w:rsidRPr="00DC3BDA">
        <w:rPr>
          <w:rFonts w:cs="Arial"/>
          <w:i/>
        </w:rPr>
        <w:t>AAO</w:t>
      </w:r>
      <w:r w:rsidR="00507A1B" w:rsidRPr="00DC3BDA">
        <w:rPr>
          <w:rFonts w:cs="Arial"/>
          <w:i/>
          <w:vertAlign w:val="subscript"/>
        </w:rPr>
        <w:t>TOTAL</w:t>
      </w:r>
      <w:r w:rsidR="00507A1B" w:rsidRPr="00DC3BDA">
        <w:rPr>
          <w:rFonts w:cs="Arial"/>
        </w:rPr>
        <w:t xml:space="preserve">, as this </w:t>
      </w:r>
      <w:r w:rsidR="00AC5453" w:rsidRPr="00DC3BDA">
        <w:rPr>
          <w:rFonts w:cs="Arial"/>
        </w:rPr>
        <w:t xml:space="preserve">effectively de-couples the yield of this compartment from </w:t>
      </w:r>
      <w:r w:rsidR="00AC5453" w:rsidRPr="00DC3BDA">
        <w:rPr>
          <w:rFonts w:cs="Arial"/>
          <w:i/>
        </w:rPr>
        <w:t>AAO</w:t>
      </w:r>
      <w:r w:rsidR="00AC5453" w:rsidRPr="00DC3BDA">
        <w:rPr>
          <w:rFonts w:cs="Arial"/>
          <w:i/>
          <w:vertAlign w:val="subscript"/>
        </w:rPr>
        <w:t>TOTAL</w:t>
      </w:r>
      <w:r w:rsidR="00AC5453" w:rsidRPr="00DC3BDA">
        <w:rPr>
          <w:rFonts w:cs="Arial"/>
        </w:rPr>
        <w:t xml:space="preserve"> </w:t>
      </w:r>
      <w:r w:rsidR="00507A1B" w:rsidRPr="00DC3BDA">
        <w:rPr>
          <w:rFonts w:cs="Arial"/>
        </w:rPr>
        <w:t>and</w:t>
      </w:r>
      <w:r w:rsidR="00AC5453" w:rsidRPr="00DC3BDA">
        <w:rPr>
          <w:rFonts w:cs="Arial"/>
        </w:rPr>
        <w:t xml:space="preserve"> theoretically</w:t>
      </w:r>
      <w:r w:rsidR="00507A1B" w:rsidRPr="00DC3BDA">
        <w:rPr>
          <w:rFonts w:cs="Arial"/>
        </w:rPr>
        <w:t xml:space="preserve"> allows for a range of management options</w:t>
      </w:r>
      <w:r w:rsidR="00C05EC2" w:rsidRPr="00DC3BDA">
        <w:rPr>
          <w:rFonts w:cs="Arial"/>
        </w:rPr>
        <w:t>,</w:t>
      </w:r>
      <w:r w:rsidR="00507A1B" w:rsidRPr="00DC3BDA">
        <w:rPr>
          <w:rFonts w:cs="Arial"/>
        </w:rPr>
        <w:t xml:space="preserve"> including </w:t>
      </w:r>
      <w:r w:rsidR="00C05EC2" w:rsidRPr="00DC3BDA">
        <w:rPr>
          <w:rFonts w:cs="Arial"/>
        </w:rPr>
        <w:t xml:space="preserve">management </w:t>
      </w:r>
      <w:r w:rsidR="00507A1B" w:rsidRPr="00DC3BDA">
        <w:rPr>
          <w:rFonts w:cs="Arial"/>
        </w:rPr>
        <w:t>solely for conservation purposes (e.g. through targeted conservation projects or through conservation grazing). W</w:t>
      </w:r>
      <w:r w:rsidR="0031063E" w:rsidRPr="00DC3BDA">
        <w:rPr>
          <w:rFonts w:cs="Arial"/>
        </w:rPr>
        <w:t xml:space="preserve">e </w:t>
      </w:r>
      <w:r w:rsidR="00507A1B" w:rsidRPr="00DC3BDA">
        <w:rPr>
          <w:rFonts w:cs="Arial"/>
        </w:rPr>
        <w:t>therefore note</w:t>
      </w:r>
      <w:r w:rsidR="0031063E" w:rsidRPr="00DC3BDA">
        <w:rPr>
          <w:rFonts w:cs="Arial"/>
        </w:rPr>
        <w:t xml:space="preserve"> that the combined extent of </w:t>
      </w:r>
      <w:r w:rsidR="00AF7C40" w:rsidRPr="00DC3BDA">
        <w:rPr>
          <w:rFonts w:cs="Arial"/>
        </w:rPr>
        <w:t xml:space="preserve">natural habitat </w:t>
      </w:r>
      <w:proofErr w:type="gramStart"/>
      <w:r w:rsidR="00AF7C40" w:rsidRPr="00DC3BDA">
        <w:rPr>
          <w:rFonts w:cs="Arial"/>
          <w:i/>
        </w:rPr>
        <w:t>A(</w:t>
      </w:r>
      <w:proofErr w:type="gramEnd"/>
      <w:r w:rsidR="00AF7C40" w:rsidRPr="00DC3BDA">
        <w:rPr>
          <w:rFonts w:cs="Arial"/>
          <w:i/>
        </w:rPr>
        <w:t xml:space="preserve">0) </w:t>
      </w:r>
      <w:r w:rsidR="0031063E" w:rsidRPr="00DC3BDA">
        <w:rPr>
          <w:rFonts w:cs="Arial"/>
        </w:rPr>
        <w:t xml:space="preserve">and </w:t>
      </w:r>
      <w:proofErr w:type="spellStart"/>
      <w:r w:rsidR="00AC5453" w:rsidRPr="00DC3BDA">
        <w:rPr>
          <w:rFonts w:cs="Arial"/>
        </w:rPr>
        <w:t>HNVf</w:t>
      </w:r>
      <w:proofErr w:type="spellEnd"/>
      <w:r w:rsidR="00AF7C40" w:rsidRPr="00DC3BDA">
        <w:rPr>
          <w:rFonts w:cs="Arial"/>
        </w:rPr>
        <w:t xml:space="preserve"> (</w:t>
      </w:r>
      <w:proofErr w:type="spellStart"/>
      <w:r w:rsidR="00AF7C40" w:rsidRPr="00DC3BDA">
        <w:rPr>
          <w:rFonts w:cs="Arial"/>
          <w:i/>
        </w:rPr>
        <w:t>A</w:t>
      </w:r>
      <w:r w:rsidR="00AF7C40" w:rsidRPr="00DC3BDA">
        <w:rPr>
          <w:rFonts w:cs="Arial"/>
          <w:i/>
          <w:vertAlign w:val="subscript"/>
        </w:rPr>
        <w:t>HNV</w:t>
      </w:r>
      <w:r w:rsidR="00AC5453" w:rsidRPr="00DC3BDA">
        <w:rPr>
          <w:rFonts w:cs="Arial"/>
          <w:i/>
          <w:vertAlign w:val="subscript"/>
        </w:rPr>
        <w:t>f</w:t>
      </w:r>
      <w:proofErr w:type="spellEnd"/>
      <w:r w:rsidR="00AF7C40" w:rsidRPr="00DC3BDA">
        <w:rPr>
          <w:rFonts w:cs="Arial"/>
        </w:rPr>
        <w:t xml:space="preserve">) </w:t>
      </w:r>
      <w:r w:rsidR="0031063E" w:rsidRPr="00DC3BDA">
        <w:rPr>
          <w:rFonts w:cs="Arial"/>
        </w:rPr>
        <w:t>is set by the area spared by high-yielding farming, so that</w:t>
      </w:r>
    </w:p>
    <w:p w:rsidR="0031063E" w:rsidRPr="00DC3BDA" w:rsidRDefault="00AF7C40" w:rsidP="00DC3BDA">
      <w:pPr>
        <w:rPr>
          <w:rFonts w:cs="Arial"/>
        </w:rPr>
      </w:pPr>
      <w:proofErr w:type="gramStart"/>
      <w:r w:rsidRPr="00DC3BDA">
        <w:rPr>
          <w:rFonts w:cs="Arial"/>
          <w:i/>
        </w:rPr>
        <w:t>A(</w:t>
      </w:r>
      <w:proofErr w:type="gramEnd"/>
      <w:r w:rsidRPr="00DC3BDA">
        <w:rPr>
          <w:rFonts w:cs="Arial"/>
          <w:i/>
        </w:rPr>
        <w:t xml:space="preserve">0) </w:t>
      </w:r>
      <w:r w:rsidRPr="00DC3BDA">
        <w:rPr>
          <w:rFonts w:cs="Arial"/>
        </w:rPr>
        <w:t xml:space="preserve">+ </w:t>
      </w:r>
      <w:proofErr w:type="spellStart"/>
      <w:r w:rsidRPr="00DC3BDA">
        <w:rPr>
          <w:rFonts w:cs="Arial"/>
          <w:i/>
        </w:rPr>
        <w:t>A</w:t>
      </w:r>
      <w:r w:rsidRPr="00DC3BDA">
        <w:rPr>
          <w:rFonts w:cs="Arial"/>
          <w:i/>
          <w:vertAlign w:val="subscript"/>
        </w:rPr>
        <w:t>HNV</w:t>
      </w:r>
      <w:r w:rsidR="006B60FE" w:rsidRPr="00DC3BDA">
        <w:rPr>
          <w:rFonts w:cs="Arial"/>
          <w:i/>
          <w:vertAlign w:val="subscript"/>
        </w:rPr>
        <w:t>f</w:t>
      </w:r>
      <w:proofErr w:type="spellEnd"/>
      <w:r w:rsidRPr="00DC3BDA">
        <w:rPr>
          <w:rFonts w:cs="Arial"/>
        </w:rPr>
        <w:t xml:space="preserve"> </w:t>
      </w:r>
      <w:r w:rsidR="00507A1B" w:rsidRPr="00DC3BDA">
        <w:rPr>
          <w:rFonts w:cs="Arial"/>
        </w:rPr>
        <w:t>=</w:t>
      </w:r>
      <w:r w:rsidR="00507A1B" w:rsidRPr="00DC3BDA">
        <w:rPr>
          <w:rFonts w:cs="Arial"/>
          <w:i/>
        </w:rPr>
        <w:t>A</w:t>
      </w:r>
      <w:r w:rsidR="00507A1B" w:rsidRPr="00DC3BDA">
        <w:rPr>
          <w:rFonts w:cs="Arial"/>
        </w:rPr>
        <w:t>-(</w:t>
      </w:r>
      <w:r w:rsidR="00507A1B" w:rsidRPr="00DC3BDA">
        <w:rPr>
          <w:rFonts w:cs="Arial"/>
          <w:i/>
        </w:rPr>
        <w:t>AA</w:t>
      </w:r>
      <w:r w:rsidRPr="00DC3BDA">
        <w:rPr>
          <w:rFonts w:cs="Arial"/>
          <w:i/>
        </w:rPr>
        <w:t>O</w:t>
      </w:r>
      <w:r w:rsidRPr="00DC3BDA">
        <w:rPr>
          <w:rFonts w:cs="Arial"/>
          <w:i/>
          <w:vertAlign w:val="subscript"/>
        </w:rPr>
        <w:t>TOTAL</w:t>
      </w:r>
      <w:r w:rsidRPr="00DC3BDA">
        <w:rPr>
          <w:rFonts w:cs="Arial"/>
        </w:rPr>
        <w:t>/</w:t>
      </w:r>
      <w:proofErr w:type="spellStart"/>
      <w:r w:rsidRPr="00DC3BDA">
        <w:rPr>
          <w:rFonts w:cs="Arial"/>
          <w:i/>
        </w:rPr>
        <w:t>x</w:t>
      </w:r>
      <w:r w:rsidRPr="00DC3BDA">
        <w:rPr>
          <w:rFonts w:cs="Arial"/>
          <w:i/>
          <w:vertAlign w:val="subscript"/>
        </w:rPr>
        <w:t>MAX</w:t>
      </w:r>
      <w:proofErr w:type="spellEnd"/>
      <w:r w:rsidRPr="00DC3BDA">
        <w:rPr>
          <w:rFonts w:cs="Arial"/>
        </w:rPr>
        <w:t>)</w:t>
      </w:r>
    </w:p>
    <w:p w:rsidR="00457FDF" w:rsidRPr="00DC3BDA" w:rsidRDefault="0031063E" w:rsidP="00DC3BDA">
      <w:pPr>
        <w:rPr>
          <w:rFonts w:cs="Arial"/>
        </w:rPr>
      </w:pPr>
      <w:r w:rsidRPr="00DC3BDA">
        <w:rPr>
          <w:rFonts w:cs="Arial"/>
        </w:rPr>
        <w:t xml:space="preserve">Subject to this constraint, any values of </w:t>
      </w:r>
      <w:proofErr w:type="gramStart"/>
      <w:r w:rsidR="006B60FE" w:rsidRPr="00DC3BDA">
        <w:rPr>
          <w:rFonts w:cs="Arial"/>
          <w:i/>
        </w:rPr>
        <w:t>A(</w:t>
      </w:r>
      <w:proofErr w:type="gramEnd"/>
      <w:r w:rsidR="006B60FE" w:rsidRPr="00DC3BDA">
        <w:rPr>
          <w:rFonts w:cs="Arial"/>
          <w:i/>
        </w:rPr>
        <w:t>0)</w:t>
      </w:r>
      <w:r w:rsidRPr="00DC3BDA">
        <w:rPr>
          <w:rFonts w:cs="Arial"/>
        </w:rPr>
        <w:t xml:space="preserve"> and </w:t>
      </w:r>
      <w:r w:rsidR="006B60FE" w:rsidRPr="00DC3BDA">
        <w:rPr>
          <w:rFonts w:cs="Arial"/>
          <w:i/>
        </w:rPr>
        <w:t>A</w:t>
      </w:r>
      <w:r w:rsidR="006B60FE" w:rsidRPr="00DC3BDA">
        <w:rPr>
          <w:rFonts w:cs="Arial"/>
          <w:i/>
          <w:vertAlign w:val="subscript"/>
        </w:rPr>
        <w:t>HNV</w:t>
      </w:r>
      <w:r w:rsidRPr="00DC3BDA">
        <w:rPr>
          <w:rFonts w:cs="Arial"/>
        </w:rPr>
        <w:t xml:space="preserve"> could be assumed, so the proportion of spared land </w:t>
      </w:r>
      <w:r w:rsidR="006B60FE" w:rsidRPr="00DC3BDA">
        <w:rPr>
          <w:rFonts w:cs="Arial"/>
        </w:rPr>
        <w:t>(</w:t>
      </w:r>
      <w:r w:rsidR="00507A1B" w:rsidRPr="00DC3BDA">
        <w:rPr>
          <w:rFonts w:cs="Arial"/>
          <w:i/>
        </w:rPr>
        <w:t>A</w:t>
      </w:r>
      <w:r w:rsidR="00507A1B" w:rsidRPr="00DC3BDA">
        <w:rPr>
          <w:rFonts w:cs="Arial"/>
          <w:i/>
          <w:vertAlign w:val="subscript"/>
        </w:rPr>
        <w:t>u</w:t>
      </w:r>
      <w:r w:rsidR="006B60FE" w:rsidRPr="00DC3BDA">
        <w:rPr>
          <w:rFonts w:cs="Arial"/>
        </w:rPr>
        <w:t xml:space="preserve">) </w:t>
      </w:r>
      <w:r w:rsidRPr="00DC3BDA">
        <w:rPr>
          <w:rFonts w:cs="Arial"/>
        </w:rPr>
        <w:t xml:space="preserve">that was </w:t>
      </w:r>
      <w:proofErr w:type="spellStart"/>
      <w:r w:rsidR="006B60FE" w:rsidRPr="00DC3BDA">
        <w:rPr>
          <w:rFonts w:cs="Arial"/>
        </w:rPr>
        <w:t>HNVf</w:t>
      </w:r>
      <w:proofErr w:type="spellEnd"/>
      <w:r w:rsidR="006B60FE" w:rsidRPr="00DC3BDA">
        <w:rPr>
          <w:rFonts w:cs="Arial"/>
        </w:rPr>
        <w:t xml:space="preserve"> (</w:t>
      </w:r>
      <w:r w:rsidR="006B60FE" w:rsidRPr="00DC3BDA">
        <w:rPr>
          <w:rFonts w:cs="Arial"/>
          <w:i/>
        </w:rPr>
        <w:t>A</w:t>
      </w:r>
      <w:r w:rsidR="006B60FE" w:rsidRPr="00DC3BDA">
        <w:rPr>
          <w:rFonts w:cs="Arial"/>
          <w:i/>
          <w:vertAlign w:val="subscript"/>
        </w:rPr>
        <w:t>HNV</w:t>
      </w:r>
      <w:r w:rsidR="006B60FE" w:rsidRPr="00DC3BDA">
        <w:rPr>
          <w:rFonts w:cs="Arial"/>
        </w:rPr>
        <w:t xml:space="preserve"> /</w:t>
      </w:r>
      <w:r w:rsidR="006B60FE" w:rsidRPr="00DC3BDA">
        <w:rPr>
          <w:rFonts w:cs="Arial"/>
          <w:i/>
        </w:rPr>
        <w:t xml:space="preserve"> A(0) </w:t>
      </w:r>
      <w:r w:rsidR="006B60FE" w:rsidRPr="00DC3BDA">
        <w:rPr>
          <w:rFonts w:cs="Arial"/>
        </w:rPr>
        <w:t xml:space="preserve">+ </w:t>
      </w:r>
      <w:proofErr w:type="spellStart"/>
      <w:r w:rsidR="006B60FE" w:rsidRPr="00DC3BDA">
        <w:rPr>
          <w:rFonts w:cs="Arial"/>
          <w:i/>
        </w:rPr>
        <w:t>A</w:t>
      </w:r>
      <w:r w:rsidR="006B60FE" w:rsidRPr="00DC3BDA">
        <w:rPr>
          <w:rFonts w:cs="Arial"/>
          <w:i/>
          <w:vertAlign w:val="subscript"/>
        </w:rPr>
        <w:t>HNVf</w:t>
      </w:r>
      <w:proofErr w:type="spellEnd"/>
      <w:r w:rsidR="006B60FE" w:rsidRPr="00DC3BDA">
        <w:rPr>
          <w:rFonts w:cs="Arial"/>
        </w:rPr>
        <w:t xml:space="preserve">) </w:t>
      </w:r>
      <w:r w:rsidRPr="00DC3BDA">
        <w:rPr>
          <w:rFonts w:cs="Arial"/>
        </w:rPr>
        <w:t>could take any value between zero and one.</w:t>
      </w:r>
      <w:r w:rsidR="00711611" w:rsidRPr="00DC3BDA">
        <w:rPr>
          <w:rFonts w:cs="Arial"/>
        </w:rPr>
        <w:t xml:space="preserve"> </w:t>
      </w:r>
    </w:p>
    <w:p w:rsidR="00457FDF" w:rsidRPr="00DC3BDA" w:rsidRDefault="00457FDF" w:rsidP="00DC3BDA">
      <w:pPr>
        <w:rPr>
          <w:rFonts w:cs="Arial"/>
        </w:rPr>
      </w:pPr>
      <w:r w:rsidRPr="00DC3BDA">
        <w:rPr>
          <w:rFonts w:cs="Arial"/>
        </w:rPr>
        <w:t xml:space="preserve">In this model, we set </w:t>
      </w:r>
      <w:r w:rsidRPr="00DC3BDA">
        <w:rPr>
          <w:rFonts w:cs="Arial"/>
          <w:i/>
        </w:rPr>
        <w:t>A</w:t>
      </w:r>
      <w:r w:rsidRPr="00DC3BDA">
        <w:rPr>
          <w:rFonts w:cs="Arial"/>
          <w:i/>
          <w:vertAlign w:val="subscript"/>
        </w:rPr>
        <w:t>HNV</w:t>
      </w:r>
      <w:r w:rsidRPr="00DC3BDA">
        <w:rPr>
          <w:rFonts w:cs="Arial"/>
          <w:i/>
        </w:rPr>
        <w:t xml:space="preserve"> </w:t>
      </w:r>
      <w:r w:rsidRPr="00DC3BDA">
        <w:rPr>
          <w:rFonts w:cs="Arial"/>
        </w:rPr>
        <w:t xml:space="preserve">as that which maximised the geometric mean of the ratio of the predicted total population to </w:t>
      </w:r>
      <w:r w:rsidR="0097568C" w:rsidRPr="00DC3BDA">
        <w:rPr>
          <w:rFonts w:cs="Arial"/>
        </w:rPr>
        <w:t>the</w:t>
      </w:r>
      <w:r w:rsidRPr="00DC3BDA">
        <w:rPr>
          <w:rFonts w:cs="Arial"/>
        </w:rPr>
        <w:t xml:space="preserve"> total population in </w:t>
      </w:r>
      <w:r w:rsidR="0097568C" w:rsidRPr="00DC3BDA">
        <w:rPr>
          <w:rFonts w:cs="Arial"/>
        </w:rPr>
        <w:t xml:space="preserve">estimated in </w:t>
      </w:r>
      <w:r w:rsidRPr="00DC3BDA">
        <w:rPr>
          <w:rFonts w:cs="Arial"/>
        </w:rPr>
        <w:t xml:space="preserve">2014, averaged across </w:t>
      </w:r>
      <w:r w:rsidR="00C05EC2" w:rsidRPr="00DC3BDA">
        <w:rPr>
          <w:rFonts w:cs="Arial"/>
        </w:rPr>
        <w:t xml:space="preserve">all </w:t>
      </w:r>
      <w:r w:rsidRPr="00DC3BDA">
        <w:rPr>
          <w:rFonts w:cs="Arial"/>
        </w:rPr>
        <w:t>species</w:t>
      </w:r>
      <w:r w:rsidR="00C05EC2" w:rsidRPr="00DC3BDA">
        <w:rPr>
          <w:rFonts w:cs="Arial"/>
        </w:rPr>
        <w:t xml:space="preserve"> of birds and sedges</w:t>
      </w:r>
      <w:r w:rsidRPr="00DC3BDA">
        <w:rPr>
          <w:rFonts w:cs="Arial"/>
        </w:rPr>
        <w:t>.</w:t>
      </w:r>
      <w:r w:rsidR="00DA76D0">
        <w:rPr>
          <w:rFonts w:cs="Arial"/>
        </w:rPr>
        <w:t xml:space="preserve"> </w:t>
      </w:r>
      <w:r w:rsidRPr="00DC3BDA">
        <w:rPr>
          <w:rFonts w:cs="Arial"/>
        </w:rPr>
        <w:t xml:space="preserve"> </w:t>
      </w:r>
      <w:r w:rsidR="0097568C" w:rsidRPr="00DC3BDA">
        <w:rPr>
          <w:rFonts w:eastAsiaTheme="minorEastAsia" w:cs="Arial"/>
        </w:rPr>
        <w:t>The 2014 reference population size for each species was calculated by multiplying the area currently under each land-use type (based on the CORINE land cover dataset</w:t>
      </w:r>
      <w:r w:rsidR="00982FC4">
        <w:rPr>
          <w:rFonts w:eastAsiaTheme="minorEastAsia" w:cs="Arial"/>
        </w:rPr>
        <w:t xml:space="preserve"> [2]</w:t>
      </w:r>
      <w:r w:rsidR="0097568C" w:rsidRPr="00DC3BDA">
        <w:rPr>
          <w:rFonts w:eastAsiaTheme="minorEastAsia" w:cs="Arial"/>
        </w:rPr>
        <w:t xml:space="preserve">) </w:t>
      </w:r>
      <w:r w:rsidR="00C05EC2" w:rsidRPr="00DC3BDA">
        <w:rPr>
          <w:rFonts w:eastAsiaTheme="minorEastAsia" w:cs="Arial"/>
        </w:rPr>
        <w:t xml:space="preserve">by </w:t>
      </w:r>
      <w:r w:rsidR="0097568C" w:rsidRPr="00DC3BDA">
        <w:rPr>
          <w:rFonts w:eastAsiaTheme="minorEastAsia" w:cs="Arial"/>
        </w:rPr>
        <w:t>the population density at the mean food energy yield for this land cover type.</w:t>
      </w:r>
      <w:r w:rsidR="00DA76D0">
        <w:rPr>
          <w:rFonts w:eastAsiaTheme="minorEastAsia" w:cs="Arial"/>
        </w:rPr>
        <w:t xml:space="preserve"> </w:t>
      </w:r>
      <w:r w:rsidR="0097568C" w:rsidRPr="00DC3BDA">
        <w:rPr>
          <w:rFonts w:eastAsiaTheme="minorEastAsia" w:cs="Arial"/>
        </w:rPr>
        <w:t xml:space="preserve"> </w:t>
      </w:r>
      <w:r w:rsidRPr="00DC3BDA">
        <w:rPr>
          <w:rFonts w:cs="Arial"/>
        </w:rPr>
        <w:t xml:space="preserve">This optimisation was done for birds and sedges </w:t>
      </w:r>
      <w:r w:rsidR="00DE68FC" w:rsidRPr="00DC3BDA">
        <w:rPr>
          <w:rFonts w:cs="Arial"/>
        </w:rPr>
        <w:t>combined</w:t>
      </w:r>
      <w:r w:rsidRPr="00DC3BDA">
        <w:rPr>
          <w:rFonts w:cs="Arial"/>
        </w:rPr>
        <w:t xml:space="preserve"> at each assumed production level. </w:t>
      </w:r>
      <w:r w:rsidR="00DA76D0">
        <w:rPr>
          <w:rFonts w:cs="Arial"/>
        </w:rPr>
        <w:t xml:space="preserve"> </w:t>
      </w:r>
      <w:r w:rsidRPr="00DC3BDA">
        <w:rPr>
          <w:rFonts w:cs="Arial"/>
        </w:rPr>
        <w:t xml:space="preserve">We then counted the number of species for which the highest population occurred with farming at the lowest permissible yield in the two-compartment model (land sharing), the highest attainable yield linked to land sparing in the two-compartment model and the highest attainable yield linked to land sparing </w:t>
      </w:r>
      <w:r w:rsidR="002C24E3" w:rsidRPr="00DC3BDA">
        <w:rPr>
          <w:rFonts w:cs="Arial"/>
        </w:rPr>
        <w:t>in the three-compartment model.</w:t>
      </w:r>
    </w:p>
    <w:p w:rsidR="00023E88" w:rsidRDefault="00023E88">
      <w:pPr>
        <w:jc w:val="left"/>
        <w:rPr>
          <w:rFonts w:cs="Arial"/>
          <w:b/>
        </w:rPr>
      </w:pPr>
      <w:r>
        <w:rPr>
          <w:rFonts w:cs="Arial"/>
          <w:b/>
        </w:rPr>
        <w:br w:type="page"/>
      </w:r>
    </w:p>
    <w:p w:rsidR="00E275A8" w:rsidRPr="00DC3BDA" w:rsidRDefault="00E275A8" w:rsidP="007E5A17">
      <w:pPr>
        <w:rPr>
          <w:rFonts w:cs="Arial"/>
          <w:b/>
        </w:rPr>
      </w:pPr>
      <w:r w:rsidRPr="00DC3BDA">
        <w:rPr>
          <w:rFonts w:cs="Arial"/>
          <w:b/>
        </w:rPr>
        <w:lastRenderedPageBreak/>
        <w:t>Supplementary references</w:t>
      </w:r>
    </w:p>
    <w:p w:rsidR="00982FC4" w:rsidRPr="0034544A" w:rsidRDefault="00982FC4" w:rsidP="007E5A17">
      <w:r w:rsidRPr="00982FC4">
        <w:t>[1</w:t>
      </w:r>
      <w:r w:rsidRPr="0034544A">
        <w:t xml:space="preserve">] </w:t>
      </w:r>
      <w:proofErr w:type="spellStart"/>
      <w:r w:rsidRPr="0034544A">
        <w:t>Panagos</w:t>
      </w:r>
      <w:proofErr w:type="spellEnd"/>
      <w:r w:rsidRPr="0034544A">
        <w:t xml:space="preserve"> P. 2006 </w:t>
      </w:r>
      <w:proofErr w:type="gramStart"/>
      <w:r w:rsidRPr="0034544A">
        <w:t>The</w:t>
      </w:r>
      <w:proofErr w:type="gramEnd"/>
      <w:r w:rsidRPr="0034544A">
        <w:t xml:space="preserve"> European soil database. </w:t>
      </w:r>
      <w:r w:rsidRPr="0034544A">
        <w:rPr>
          <w:i/>
        </w:rPr>
        <w:t>GEO: connexion</w:t>
      </w:r>
      <w:r w:rsidRPr="0034544A">
        <w:t xml:space="preserve"> </w:t>
      </w:r>
      <w:r w:rsidRPr="0034544A">
        <w:rPr>
          <w:b/>
        </w:rPr>
        <w:t>5,</w:t>
      </w:r>
      <w:r w:rsidRPr="0034544A">
        <w:t xml:space="preserve"> 32–33.</w:t>
      </w:r>
    </w:p>
    <w:p w:rsidR="00D0600D" w:rsidRDefault="00982FC4" w:rsidP="00D0600D">
      <w:proofErr w:type="gramStart"/>
      <w:r w:rsidRPr="0034544A">
        <w:t>[2] European Environment Agency.</w:t>
      </w:r>
      <w:proofErr w:type="gramEnd"/>
      <w:r w:rsidRPr="0034544A">
        <w:t xml:space="preserve"> </w:t>
      </w:r>
      <w:proofErr w:type="gramStart"/>
      <w:r w:rsidRPr="0034544A">
        <w:t xml:space="preserve">2013 </w:t>
      </w:r>
      <w:proofErr w:type="spellStart"/>
      <w:r w:rsidRPr="0034544A">
        <w:t>Corine</w:t>
      </w:r>
      <w:proofErr w:type="spellEnd"/>
      <w:r w:rsidRPr="0034544A">
        <w:t xml:space="preserve"> Land Cover 2006 raster data.</w:t>
      </w:r>
      <w:proofErr w:type="gramEnd"/>
      <w:r w:rsidRPr="0034544A">
        <w:t xml:space="preserve"> </w:t>
      </w:r>
    </w:p>
    <w:p w:rsidR="00D0600D" w:rsidRDefault="00D0600D" w:rsidP="00D0600D">
      <w:r>
        <w:t>https://www.eea.europa.eu/data-and-maps/data/clc-2006-raster-3</w:t>
      </w:r>
    </w:p>
    <w:p w:rsidR="00982FC4" w:rsidRPr="0034544A" w:rsidRDefault="00982FC4" w:rsidP="007E5A17">
      <w:proofErr w:type="gramStart"/>
      <w:r w:rsidRPr="0034544A">
        <w:t xml:space="preserve">[3] </w:t>
      </w:r>
      <w:proofErr w:type="spellStart"/>
      <w:r w:rsidRPr="0034544A">
        <w:t>Urząd</w:t>
      </w:r>
      <w:proofErr w:type="spellEnd"/>
      <w:r w:rsidRPr="0034544A">
        <w:t xml:space="preserve"> </w:t>
      </w:r>
      <w:proofErr w:type="spellStart"/>
      <w:r w:rsidRPr="0034544A">
        <w:t>Statystyczny</w:t>
      </w:r>
      <w:proofErr w:type="spellEnd"/>
      <w:r w:rsidRPr="0034544A">
        <w:t xml:space="preserve"> w </w:t>
      </w:r>
      <w:proofErr w:type="spellStart"/>
      <w:r w:rsidRPr="0034544A">
        <w:t>Lublinie</w:t>
      </w:r>
      <w:proofErr w:type="spellEnd"/>
      <w:r w:rsidRPr="0034544A">
        <w:t>.</w:t>
      </w:r>
      <w:proofErr w:type="gramEnd"/>
      <w:r w:rsidRPr="0034544A">
        <w:t xml:space="preserve"> 2014 </w:t>
      </w:r>
      <w:r w:rsidR="00194712" w:rsidRPr="007E5A17">
        <w:rPr>
          <w:rStyle w:val="Hyperlink"/>
          <w:color w:val="auto"/>
          <w:u w:val="none"/>
        </w:rPr>
        <w:t>http://stat.gov.pl/bdlen/app/strona.html</w:t>
      </w:r>
      <w:r w:rsidR="00194712" w:rsidRPr="007E5A17">
        <w:t xml:space="preserve"> </w:t>
      </w:r>
    </w:p>
    <w:p w:rsidR="00982FC4" w:rsidRPr="0034544A" w:rsidRDefault="00982FC4" w:rsidP="007E5A17">
      <w:r w:rsidRPr="0034544A">
        <w:t xml:space="preserve">[4] FAO. </w:t>
      </w:r>
      <w:proofErr w:type="gramStart"/>
      <w:r w:rsidRPr="0034544A">
        <w:t>2015 FAOSTAT</w:t>
      </w:r>
      <w:r w:rsidR="00F64A7C" w:rsidRPr="0034544A">
        <w:t xml:space="preserve"> Statistical databases.</w:t>
      </w:r>
      <w:proofErr w:type="gramEnd"/>
      <w:r w:rsidR="00F64A7C" w:rsidRPr="0034544A">
        <w:t xml:space="preserve"> Rome</w:t>
      </w:r>
      <w:r w:rsidR="002F0123" w:rsidRPr="0034544A">
        <w:t>: Food and Agriculture Organization of the United Nations.</w:t>
      </w:r>
      <w:r w:rsidRPr="0034544A">
        <w:t xml:space="preserve"> </w:t>
      </w:r>
      <w:r w:rsidRPr="007E5A17">
        <w:rPr>
          <w:rStyle w:val="Hyperlink"/>
          <w:color w:val="auto"/>
          <w:u w:val="none"/>
        </w:rPr>
        <w:t>http://faostat3.fao.org/home/E</w:t>
      </w:r>
      <w:r w:rsidR="002F0123" w:rsidRPr="007E5A17">
        <w:rPr>
          <w:rStyle w:val="Hyperlink"/>
          <w:color w:val="auto"/>
        </w:rPr>
        <w:t xml:space="preserve"> </w:t>
      </w:r>
    </w:p>
    <w:p w:rsidR="00982FC4" w:rsidRPr="0034544A" w:rsidRDefault="00982FC4" w:rsidP="007E5A17">
      <w:r w:rsidRPr="0034544A">
        <w:t xml:space="preserve">[5] DEFRA. </w:t>
      </w:r>
      <w:proofErr w:type="gramStart"/>
      <w:r w:rsidRPr="0034544A">
        <w:t>2014 Agriculture in the United Kingdom 2013.</w:t>
      </w:r>
      <w:proofErr w:type="gramEnd"/>
      <w:r w:rsidRPr="0034544A">
        <w:t xml:space="preserve"> </w:t>
      </w:r>
      <w:proofErr w:type="gramStart"/>
      <w:r w:rsidR="002F0123" w:rsidRPr="0034544A">
        <w:t>DEFRA.</w:t>
      </w:r>
      <w:proofErr w:type="gramEnd"/>
    </w:p>
    <w:p w:rsidR="00982FC4" w:rsidRPr="0034544A" w:rsidRDefault="00982FC4" w:rsidP="007E5A17">
      <w:r w:rsidRPr="0034544A">
        <w:t xml:space="preserve">[6] DEFRA. </w:t>
      </w:r>
      <w:proofErr w:type="gramStart"/>
      <w:r w:rsidRPr="0034544A">
        <w:t>2015 Agriculture in the United Kingdom 2014.</w:t>
      </w:r>
      <w:proofErr w:type="gramEnd"/>
      <w:r w:rsidRPr="0034544A">
        <w:t xml:space="preserve"> </w:t>
      </w:r>
      <w:proofErr w:type="gramStart"/>
      <w:r w:rsidRPr="0034544A">
        <w:t>DEFRA.</w:t>
      </w:r>
      <w:proofErr w:type="gramEnd"/>
    </w:p>
    <w:p w:rsidR="00982FC4" w:rsidRPr="0034544A" w:rsidRDefault="00982FC4" w:rsidP="007E5A17">
      <w:r w:rsidRPr="0034544A">
        <w:t>[7] US</w:t>
      </w:r>
      <w:r w:rsidR="008117E7" w:rsidRPr="0034544A">
        <w:t xml:space="preserve"> Department of Agriculture</w:t>
      </w:r>
      <w:r w:rsidRPr="0034544A">
        <w:t xml:space="preserve">. 2015 Composition of </w:t>
      </w:r>
      <w:r w:rsidR="00A17793" w:rsidRPr="0034544A">
        <w:t>f</w:t>
      </w:r>
      <w:r w:rsidRPr="0034544A">
        <w:t xml:space="preserve">oods </w:t>
      </w:r>
      <w:proofErr w:type="gramStart"/>
      <w:r w:rsidR="00A17793" w:rsidRPr="0034544A">
        <w:t>r</w:t>
      </w:r>
      <w:r w:rsidRPr="0034544A">
        <w:t>aw,</w:t>
      </w:r>
      <w:proofErr w:type="gramEnd"/>
      <w:r w:rsidRPr="0034544A">
        <w:t xml:space="preserve"> </w:t>
      </w:r>
      <w:r w:rsidR="00A17793" w:rsidRPr="0034544A">
        <w:t>p</w:t>
      </w:r>
      <w:r w:rsidRPr="0034544A">
        <w:t xml:space="preserve">rocessed and </w:t>
      </w:r>
      <w:r w:rsidR="00A17793" w:rsidRPr="0034544A">
        <w:t>p</w:t>
      </w:r>
      <w:r w:rsidRPr="0034544A">
        <w:t xml:space="preserve">repared. </w:t>
      </w:r>
      <w:r w:rsidR="008117E7" w:rsidRPr="0034544A">
        <w:t xml:space="preserve">USDA </w:t>
      </w:r>
      <w:r w:rsidRPr="0034544A">
        <w:t>National Nutrient Database for Standard Reference, Release 27 (revised).</w:t>
      </w:r>
      <w:r w:rsidR="0034544A" w:rsidRPr="0034544A">
        <w:t xml:space="preserve"> </w:t>
      </w:r>
      <w:r w:rsidRPr="0034544A">
        <w:t xml:space="preserve">Version Current: May 2015. </w:t>
      </w:r>
      <w:proofErr w:type="gramStart"/>
      <w:r w:rsidRPr="0034544A">
        <w:t>USDA Agricultural Research Se</w:t>
      </w:r>
      <w:r w:rsidR="00650F6A" w:rsidRPr="0034544A">
        <w:t>r</w:t>
      </w:r>
      <w:r w:rsidRPr="0034544A">
        <w:t>vice, Nutrient Data Laboratory.</w:t>
      </w:r>
      <w:proofErr w:type="gramEnd"/>
      <w:r w:rsidR="00B72216" w:rsidRPr="0034544A">
        <w:t xml:space="preserve"> http://www.ars.usda.gov/ba/bhnrc/ndl</w:t>
      </w:r>
    </w:p>
    <w:p w:rsidR="00982FC4" w:rsidRPr="00982FC4" w:rsidRDefault="00982FC4" w:rsidP="007E5A17">
      <w:r w:rsidRPr="0034544A">
        <w:t xml:space="preserve">[8] FAO. 2011 Global </w:t>
      </w:r>
      <w:r w:rsidR="008117E7" w:rsidRPr="0034544A">
        <w:t>f</w:t>
      </w:r>
      <w:r w:rsidRPr="0034544A">
        <w:t xml:space="preserve">ood </w:t>
      </w:r>
      <w:r w:rsidR="008117E7" w:rsidRPr="0034544A">
        <w:t>l</w:t>
      </w:r>
      <w:r w:rsidRPr="0034544A">
        <w:t xml:space="preserve">osses and </w:t>
      </w:r>
      <w:r w:rsidR="008117E7" w:rsidRPr="0034544A">
        <w:t>f</w:t>
      </w:r>
      <w:r w:rsidRPr="0034544A">
        <w:t xml:space="preserve">ood </w:t>
      </w:r>
      <w:r w:rsidR="008117E7" w:rsidRPr="0034544A">
        <w:t>w</w:t>
      </w:r>
      <w:r w:rsidRPr="0034544A">
        <w:t xml:space="preserve">aste - </w:t>
      </w:r>
      <w:r w:rsidR="008117E7" w:rsidRPr="0034544A">
        <w:t>e</w:t>
      </w:r>
      <w:r w:rsidRPr="0034544A">
        <w:t xml:space="preserve">xtent, </w:t>
      </w:r>
      <w:r w:rsidR="008117E7" w:rsidRPr="0034544A">
        <w:t>c</w:t>
      </w:r>
      <w:r w:rsidRPr="0034544A">
        <w:t xml:space="preserve">auses and </w:t>
      </w:r>
      <w:r w:rsidR="008117E7" w:rsidRPr="0034544A">
        <w:t>p</w:t>
      </w:r>
      <w:r w:rsidRPr="0034544A">
        <w:t>reventions. Rome</w:t>
      </w:r>
      <w:r w:rsidR="008117E7" w:rsidRPr="0034544A">
        <w:t xml:space="preserve">: </w:t>
      </w:r>
      <w:r w:rsidR="002F0123" w:rsidRPr="0034544A">
        <w:t>Food and Agriculture Organization of the United Nations</w:t>
      </w:r>
      <w:r w:rsidRPr="0034544A">
        <w:t>.</w:t>
      </w:r>
    </w:p>
    <w:p w:rsidR="00982FC4" w:rsidRPr="00982FC4" w:rsidRDefault="00982FC4" w:rsidP="007E5A17">
      <w:r w:rsidRPr="00982FC4">
        <w:t xml:space="preserve">[9] </w:t>
      </w:r>
      <w:proofErr w:type="spellStart"/>
      <w:r w:rsidRPr="00982FC4">
        <w:t>Wirsenius</w:t>
      </w:r>
      <w:proofErr w:type="spellEnd"/>
      <w:r w:rsidRPr="00982FC4">
        <w:t xml:space="preserve"> S. 2003 Efficiencies and biomass appropriation of food commodities on global and regional levels. </w:t>
      </w:r>
      <w:r w:rsidRPr="00C354EF">
        <w:rPr>
          <w:i/>
        </w:rPr>
        <w:t>Agric</w:t>
      </w:r>
      <w:r w:rsidR="00650F6A" w:rsidRPr="00C354EF">
        <w:rPr>
          <w:i/>
        </w:rPr>
        <w:t>.</w:t>
      </w:r>
      <w:r w:rsidRPr="00C354EF">
        <w:rPr>
          <w:i/>
        </w:rPr>
        <w:t xml:space="preserve"> </w:t>
      </w:r>
      <w:proofErr w:type="spellStart"/>
      <w:r w:rsidRPr="00C354EF">
        <w:rPr>
          <w:i/>
        </w:rPr>
        <w:t>Syst</w:t>
      </w:r>
      <w:proofErr w:type="spellEnd"/>
      <w:r w:rsidRPr="00982FC4">
        <w:t xml:space="preserve"> </w:t>
      </w:r>
      <w:r w:rsidRPr="00C354EF">
        <w:rPr>
          <w:b/>
        </w:rPr>
        <w:t>77,</w:t>
      </w:r>
      <w:r w:rsidRPr="00982FC4">
        <w:t xml:space="preserve"> 219–255.</w:t>
      </w:r>
      <w:r w:rsidR="00910FD4">
        <w:t xml:space="preserve"> </w:t>
      </w:r>
      <w:r w:rsidR="00C92744">
        <w:t>(</w:t>
      </w:r>
      <w:proofErr w:type="gramStart"/>
      <w:r w:rsidR="00910FD4">
        <w:t>doi:</w:t>
      </w:r>
      <w:proofErr w:type="gramEnd"/>
      <w:r w:rsidR="00910FD4">
        <w:t>10.1016/S0308-521X(02)00188-9</w:t>
      </w:r>
      <w:r w:rsidR="00C92744">
        <w:t>)</w:t>
      </w:r>
    </w:p>
    <w:p w:rsidR="00982FC4" w:rsidRDefault="00982FC4" w:rsidP="007E5A17">
      <w:r w:rsidRPr="00982FC4">
        <w:t xml:space="preserve">[10] </w:t>
      </w:r>
      <w:proofErr w:type="spellStart"/>
      <w:r w:rsidRPr="00982FC4">
        <w:t>Hulme</w:t>
      </w:r>
      <w:proofErr w:type="spellEnd"/>
      <w:r w:rsidRPr="00982FC4">
        <w:t xml:space="preserve"> MF</w:t>
      </w:r>
      <w:r w:rsidR="00650F6A">
        <w:t xml:space="preserve"> et al. </w:t>
      </w:r>
      <w:r w:rsidRPr="00982FC4">
        <w:t xml:space="preserve">2013 </w:t>
      </w:r>
      <w:proofErr w:type="gramStart"/>
      <w:r w:rsidRPr="00982FC4">
        <w:t>Conserving</w:t>
      </w:r>
      <w:proofErr w:type="gramEnd"/>
      <w:r w:rsidRPr="00982FC4">
        <w:t xml:space="preserve"> the </w:t>
      </w:r>
      <w:r w:rsidR="00650F6A">
        <w:t>b</w:t>
      </w:r>
      <w:r w:rsidRPr="00982FC4">
        <w:t xml:space="preserve">irds of Uganda’s </w:t>
      </w:r>
      <w:r w:rsidR="00650F6A">
        <w:t>b</w:t>
      </w:r>
      <w:r w:rsidRPr="00982FC4">
        <w:t>anana-</w:t>
      </w:r>
      <w:r w:rsidR="00650F6A">
        <w:t>c</w:t>
      </w:r>
      <w:r w:rsidRPr="00982FC4">
        <w:t xml:space="preserve">offee </w:t>
      </w:r>
      <w:r w:rsidR="00650F6A">
        <w:t>a</w:t>
      </w:r>
      <w:r w:rsidRPr="00982FC4">
        <w:t xml:space="preserve">rc: </w:t>
      </w:r>
      <w:r w:rsidR="00650F6A">
        <w:t>l</w:t>
      </w:r>
      <w:r w:rsidRPr="00982FC4">
        <w:t xml:space="preserve">and </w:t>
      </w:r>
      <w:r w:rsidR="00650F6A">
        <w:t>s</w:t>
      </w:r>
      <w:r w:rsidRPr="00982FC4">
        <w:t xml:space="preserve">paring and </w:t>
      </w:r>
      <w:r w:rsidR="00650F6A">
        <w:t>l</w:t>
      </w:r>
      <w:r w:rsidRPr="00982FC4">
        <w:t xml:space="preserve">and </w:t>
      </w:r>
      <w:r w:rsidR="00650F6A">
        <w:t>s</w:t>
      </w:r>
      <w:r w:rsidRPr="00982FC4">
        <w:t xml:space="preserve">haring </w:t>
      </w:r>
      <w:r w:rsidR="00650F6A">
        <w:t>c</w:t>
      </w:r>
      <w:r w:rsidRPr="00982FC4">
        <w:t>ompared</w:t>
      </w:r>
      <w:r w:rsidR="00650F6A">
        <w:t>.</w:t>
      </w:r>
      <w:r w:rsidRPr="00982FC4">
        <w:t xml:space="preserve"> </w:t>
      </w:r>
      <w:proofErr w:type="spellStart"/>
      <w:r w:rsidRPr="00C354EF">
        <w:rPr>
          <w:i/>
        </w:rPr>
        <w:t>PLoS</w:t>
      </w:r>
      <w:proofErr w:type="spellEnd"/>
      <w:r w:rsidRPr="00C354EF">
        <w:rPr>
          <w:i/>
        </w:rPr>
        <w:t xml:space="preserve"> ONE</w:t>
      </w:r>
      <w:r w:rsidRPr="00982FC4">
        <w:t xml:space="preserve"> </w:t>
      </w:r>
      <w:r w:rsidRPr="00C354EF">
        <w:rPr>
          <w:b/>
        </w:rPr>
        <w:t>8,</w:t>
      </w:r>
      <w:r w:rsidRPr="00982FC4">
        <w:t xml:space="preserve"> e54597.</w:t>
      </w:r>
      <w:r w:rsidR="00C92744" w:rsidRPr="00C92744">
        <w:t xml:space="preserve"> </w:t>
      </w:r>
      <w:r w:rsidR="00C92744">
        <w:t>(doi:10.1371/journal.pone.0054597)</w:t>
      </w:r>
    </w:p>
    <w:p w:rsidR="00DE4C8D" w:rsidRPr="00982FC4" w:rsidRDefault="00DE4C8D" w:rsidP="007E5A17">
      <w:r>
        <w:t xml:space="preserve">[11] Petit HV, </w:t>
      </w:r>
      <w:proofErr w:type="spellStart"/>
      <w:r>
        <w:t>Flipot</w:t>
      </w:r>
      <w:proofErr w:type="spellEnd"/>
      <w:r>
        <w:t xml:space="preserve"> PM. 1992 Source and feeding level of nitrogen on growth and carcass characteristics of beef steers fed grass as hay or silage. </w:t>
      </w:r>
      <w:r>
        <w:rPr>
          <w:i/>
          <w:iCs/>
        </w:rPr>
        <w:t>J. Anim. Sci.</w:t>
      </w:r>
      <w:r>
        <w:t xml:space="preserve"> </w:t>
      </w:r>
      <w:r>
        <w:rPr>
          <w:b/>
          <w:bCs/>
        </w:rPr>
        <w:t>70</w:t>
      </w:r>
      <w:r>
        <w:t>, 867–875.</w:t>
      </w:r>
    </w:p>
    <w:p w:rsidR="00982FC4" w:rsidRPr="0034544A" w:rsidRDefault="00982FC4" w:rsidP="007E5A17">
      <w:r w:rsidRPr="00982FC4">
        <w:t>[1</w:t>
      </w:r>
      <w:r w:rsidR="00DE4C8D">
        <w:t>2</w:t>
      </w:r>
      <w:r w:rsidRPr="00982FC4">
        <w:t xml:space="preserve">] </w:t>
      </w:r>
      <w:proofErr w:type="spellStart"/>
      <w:r w:rsidRPr="00982FC4">
        <w:t>Wirsenius</w:t>
      </w:r>
      <w:proofErr w:type="spellEnd"/>
      <w:r w:rsidRPr="00982FC4">
        <w:t xml:space="preserve"> S, </w:t>
      </w:r>
      <w:proofErr w:type="spellStart"/>
      <w:r w:rsidRPr="00982FC4">
        <w:t>Azar</w:t>
      </w:r>
      <w:proofErr w:type="spellEnd"/>
      <w:r w:rsidRPr="00982FC4">
        <w:t xml:space="preserve"> C</w:t>
      </w:r>
      <w:r w:rsidR="00DA3D03">
        <w:t>,</w:t>
      </w:r>
      <w:r w:rsidRPr="00982FC4">
        <w:t xml:space="preserve"> </w:t>
      </w:r>
      <w:proofErr w:type="spellStart"/>
      <w:r w:rsidRPr="00982FC4">
        <w:t>Berndes</w:t>
      </w:r>
      <w:proofErr w:type="spellEnd"/>
      <w:r w:rsidRPr="00982FC4">
        <w:t xml:space="preserve"> G. 2010 How much land is needed for global food </w:t>
      </w:r>
      <w:r w:rsidRPr="0034544A">
        <w:t xml:space="preserve">production under scenarios of dietary changes and livestock productivity increases in 2030? </w:t>
      </w:r>
      <w:r w:rsidRPr="0034544A">
        <w:rPr>
          <w:i/>
        </w:rPr>
        <w:t>Agric</w:t>
      </w:r>
      <w:r w:rsidR="00650F6A" w:rsidRPr="0034544A">
        <w:rPr>
          <w:i/>
        </w:rPr>
        <w:t>.</w:t>
      </w:r>
      <w:r w:rsidRPr="0034544A">
        <w:rPr>
          <w:i/>
        </w:rPr>
        <w:t xml:space="preserve"> Syst</w:t>
      </w:r>
      <w:r w:rsidR="00650F6A" w:rsidRPr="0034544A">
        <w:rPr>
          <w:i/>
        </w:rPr>
        <w:t>.</w:t>
      </w:r>
      <w:r w:rsidRPr="0034544A">
        <w:t xml:space="preserve"> </w:t>
      </w:r>
      <w:r w:rsidRPr="0034544A">
        <w:rPr>
          <w:b/>
        </w:rPr>
        <w:t>103,</w:t>
      </w:r>
      <w:r w:rsidRPr="0034544A">
        <w:t xml:space="preserve"> 621–638.</w:t>
      </w:r>
      <w:r w:rsidR="00C92744" w:rsidRPr="0034544A">
        <w:t xml:space="preserve"> (doi:10.1016/j.agsy.2010.07.005)</w:t>
      </w:r>
    </w:p>
    <w:p w:rsidR="00982FC4" w:rsidRPr="00982FC4" w:rsidRDefault="00982FC4" w:rsidP="007E5A17">
      <w:r w:rsidRPr="0034544A">
        <w:t>[1</w:t>
      </w:r>
      <w:r w:rsidR="00DE4C8D">
        <w:t>3</w:t>
      </w:r>
      <w:r w:rsidRPr="0034544A">
        <w:t xml:space="preserve">] </w:t>
      </w:r>
      <w:proofErr w:type="spellStart"/>
      <w:r w:rsidRPr="0034544A">
        <w:t>Laake</w:t>
      </w:r>
      <w:proofErr w:type="spellEnd"/>
      <w:r w:rsidRPr="0034544A">
        <w:t xml:space="preserve"> J, </w:t>
      </w:r>
      <w:proofErr w:type="spellStart"/>
      <w:r w:rsidRPr="0034544A">
        <w:t>Borchers</w:t>
      </w:r>
      <w:proofErr w:type="spellEnd"/>
      <w:r w:rsidRPr="0034544A">
        <w:t xml:space="preserve"> D, Thomas L, Miller D</w:t>
      </w:r>
      <w:r w:rsidR="00DA3D03" w:rsidRPr="0034544A">
        <w:t>,</w:t>
      </w:r>
      <w:r w:rsidRPr="0034544A">
        <w:t xml:space="preserve"> Bishop J. 2015 </w:t>
      </w:r>
      <w:proofErr w:type="spellStart"/>
      <w:r w:rsidRPr="0034544A">
        <w:t>mrds</w:t>
      </w:r>
      <w:proofErr w:type="spellEnd"/>
      <w:r w:rsidRPr="0034544A">
        <w:t xml:space="preserve">: Mark-Recapture Distance Sampling. </w:t>
      </w:r>
      <w:proofErr w:type="gramStart"/>
      <w:r w:rsidRPr="0034544A">
        <w:t>R package version 2.1.12.</w:t>
      </w:r>
      <w:proofErr w:type="gramEnd"/>
      <w:r w:rsidRPr="0034544A">
        <w:t xml:space="preserve"> </w:t>
      </w:r>
      <w:r w:rsidRPr="007E5A17">
        <w:rPr>
          <w:rStyle w:val="Hyperlink"/>
          <w:color w:val="auto"/>
          <w:u w:val="none"/>
        </w:rPr>
        <w:t>http://CRAN.R-project.org/package=mrds</w:t>
      </w:r>
    </w:p>
    <w:p w:rsidR="00982FC4" w:rsidRPr="00982FC4" w:rsidRDefault="00982FC4" w:rsidP="007E5A17">
      <w:r w:rsidRPr="00982FC4">
        <w:t>[1</w:t>
      </w:r>
      <w:r w:rsidR="00DE4C8D">
        <w:t>4</w:t>
      </w:r>
      <w:r w:rsidRPr="00982FC4">
        <w:t xml:space="preserve">] Buckland ST, Anderson DR, Burnham KP, </w:t>
      </w:r>
      <w:proofErr w:type="spellStart"/>
      <w:r w:rsidRPr="00982FC4">
        <w:t>Laake</w:t>
      </w:r>
      <w:proofErr w:type="spellEnd"/>
      <w:r w:rsidRPr="00982FC4">
        <w:t xml:space="preserve"> JL, </w:t>
      </w:r>
      <w:proofErr w:type="spellStart"/>
      <w:r w:rsidRPr="00982FC4">
        <w:t>Borchers</w:t>
      </w:r>
      <w:proofErr w:type="spellEnd"/>
      <w:r w:rsidRPr="00982FC4">
        <w:t xml:space="preserve"> DL</w:t>
      </w:r>
      <w:r w:rsidR="00DA3D03">
        <w:t>,</w:t>
      </w:r>
      <w:r w:rsidRPr="00982FC4">
        <w:t xml:space="preserve"> Thomas L. 2001 </w:t>
      </w:r>
      <w:r w:rsidRPr="00C354EF">
        <w:rPr>
          <w:i/>
        </w:rPr>
        <w:t xml:space="preserve">Introduction to </w:t>
      </w:r>
      <w:r w:rsidR="005C5A94">
        <w:rPr>
          <w:i/>
        </w:rPr>
        <w:t>d</w:t>
      </w:r>
      <w:r w:rsidRPr="00C354EF">
        <w:rPr>
          <w:i/>
        </w:rPr>
        <w:t xml:space="preserve">istance </w:t>
      </w:r>
      <w:r w:rsidR="005C5A94">
        <w:rPr>
          <w:i/>
        </w:rPr>
        <w:t>s</w:t>
      </w:r>
      <w:r w:rsidRPr="00C354EF">
        <w:rPr>
          <w:i/>
        </w:rPr>
        <w:t>ampling</w:t>
      </w:r>
      <w:r w:rsidRPr="00982FC4">
        <w:t xml:space="preserve">. </w:t>
      </w:r>
      <w:r w:rsidR="00B129BF" w:rsidRPr="00982FC4">
        <w:t>Oxford</w:t>
      </w:r>
      <w:r w:rsidR="00B129BF">
        <w:t>:</w:t>
      </w:r>
      <w:r w:rsidR="00B129BF" w:rsidRPr="00982FC4">
        <w:t xml:space="preserve"> </w:t>
      </w:r>
      <w:r w:rsidRPr="00982FC4">
        <w:t>Oxford University Press</w:t>
      </w:r>
      <w:r w:rsidR="00B129BF">
        <w:t>.</w:t>
      </w:r>
    </w:p>
    <w:p w:rsidR="00982FC4" w:rsidRPr="00982FC4" w:rsidRDefault="00982FC4" w:rsidP="007E5A17">
      <w:r w:rsidRPr="00982FC4">
        <w:t>[1</w:t>
      </w:r>
      <w:r w:rsidR="00DE4C8D">
        <w:t>5</w:t>
      </w:r>
      <w:r w:rsidRPr="00982FC4">
        <w:t xml:space="preserve">] Buckland ST, Anderson DR, Burnham KP, </w:t>
      </w:r>
      <w:proofErr w:type="spellStart"/>
      <w:r w:rsidRPr="00982FC4">
        <w:t>Laake</w:t>
      </w:r>
      <w:proofErr w:type="spellEnd"/>
      <w:r w:rsidRPr="00982FC4">
        <w:t xml:space="preserve"> JL, </w:t>
      </w:r>
      <w:proofErr w:type="spellStart"/>
      <w:r w:rsidRPr="00982FC4">
        <w:t>Borchers</w:t>
      </w:r>
      <w:proofErr w:type="spellEnd"/>
      <w:r w:rsidRPr="00982FC4">
        <w:t xml:space="preserve"> DL</w:t>
      </w:r>
      <w:r w:rsidR="00DA3D03">
        <w:t>,</w:t>
      </w:r>
      <w:r w:rsidRPr="00982FC4">
        <w:t xml:space="preserve"> Thomas L. 2004 </w:t>
      </w:r>
      <w:r w:rsidRPr="00C354EF">
        <w:rPr>
          <w:i/>
        </w:rPr>
        <w:t xml:space="preserve">Advanced </w:t>
      </w:r>
      <w:r w:rsidR="005C5A94">
        <w:rPr>
          <w:i/>
        </w:rPr>
        <w:t>d</w:t>
      </w:r>
      <w:r w:rsidRPr="00C354EF">
        <w:rPr>
          <w:i/>
        </w:rPr>
        <w:t xml:space="preserve">istance </w:t>
      </w:r>
      <w:r w:rsidR="005C5A94">
        <w:rPr>
          <w:i/>
        </w:rPr>
        <w:t>s</w:t>
      </w:r>
      <w:r w:rsidRPr="00C354EF">
        <w:rPr>
          <w:i/>
        </w:rPr>
        <w:t>ampling</w:t>
      </w:r>
      <w:r w:rsidRPr="00982FC4">
        <w:t xml:space="preserve">. </w:t>
      </w:r>
      <w:r w:rsidR="00B129BF" w:rsidRPr="00982FC4">
        <w:t>Oxford</w:t>
      </w:r>
      <w:r w:rsidR="00B129BF">
        <w:t>:</w:t>
      </w:r>
      <w:r w:rsidR="00B129BF" w:rsidRPr="00982FC4">
        <w:t xml:space="preserve"> </w:t>
      </w:r>
      <w:r w:rsidRPr="00982FC4">
        <w:t>Oxford University Press</w:t>
      </w:r>
      <w:r w:rsidR="00B129BF">
        <w:t>.</w:t>
      </w:r>
    </w:p>
    <w:p w:rsidR="00982FC4" w:rsidRPr="00982FC4" w:rsidRDefault="00982FC4" w:rsidP="007E5A17">
      <w:r w:rsidRPr="00982FC4">
        <w:t>[1</w:t>
      </w:r>
      <w:r w:rsidR="00DE4C8D">
        <w:t>6</w:t>
      </w:r>
      <w:r w:rsidRPr="00982FC4">
        <w:t>] Buckland S, Russell R, Dickson B, Saab V, Gorman D</w:t>
      </w:r>
      <w:r w:rsidR="00DA3D03">
        <w:t>,</w:t>
      </w:r>
      <w:r w:rsidRPr="00982FC4">
        <w:t xml:space="preserve"> Block W. 2009 Analyzing designed experiments in distance sampling</w:t>
      </w:r>
      <w:r w:rsidRPr="00C354EF">
        <w:rPr>
          <w:i/>
        </w:rPr>
        <w:t>. J</w:t>
      </w:r>
      <w:r w:rsidR="00B129BF" w:rsidRPr="00C354EF">
        <w:rPr>
          <w:i/>
        </w:rPr>
        <w:t xml:space="preserve">. </w:t>
      </w:r>
      <w:r w:rsidRPr="00C354EF">
        <w:rPr>
          <w:i/>
        </w:rPr>
        <w:t>Agric</w:t>
      </w:r>
      <w:r w:rsidR="00B129BF" w:rsidRPr="00C354EF">
        <w:rPr>
          <w:i/>
        </w:rPr>
        <w:t>.</w:t>
      </w:r>
      <w:r w:rsidRPr="00C354EF">
        <w:rPr>
          <w:i/>
        </w:rPr>
        <w:t xml:space="preserve"> Biol</w:t>
      </w:r>
      <w:r w:rsidR="00B129BF" w:rsidRPr="00C354EF">
        <w:rPr>
          <w:i/>
        </w:rPr>
        <w:t>.</w:t>
      </w:r>
      <w:r w:rsidRPr="00C354EF">
        <w:rPr>
          <w:i/>
        </w:rPr>
        <w:t xml:space="preserve"> Environ</w:t>
      </w:r>
      <w:r w:rsidR="00B129BF" w:rsidRPr="00C354EF">
        <w:rPr>
          <w:i/>
        </w:rPr>
        <w:t>.</w:t>
      </w:r>
      <w:r w:rsidRPr="00C354EF">
        <w:rPr>
          <w:i/>
        </w:rPr>
        <w:t xml:space="preserve"> Stat</w:t>
      </w:r>
      <w:r w:rsidR="00B129BF" w:rsidRPr="00C354EF">
        <w:rPr>
          <w:i/>
        </w:rPr>
        <w:t>.</w:t>
      </w:r>
      <w:r w:rsidRPr="00982FC4">
        <w:t xml:space="preserve"> </w:t>
      </w:r>
      <w:r w:rsidRPr="00C354EF">
        <w:rPr>
          <w:b/>
        </w:rPr>
        <w:t>14,</w:t>
      </w:r>
      <w:r w:rsidRPr="00982FC4">
        <w:t xml:space="preserve"> 432–442.</w:t>
      </w:r>
      <w:r w:rsidR="00C92744" w:rsidRPr="00C92744">
        <w:t xml:space="preserve"> </w:t>
      </w:r>
      <w:r w:rsidR="00C92744">
        <w:t>(</w:t>
      </w:r>
      <w:proofErr w:type="spellStart"/>
      <w:proofErr w:type="gramStart"/>
      <w:r w:rsidR="00C92744">
        <w:t>doi</w:t>
      </w:r>
      <w:proofErr w:type="spellEnd"/>
      <w:proofErr w:type="gramEnd"/>
      <w:r w:rsidR="00C92744">
        <w:t>: 10.1198/jabes.2009.08030)</w:t>
      </w:r>
    </w:p>
    <w:p w:rsidR="00982FC4" w:rsidRPr="00982FC4" w:rsidRDefault="00982FC4" w:rsidP="007E5A17">
      <w:r w:rsidRPr="00982FC4">
        <w:lastRenderedPageBreak/>
        <w:t>[1</w:t>
      </w:r>
      <w:r w:rsidR="00DE4C8D">
        <w:t>7</w:t>
      </w:r>
      <w:r w:rsidRPr="00982FC4">
        <w:t>] Fitter R, Fitter A</w:t>
      </w:r>
      <w:r w:rsidR="00DA3D03">
        <w:t>,</w:t>
      </w:r>
      <w:r w:rsidRPr="00982FC4">
        <w:t xml:space="preserve"> </w:t>
      </w:r>
      <w:proofErr w:type="spellStart"/>
      <w:r w:rsidRPr="00982FC4">
        <w:t>F</w:t>
      </w:r>
      <w:r w:rsidR="00C92744">
        <w:t>arrer</w:t>
      </w:r>
      <w:proofErr w:type="spellEnd"/>
      <w:r w:rsidR="00C92744">
        <w:t>, A</w:t>
      </w:r>
      <w:r w:rsidRPr="00982FC4">
        <w:t xml:space="preserve">. 1984 </w:t>
      </w:r>
      <w:r w:rsidR="00C92744">
        <w:rPr>
          <w:i/>
        </w:rPr>
        <w:t>G</w:t>
      </w:r>
      <w:r w:rsidRPr="00C354EF">
        <w:rPr>
          <w:i/>
        </w:rPr>
        <w:t xml:space="preserve">rasses, </w:t>
      </w:r>
      <w:r w:rsidR="005C5A94">
        <w:rPr>
          <w:i/>
        </w:rPr>
        <w:t>s</w:t>
      </w:r>
      <w:r w:rsidRPr="00C354EF">
        <w:rPr>
          <w:i/>
        </w:rPr>
        <w:t xml:space="preserve">edges, </w:t>
      </w:r>
      <w:r w:rsidR="005C5A94">
        <w:rPr>
          <w:i/>
        </w:rPr>
        <w:t>r</w:t>
      </w:r>
      <w:r w:rsidRPr="00C354EF">
        <w:rPr>
          <w:i/>
        </w:rPr>
        <w:t xml:space="preserve">ushes and </w:t>
      </w:r>
      <w:r w:rsidR="005C5A94">
        <w:rPr>
          <w:i/>
        </w:rPr>
        <w:t>f</w:t>
      </w:r>
      <w:r w:rsidRPr="00C354EF">
        <w:rPr>
          <w:i/>
        </w:rPr>
        <w:t xml:space="preserve">erns of Britain and </w:t>
      </w:r>
      <w:r w:rsidR="00493DDB">
        <w:rPr>
          <w:i/>
        </w:rPr>
        <w:t>n</w:t>
      </w:r>
      <w:r w:rsidRPr="00C354EF">
        <w:rPr>
          <w:i/>
        </w:rPr>
        <w:t>orthern Europe</w:t>
      </w:r>
      <w:r w:rsidR="00C92744">
        <w:rPr>
          <w:i/>
        </w:rPr>
        <w:t xml:space="preserve"> – Collins pocket guide</w:t>
      </w:r>
      <w:r w:rsidRPr="00982FC4">
        <w:t xml:space="preserve">. </w:t>
      </w:r>
      <w:r w:rsidR="00B129BF" w:rsidRPr="00982FC4">
        <w:t>London</w:t>
      </w:r>
      <w:r w:rsidR="00B129BF">
        <w:t>:</w:t>
      </w:r>
      <w:r w:rsidR="00B129BF" w:rsidRPr="00982FC4">
        <w:t xml:space="preserve"> </w:t>
      </w:r>
      <w:r w:rsidRPr="00982FC4">
        <w:t>Collins</w:t>
      </w:r>
      <w:r w:rsidR="00B129BF">
        <w:t>.</w:t>
      </w:r>
    </w:p>
    <w:p w:rsidR="00982FC4" w:rsidRPr="00982FC4" w:rsidRDefault="00982FC4" w:rsidP="007E5A17">
      <w:r w:rsidRPr="00982FC4">
        <w:t>[1</w:t>
      </w:r>
      <w:r w:rsidR="00DE4C8D">
        <w:t>8</w:t>
      </w:r>
      <w:r w:rsidRPr="00982FC4">
        <w:t xml:space="preserve">] Fitter R, Fitter </w:t>
      </w:r>
      <w:proofErr w:type="gramStart"/>
      <w:r w:rsidRPr="00982FC4">
        <w:t>A</w:t>
      </w:r>
      <w:proofErr w:type="gramEnd"/>
      <w:r w:rsidR="00DA3D03">
        <w:t>,</w:t>
      </w:r>
      <w:r w:rsidRPr="00982FC4">
        <w:t xml:space="preserve"> Blamey M. 1974 </w:t>
      </w:r>
      <w:r w:rsidRPr="00C354EF">
        <w:rPr>
          <w:i/>
        </w:rPr>
        <w:t xml:space="preserve">The </w:t>
      </w:r>
      <w:r w:rsidR="005C5A94">
        <w:rPr>
          <w:i/>
        </w:rPr>
        <w:t>w</w:t>
      </w:r>
      <w:r w:rsidRPr="00C354EF">
        <w:rPr>
          <w:i/>
        </w:rPr>
        <w:t xml:space="preserve">ild </w:t>
      </w:r>
      <w:r w:rsidR="005C5A94">
        <w:rPr>
          <w:i/>
        </w:rPr>
        <w:t>f</w:t>
      </w:r>
      <w:r w:rsidRPr="00C354EF">
        <w:rPr>
          <w:i/>
        </w:rPr>
        <w:t xml:space="preserve">lowers of Britain and </w:t>
      </w:r>
      <w:r w:rsidR="00E34F1B">
        <w:rPr>
          <w:i/>
        </w:rPr>
        <w:t>n</w:t>
      </w:r>
      <w:r w:rsidRPr="00C354EF">
        <w:rPr>
          <w:i/>
        </w:rPr>
        <w:t>orthern Europe</w:t>
      </w:r>
      <w:r w:rsidRPr="00982FC4">
        <w:t xml:space="preserve">. </w:t>
      </w:r>
      <w:r w:rsidR="00B129BF" w:rsidRPr="00982FC4">
        <w:t>Glasgow</w:t>
      </w:r>
      <w:r w:rsidR="00B129BF">
        <w:t>:</w:t>
      </w:r>
      <w:r w:rsidR="00B129BF" w:rsidRPr="00982FC4">
        <w:t xml:space="preserve"> </w:t>
      </w:r>
      <w:r w:rsidRPr="00982FC4">
        <w:t>William Collins Sons &amp; Co Ltd</w:t>
      </w:r>
      <w:r w:rsidR="00B129BF">
        <w:t>.</w:t>
      </w:r>
    </w:p>
    <w:p w:rsidR="00982FC4" w:rsidRPr="00976518" w:rsidRDefault="00982FC4" w:rsidP="007E5A17">
      <w:r w:rsidRPr="00976518">
        <w:t>[1</w:t>
      </w:r>
      <w:r w:rsidR="00DE4C8D">
        <w:t>9</w:t>
      </w:r>
      <w:r w:rsidRPr="00976518">
        <w:t xml:space="preserve">] </w:t>
      </w:r>
      <w:proofErr w:type="spellStart"/>
      <w:r w:rsidRPr="00976518">
        <w:t>Jager</w:t>
      </w:r>
      <w:proofErr w:type="spellEnd"/>
      <w:r w:rsidRPr="00976518">
        <w:t xml:space="preserve"> EJ, Muller F, Ritz CM, </w:t>
      </w:r>
      <w:proofErr w:type="spellStart"/>
      <w:r w:rsidRPr="00976518">
        <w:t>Welk</w:t>
      </w:r>
      <w:proofErr w:type="spellEnd"/>
      <w:r w:rsidRPr="00976518">
        <w:t xml:space="preserve"> E</w:t>
      </w:r>
      <w:r w:rsidR="00DA3D03" w:rsidRPr="00976518">
        <w:t>,</w:t>
      </w:r>
      <w:r w:rsidRPr="00976518">
        <w:t xml:space="preserve"> </w:t>
      </w:r>
      <w:proofErr w:type="spellStart"/>
      <w:r w:rsidRPr="00976518">
        <w:t>Wesche</w:t>
      </w:r>
      <w:proofErr w:type="spellEnd"/>
      <w:r w:rsidRPr="00976518">
        <w:t xml:space="preserve"> K. 2013 </w:t>
      </w:r>
      <w:proofErr w:type="spellStart"/>
      <w:r w:rsidRPr="00976518">
        <w:rPr>
          <w:i/>
        </w:rPr>
        <w:t>Rothmaler</w:t>
      </w:r>
      <w:proofErr w:type="spellEnd"/>
      <w:r w:rsidRPr="00976518">
        <w:rPr>
          <w:i/>
        </w:rPr>
        <w:t xml:space="preserve"> </w:t>
      </w:r>
      <w:proofErr w:type="spellStart"/>
      <w:r w:rsidR="005C5A94" w:rsidRPr="00976518">
        <w:rPr>
          <w:i/>
        </w:rPr>
        <w:t>e</w:t>
      </w:r>
      <w:r w:rsidRPr="00976518">
        <w:rPr>
          <w:i/>
        </w:rPr>
        <w:t>xkursionsflora</w:t>
      </w:r>
      <w:proofErr w:type="spellEnd"/>
      <w:r w:rsidRPr="00976518">
        <w:rPr>
          <w:i/>
        </w:rPr>
        <w:t xml:space="preserve"> von Deutschland</w:t>
      </w:r>
      <w:r w:rsidRPr="00976518">
        <w:t xml:space="preserve">. </w:t>
      </w:r>
      <w:r w:rsidR="00B129BF" w:rsidRPr="00976518">
        <w:t xml:space="preserve">Berlin: </w:t>
      </w:r>
      <w:r w:rsidRPr="00976518">
        <w:t xml:space="preserve">Springer </w:t>
      </w:r>
      <w:proofErr w:type="spellStart"/>
      <w:r w:rsidRPr="00976518">
        <w:t>Spektrum</w:t>
      </w:r>
      <w:proofErr w:type="spellEnd"/>
      <w:r w:rsidR="00B129BF" w:rsidRPr="00976518">
        <w:t>.</w:t>
      </w:r>
    </w:p>
    <w:p w:rsidR="00982FC4" w:rsidRPr="00982FC4" w:rsidRDefault="00982FC4" w:rsidP="007E5A17">
      <w:r w:rsidRPr="00976518">
        <w:t>[</w:t>
      </w:r>
      <w:r w:rsidR="00DE4C8D">
        <w:t>20</w:t>
      </w:r>
      <w:r w:rsidRPr="00976518">
        <w:t xml:space="preserve">] </w:t>
      </w:r>
      <w:proofErr w:type="spellStart"/>
      <w:r w:rsidR="00D0600D" w:rsidRPr="00D0600D">
        <w:t>Jermy</w:t>
      </w:r>
      <w:proofErr w:type="spellEnd"/>
      <w:r w:rsidR="00D0600D" w:rsidRPr="00D0600D">
        <w:t xml:space="preserve"> AC, Simpson DA, Foley MJY, Porter MS. 2008 Sedges of the British Isles. 3rd ed. London:  Botanical Society of the British Isles.</w:t>
      </w:r>
    </w:p>
    <w:p w:rsidR="00982FC4" w:rsidRPr="00982FC4" w:rsidRDefault="00982FC4" w:rsidP="007E5A17">
      <w:r w:rsidRPr="00982FC4">
        <w:t>[2</w:t>
      </w:r>
      <w:r w:rsidR="00DE4C8D">
        <w:t>1</w:t>
      </w:r>
      <w:r w:rsidRPr="00982FC4">
        <w:t>] Poland J</w:t>
      </w:r>
      <w:r w:rsidR="00DA3D03">
        <w:t>,</w:t>
      </w:r>
      <w:r w:rsidRPr="00982FC4">
        <w:t xml:space="preserve"> Clement E. 2009 </w:t>
      </w:r>
      <w:proofErr w:type="gramStart"/>
      <w:r w:rsidRPr="00C354EF">
        <w:rPr>
          <w:i/>
        </w:rPr>
        <w:t>The</w:t>
      </w:r>
      <w:proofErr w:type="gramEnd"/>
      <w:r w:rsidRPr="00C354EF">
        <w:rPr>
          <w:i/>
        </w:rPr>
        <w:t xml:space="preserve"> </w:t>
      </w:r>
      <w:r w:rsidR="005C5A94">
        <w:rPr>
          <w:i/>
        </w:rPr>
        <w:t>v</w:t>
      </w:r>
      <w:r w:rsidRPr="00C354EF">
        <w:rPr>
          <w:i/>
        </w:rPr>
        <w:t xml:space="preserve">egetative </w:t>
      </w:r>
      <w:r w:rsidR="005C5A94">
        <w:rPr>
          <w:i/>
        </w:rPr>
        <w:t>k</w:t>
      </w:r>
      <w:r w:rsidR="00976518">
        <w:rPr>
          <w:i/>
        </w:rPr>
        <w:t>ey to the British f</w:t>
      </w:r>
      <w:r w:rsidRPr="00C354EF">
        <w:rPr>
          <w:i/>
        </w:rPr>
        <w:t>lora</w:t>
      </w:r>
      <w:r w:rsidRPr="00EC7A90">
        <w:t xml:space="preserve">. </w:t>
      </w:r>
      <w:r w:rsidR="00EC7A90">
        <w:rPr>
          <w:rFonts w:eastAsia="Arial Unicode MS" w:cs="Arial Unicode MS"/>
          <w:color w:val="000000"/>
          <w:shd w:val="clear" w:color="auto" w:fill="FFFFFF"/>
        </w:rPr>
        <w:t>Southampton: John Poland and</w:t>
      </w:r>
      <w:r w:rsidR="00EC7A90" w:rsidRPr="00EC7A90">
        <w:rPr>
          <w:rFonts w:eastAsia="Arial Unicode MS" w:cs="Arial Unicode MS"/>
          <w:color w:val="000000"/>
          <w:shd w:val="clear" w:color="auto" w:fill="FFFFFF"/>
        </w:rPr>
        <w:t xml:space="preserve"> </w:t>
      </w:r>
      <w:proofErr w:type="gramStart"/>
      <w:r w:rsidR="00EC7A90" w:rsidRPr="00EC7A90">
        <w:rPr>
          <w:rFonts w:eastAsia="Arial Unicode MS" w:cs="Arial Unicode MS"/>
          <w:color w:val="000000"/>
          <w:shd w:val="clear" w:color="auto" w:fill="FFFFFF"/>
        </w:rPr>
        <w:t>The</w:t>
      </w:r>
      <w:proofErr w:type="gramEnd"/>
      <w:r w:rsidR="00EC7A90" w:rsidRPr="00EC7A90">
        <w:rPr>
          <w:rFonts w:eastAsia="Arial Unicode MS" w:cs="Arial Unicode MS"/>
          <w:color w:val="000000"/>
          <w:shd w:val="clear" w:color="auto" w:fill="FFFFFF"/>
        </w:rPr>
        <w:t xml:space="preserve"> Botanical Society of the British Isles</w:t>
      </w:r>
      <w:r w:rsidR="00EC7A90">
        <w:rPr>
          <w:rFonts w:eastAsia="Arial Unicode MS" w:cs="Arial Unicode MS"/>
          <w:color w:val="000000"/>
          <w:shd w:val="clear" w:color="auto" w:fill="FFFFFF"/>
        </w:rPr>
        <w:t>.</w:t>
      </w:r>
    </w:p>
    <w:p w:rsidR="00982FC4" w:rsidRPr="00982FC4" w:rsidRDefault="00982FC4" w:rsidP="007E5A17">
      <w:r w:rsidRPr="00982FC4">
        <w:t>[2</w:t>
      </w:r>
      <w:r w:rsidR="00DE4C8D">
        <w:t>2</w:t>
      </w:r>
      <w:r w:rsidRPr="00982FC4">
        <w:t xml:space="preserve">] Rose F. 1981 </w:t>
      </w:r>
      <w:proofErr w:type="gramStart"/>
      <w:r w:rsidRPr="00C354EF">
        <w:rPr>
          <w:i/>
        </w:rPr>
        <w:t>The</w:t>
      </w:r>
      <w:proofErr w:type="gramEnd"/>
      <w:r w:rsidRPr="00C354EF">
        <w:rPr>
          <w:i/>
        </w:rPr>
        <w:t xml:space="preserve"> </w:t>
      </w:r>
      <w:r w:rsidR="005C5A94">
        <w:rPr>
          <w:i/>
        </w:rPr>
        <w:t>w</w:t>
      </w:r>
      <w:r w:rsidRPr="00C354EF">
        <w:rPr>
          <w:i/>
        </w:rPr>
        <w:t xml:space="preserve">ild </w:t>
      </w:r>
      <w:r w:rsidR="005C5A94">
        <w:rPr>
          <w:i/>
        </w:rPr>
        <w:t>f</w:t>
      </w:r>
      <w:r w:rsidRPr="00C354EF">
        <w:rPr>
          <w:i/>
        </w:rPr>
        <w:t xml:space="preserve">lower </w:t>
      </w:r>
      <w:r w:rsidR="005C5A94">
        <w:rPr>
          <w:i/>
        </w:rPr>
        <w:t>k</w:t>
      </w:r>
      <w:r w:rsidRPr="00C354EF">
        <w:rPr>
          <w:i/>
        </w:rPr>
        <w:t>ey of the British Isles and N.W. Europe</w:t>
      </w:r>
      <w:r w:rsidRPr="00982FC4">
        <w:t xml:space="preserve">. </w:t>
      </w:r>
      <w:r w:rsidR="0086307A" w:rsidRPr="00982FC4">
        <w:t>London</w:t>
      </w:r>
      <w:r w:rsidR="0086307A">
        <w:t>:</w:t>
      </w:r>
      <w:r w:rsidR="0086307A" w:rsidRPr="00982FC4">
        <w:t xml:space="preserve"> </w:t>
      </w:r>
      <w:r w:rsidR="00EC7A90">
        <w:t xml:space="preserve">Frederick Warne </w:t>
      </w:r>
      <w:r w:rsidRPr="00982FC4">
        <w:t>Publishers Ltd.</w:t>
      </w:r>
    </w:p>
    <w:p w:rsidR="00982FC4" w:rsidRPr="00982FC4" w:rsidRDefault="00982FC4" w:rsidP="007E5A17">
      <w:proofErr w:type="gramStart"/>
      <w:r w:rsidRPr="00982FC4">
        <w:t>[2</w:t>
      </w:r>
      <w:r w:rsidR="00DE4C8D">
        <w:t>3</w:t>
      </w:r>
      <w:r w:rsidRPr="00982FC4">
        <w:t>] Rose</w:t>
      </w:r>
      <w:proofErr w:type="gramEnd"/>
      <w:r w:rsidRPr="00982FC4">
        <w:t xml:space="preserve"> F. 1989 </w:t>
      </w:r>
      <w:r w:rsidRPr="00C354EF">
        <w:rPr>
          <w:i/>
        </w:rPr>
        <w:t xml:space="preserve">Colour </w:t>
      </w:r>
      <w:r w:rsidR="00976518">
        <w:rPr>
          <w:i/>
        </w:rPr>
        <w:t>i</w:t>
      </w:r>
      <w:r w:rsidR="00976518" w:rsidRPr="00C354EF">
        <w:rPr>
          <w:i/>
        </w:rPr>
        <w:t>dentification</w:t>
      </w:r>
      <w:r w:rsidRPr="00C354EF">
        <w:rPr>
          <w:i/>
        </w:rPr>
        <w:t xml:space="preserve"> </w:t>
      </w:r>
      <w:r w:rsidR="005C5A94">
        <w:rPr>
          <w:i/>
        </w:rPr>
        <w:t>g</w:t>
      </w:r>
      <w:r w:rsidRPr="00C354EF">
        <w:rPr>
          <w:i/>
        </w:rPr>
        <w:t xml:space="preserve">uide to the </w:t>
      </w:r>
      <w:r w:rsidR="005C5A94">
        <w:rPr>
          <w:i/>
        </w:rPr>
        <w:t>g</w:t>
      </w:r>
      <w:r w:rsidRPr="00C354EF">
        <w:rPr>
          <w:i/>
        </w:rPr>
        <w:t xml:space="preserve">rasses, </w:t>
      </w:r>
      <w:r w:rsidR="005C5A94">
        <w:rPr>
          <w:i/>
        </w:rPr>
        <w:t>s</w:t>
      </w:r>
      <w:r w:rsidRPr="00C354EF">
        <w:rPr>
          <w:i/>
        </w:rPr>
        <w:t xml:space="preserve">edges, </w:t>
      </w:r>
      <w:r w:rsidR="005C5A94">
        <w:rPr>
          <w:i/>
        </w:rPr>
        <w:t>r</w:t>
      </w:r>
      <w:r w:rsidRPr="00C354EF">
        <w:rPr>
          <w:i/>
        </w:rPr>
        <w:t xml:space="preserve">ushes and </w:t>
      </w:r>
      <w:r w:rsidR="005C5A94">
        <w:rPr>
          <w:i/>
        </w:rPr>
        <w:t>f</w:t>
      </w:r>
      <w:r w:rsidR="00EC7A90">
        <w:rPr>
          <w:i/>
        </w:rPr>
        <w:t>erns of the British Isles and n</w:t>
      </w:r>
      <w:r w:rsidRPr="00C354EF">
        <w:rPr>
          <w:i/>
        </w:rPr>
        <w:t>orth-</w:t>
      </w:r>
      <w:r w:rsidR="00EC7A90">
        <w:rPr>
          <w:i/>
        </w:rPr>
        <w:t>w</w:t>
      </w:r>
      <w:r w:rsidRPr="00C354EF">
        <w:rPr>
          <w:i/>
        </w:rPr>
        <w:t>estern Europe</w:t>
      </w:r>
      <w:r w:rsidRPr="00982FC4">
        <w:t xml:space="preserve">. </w:t>
      </w:r>
      <w:r w:rsidR="0086307A" w:rsidRPr="00982FC4">
        <w:t>London</w:t>
      </w:r>
      <w:r w:rsidR="0086307A">
        <w:t xml:space="preserve">: </w:t>
      </w:r>
      <w:r w:rsidRPr="00982FC4">
        <w:t xml:space="preserve">Penguin </w:t>
      </w:r>
      <w:r w:rsidR="00EC7A90">
        <w:t>Books Ltd</w:t>
      </w:r>
      <w:r w:rsidR="0086307A">
        <w:t>.</w:t>
      </w:r>
    </w:p>
    <w:p w:rsidR="00982FC4" w:rsidRPr="00982FC4" w:rsidRDefault="00982FC4" w:rsidP="007E5A17">
      <w:r w:rsidRPr="00982FC4">
        <w:t>[2</w:t>
      </w:r>
      <w:r w:rsidR="00DE4C8D">
        <w:t>4</w:t>
      </w:r>
      <w:r w:rsidRPr="00982FC4">
        <w:t xml:space="preserve">] Rose F. 2006 </w:t>
      </w:r>
      <w:proofErr w:type="gramStart"/>
      <w:r w:rsidRPr="00C354EF">
        <w:rPr>
          <w:i/>
        </w:rPr>
        <w:t>The</w:t>
      </w:r>
      <w:proofErr w:type="gramEnd"/>
      <w:r w:rsidRPr="00C354EF">
        <w:rPr>
          <w:i/>
        </w:rPr>
        <w:t xml:space="preserve"> </w:t>
      </w:r>
      <w:r w:rsidR="005C5A94">
        <w:rPr>
          <w:i/>
        </w:rPr>
        <w:t>w</w:t>
      </w:r>
      <w:r w:rsidRPr="00C354EF">
        <w:rPr>
          <w:i/>
        </w:rPr>
        <w:t xml:space="preserve">ild </w:t>
      </w:r>
      <w:r w:rsidR="005C5A94">
        <w:rPr>
          <w:i/>
        </w:rPr>
        <w:t>f</w:t>
      </w:r>
      <w:r w:rsidRPr="00C354EF">
        <w:rPr>
          <w:i/>
        </w:rPr>
        <w:t xml:space="preserve">lower </w:t>
      </w:r>
      <w:r w:rsidR="005C5A94">
        <w:rPr>
          <w:i/>
        </w:rPr>
        <w:t>k</w:t>
      </w:r>
      <w:r w:rsidRPr="00C354EF">
        <w:rPr>
          <w:i/>
        </w:rPr>
        <w:t>ey</w:t>
      </w:r>
      <w:r w:rsidRPr="00982FC4">
        <w:t>.</w:t>
      </w:r>
      <w:r w:rsidR="00EC7A90" w:rsidRPr="00EC7A90">
        <w:rPr>
          <w:rFonts w:ascii="Verdana" w:hAnsi="Verdana"/>
          <w:color w:val="000000"/>
          <w:sz w:val="17"/>
          <w:szCs w:val="17"/>
          <w:shd w:val="clear" w:color="auto" w:fill="FFFFFF"/>
        </w:rPr>
        <w:t xml:space="preserve"> </w:t>
      </w:r>
      <w:proofErr w:type="gramStart"/>
      <w:r w:rsidR="00EC7A90" w:rsidRPr="00976518">
        <w:rPr>
          <w:color w:val="000000"/>
          <w:shd w:val="clear" w:color="auto" w:fill="FFFFFF"/>
        </w:rPr>
        <w:t>Re</w:t>
      </w:r>
      <w:r w:rsidR="00EC7A90" w:rsidRPr="00EC7A90">
        <w:rPr>
          <w:color w:val="000000"/>
          <w:szCs w:val="17"/>
          <w:shd w:val="clear" w:color="auto" w:fill="FFFFFF"/>
        </w:rPr>
        <w:t>vised and expanded edition</w:t>
      </w:r>
      <w:r w:rsidR="00EC7A90">
        <w:rPr>
          <w:color w:val="000000"/>
          <w:szCs w:val="17"/>
          <w:shd w:val="clear" w:color="auto" w:fill="FFFFFF"/>
        </w:rPr>
        <w:t>.</w:t>
      </w:r>
      <w:proofErr w:type="gramEnd"/>
      <w:r w:rsidRPr="00EC7A90">
        <w:rPr>
          <w:sz w:val="32"/>
        </w:rPr>
        <w:t xml:space="preserve"> </w:t>
      </w:r>
      <w:r w:rsidR="0086307A" w:rsidRPr="00982FC4">
        <w:t>London</w:t>
      </w:r>
      <w:r w:rsidR="0086307A">
        <w:t>:</w:t>
      </w:r>
      <w:r w:rsidR="0086307A" w:rsidRPr="00982FC4">
        <w:t xml:space="preserve"> </w:t>
      </w:r>
      <w:r w:rsidR="00EC7A90">
        <w:t>Frederick Warne Publishers</w:t>
      </w:r>
      <w:r w:rsidRPr="00982FC4">
        <w:t xml:space="preserve"> Ltd.</w:t>
      </w:r>
      <w:bookmarkStart w:id="5" w:name="_GoBack"/>
      <w:bookmarkEnd w:id="5"/>
    </w:p>
    <w:p w:rsidR="00982FC4" w:rsidRPr="00194566" w:rsidRDefault="00982FC4" w:rsidP="007E5A17">
      <w:pPr>
        <w:shd w:val="clear" w:color="auto" w:fill="FFFFFF"/>
        <w:spacing w:before="100" w:beforeAutospacing="1" w:after="100" w:afterAutospacing="1" w:line="240" w:lineRule="auto"/>
        <w:rPr>
          <w:rFonts w:eastAsia="Times New Roman" w:cs="Arial"/>
          <w:szCs w:val="21"/>
          <w:lang w:eastAsia="en-GB"/>
        </w:rPr>
      </w:pPr>
      <w:r w:rsidRPr="00982FC4">
        <w:t>[2</w:t>
      </w:r>
      <w:r w:rsidR="00DE4C8D">
        <w:t>5</w:t>
      </w:r>
      <w:r w:rsidRPr="00982FC4">
        <w:t xml:space="preserve">] </w:t>
      </w:r>
      <w:proofErr w:type="spellStart"/>
      <w:r w:rsidRPr="00982FC4">
        <w:t>Coulson</w:t>
      </w:r>
      <w:proofErr w:type="spellEnd"/>
      <w:r w:rsidRPr="00982FC4">
        <w:t xml:space="preserve"> SJ, Bullock JM, Stevenson MJ</w:t>
      </w:r>
      <w:r w:rsidR="00DA3D03">
        <w:t>,</w:t>
      </w:r>
      <w:r w:rsidRPr="00982FC4">
        <w:t xml:space="preserve"> </w:t>
      </w:r>
      <w:proofErr w:type="spellStart"/>
      <w:r w:rsidRPr="00982FC4">
        <w:t>Pywell</w:t>
      </w:r>
      <w:proofErr w:type="spellEnd"/>
      <w:r w:rsidRPr="00982FC4">
        <w:t xml:space="preserve"> RF. 200</w:t>
      </w:r>
      <w:r w:rsidR="00194566">
        <w:t>1</w:t>
      </w:r>
      <w:r w:rsidRPr="00982FC4">
        <w:t xml:space="preserve"> Colonization of grassland by sown species: dispersal versus </w:t>
      </w:r>
      <w:proofErr w:type="spellStart"/>
      <w:r w:rsidRPr="00982FC4">
        <w:t>microsite</w:t>
      </w:r>
      <w:proofErr w:type="spellEnd"/>
      <w:r w:rsidRPr="00982FC4">
        <w:t xml:space="preserve"> limitation in responses to management. </w:t>
      </w:r>
      <w:r w:rsidR="0086307A" w:rsidRPr="00194566">
        <w:rPr>
          <w:i/>
        </w:rPr>
        <w:t xml:space="preserve">J. </w:t>
      </w:r>
      <w:r w:rsidRPr="00194566">
        <w:rPr>
          <w:i/>
        </w:rPr>
        <w:t>Appl</w:t>
      </w:r>
      <w:r w:rsidR="0086307A" w:rsidRPr="00194566">
        <w:rPr>
          <w:i/>
        </w:rPr>
        <w:t>.</w:t>
      </w:r>
      <w:r w:rsidRPr="00194566">
        <w:rPr>
          <w:i/>
        </w:rPr>
        <w:t xml:space="preserve"> Ecol</w:t>
      </w:r>
      <w:r w:rsidR="0086307A" w:rsidRPr="00194566">
        <w:rPr>
          <w:i/>
        </w:rPr>
        <w:t>.</w:t>
      </w:r>
      <w:r w:rsidRPr="00982FC4">
        <w:t xml:space="preserve"> </w:t>
      </w:r>
      <w:r w:rsidRPr="00194566">
        <w:rPr>
          <w:b/>
        </w:rPr>
        <w:t>38,</w:t>
      </w:r>
      <w:r w:rsidRPr="00982FC4">
        <w:t xml:space="preserve"> 204–216</w:t>
      </w:r>
      <w:r w:rsidRPr="00194566">
        <w:t>.</w:t>
      </w:r>
      <w:r w:rsidR="00194566" w:rsidRPr="00194566">
        <w:rPr>
          <w:rFonts w:eastAsia="Times New Roman" w:cs="Arial"/>
          <w:lang w:eastAsia="en-GB"/>
        </w:rPr>
        <w:t xml:space="preserve"> </w:t>
      </w:r>
      <w:r w:rsidR="00194566">
        <w:rPr>
          <w:rFonts w:eastAsia="Times New Roman" w:cs="Arial"/>
          <w:lang w:eastAsia="en-GB"/>
        </w:rPr>
        <w:t>(</w:t>
      </w:r>
      <w:proofErr w:type="spellStart"/>
      <w:proofErr w:type="gramStart"/>
      <w:r w:rsidR="00194566">
        <w:rPr>
          <w:rFonts w:eastAsia="Times New Roman" w:cs="Arial"/>
          <w:lang w:eastAsia="en-GB"/>
        </w:rPr>
        <w:t>d</w:t>
      </w:r>
      <w:r w:rsidR="00194566" w:rsidRPr="00194566">
        <w:rPr>
          <w:rFonts w:eastAsia="Times New Roman" w:cs="Arial"/>
          <w:lang w:eastAsia="en-GB"/>
        </w:rPr>
        <w:t>oi</w:t>
      </w:r>
      <w:proofErr w:type="spellEnd"/>
      <w:proofErr w:type="gramEnd"/>
      <w:r w:rsidR="00194566" w:rsidRPr="00194566">
        <w:rPr>
          <w:rFonts w:eastAsia="Times New Roman" w:cs="Arial"/>
          <w:lang w:eastAsia="en-GB"/>
        </w:rPr>
        <w:t>: 10.</w:t>
      </w:r>
      <w:r w:rsidR="00194566" w:rsidRPr="00194566">
        <w:rPr>
          <w:rFonts w:eastAsia="Times New Roman" w:cs="Arial"/>
          <w:szCs w:val="21"/>
          <w:lang w:eastAsia="en-GB"/>
        </w:rPr>
        <w:t>1046/j.1365-2664.2001.00585.x</w:t>
      </w:r>
      <w:r w:rsidR="00194566">
        <w:rPr>
          <w:rFonts w:eastAsia="Times New Roman" w:cs="Arial"/>
          <w:szCs w:val="21"/>
          <w:lang w:eastAsia="en-GB"/>
        </w:rPr>
        <w:t>)</w:t>
      </w:r>
    </w:p>
    <w:p w:rsidR="00982FC4" w:rsidRPr="006719D7" w:rsidRDefault="00982FC4" w:rsidP="007E5A17">
      <w:r w:rsidRPr="00982FC4">
        <w:t>[2</w:t>
      </w:r>
      <w:r w:rsidR="00DE4C8D">
        <w:t>6</w:t>
      </w:r>
      <w:r w:rsidRPr="00982FC4">
        <w:t xml:space="preserve">] </w:t>
      </w:r>
      <w:proofErr w:type="spellStart"/>
      <w:r w:rsidRPr="00982FC4">
        <w:t>Phalan</w:t>
      </w:r>
      <w:proofErr w:type="spellEnd"/>
      <w:r w:rsidRPr="00982FC4">
        <w:t xml:space="preserve"> B, </w:t>
      </w:r>
      <w:proofErr w:type="spellStart"/>
      <w:r w:rsidRPr="00982FC4">
        <w:t>Onial</w:t>
      </w:r>
      <w:proofErr w:type="spellEnd"/>
      <w:r w:rsidRPr="00982FC4">
        <w:t xml:space="preserve"> M, </w:t>
      </w:r>
      <w:proofErr w:type="spellStart"/>
      <w:r w:rsidRPr="00982FC4">
        <w:t>Balmford</w:t>
      </w:r>
      <w:proofErr w:type="spellEnd"/>
      <w:r w:rsidRPr="00982FC4">
        <w:t xml:space="preserve"> A, Green RE</w:t>
      </w:r>
      <w:r w:rsidR="00DA3D03">
        <w:t>.</w:t>
      </w:r>
      <w:r w:rsidRPr="00982FC4">
        <w:t xml:space="preserve"> 2011 Reconciling </w:t>
      </w:r>
      <w:r w:rsidR="0086307A">
        <w:t>f</w:t>
      </w:r>
      <w:r w:rsidRPr="00982FC4">
        <w:t xml:space="preserve">ood </w:t>
      </w:r>
      <w:r w:rsidR="0086307A">
        <w:t>p</w:t>
      </w:r>
      <w:r w:rsidRPr="00982FC4">
        <w:t xml:space="preserve">roduction and </w:t>
      </w:r>
      <w:r w:rsidR="0086307A">
        <w:t>b</w:t>
      </w:r>
      <w:r w:rsidRPr="00982FC4">
        <w:t xml:space="preserve">iodiversity </w:t>
      </w:r>
      <w:r w:rsidR="0086307A">
        <w:t>c</w:t>
      </w:r>
      <w:r w:rsidRPr="00982FC4">
        <w:t xml:space="preserve">onservation: </w:t>
      </w:r>
      <w:r w:rsidR="0086307A">
        <w:t>l</w:t>
      </w:r>
      <w:r w:rsidRPr="00982FC4">
        <w:t xml:space="preserve">and </w:t>
      </w:r>
      <w:r w:rsidR="0086307A">
        <w:t>s</w:t>
      </w:r>
      <w:r w:rsidRPr="00982FC4">
        <w:t xml:space="preserve">haring and </w:t>
      </w:r>
      <w:r w:rsidR="0086307A">
        <w:t>l</w:t>
      </w:r>
      <w:r w:rsidRPr="00982FC4">
        <w:t xml:space="preserve">and </w:t>
      </w:r>
      <w:r w:rsidR="0086307A">
        <w:t>s</w:t>
      </w:r>
      <w:r w:rsidRPr="00982FC4">
        <w:t xml:space="preserve">paring </w:t>
      </w:r>
      <w:r w:rsidR="0086307A">
        <w:t>c</w:t>
      </w:r>
      <w:r w:rsidRPr="00982FC4">
        <w:t xml:space="preserve">ompared. </w:t>
      </w:r>
      <w:r w:rsidRPr="00C354EF">
        <w:rPr>
          <w:i/>
        </w:rPr>
        <w:t>Science</w:t>
      </w:r>
      <w:r w:rsidRPr="00982FC4">
        <w:t xml:space="preserve"> </w:t>
      </w:r>
      <w:r w:rsidRPr="00C354EF">
        <w:rPr>
          <w:b/>
        </w:rPr>
        <w:t>333,</w:t>
      </w:r>
      <w:r w:rsidRPr="00982FC4">
        <w:t xml:space="preserve"> 1289–</w:t>
      </w:r>
      <w:r w:rsidRPr="006719D7">
        <w:t>1291.</w:t>
      </w:r>
      <w:r w:rsidR="006719D7" w:rsidRPr="006719D7">
        <w:rPr>
          <w:rFonts w:cs="Arial"/>
          <w:color w:val="000000"/>
          <w:shd w:val="clear" w:color="auto" w:fill="FFFFFF"/>
        </w:rPr>
        <w:t xml:space="preserve"> </w:t>
      </w:r>
      <w:r w:rsidR="006719D7">
        <w:rPr>
          <w:rFonts w:cs="Arial"/>
          <w:color w:val="000000"/>
          <w:shd w:val="clear" w:color="auto" w:fill="FFFFFF"/>
        </w:rPr>
        <w:t>(</w:t>
      </w:r>
      <w:proofErr w:type="spellStart"/>
      <w:proofErr w:type="gramStart"/>
      <w:r w:rsidR="006719D7" w:rsidRPr="006719D7">
        <w:rPr>
          <w:rFonts w:cs="Arial"/>
          <w:color w:val="000000"/>
          <w:shd w:val="clear" w:color="auto" w:fill="FFFFFF"/>
        </w:rPr>
        <w:t>doi</w:t>
      </w:r>
      <w:proofErr w:type="spellEnd"/>
      <w:proofErr w:type="gramEnd"/>
      <w:r w:rsidR="006719D7" w:rsidRPr="006719D7">
        <w:rPr>
          <w:rFonts w:cs="Arial"/>
          <w:color w:val="000000"/>
          <w:shd w:val="clear" w:color="auto" w:fill="FFFFFF"/>
        </w:rPr>
        <w:t>: 10.1126/science.1208742</w:t>
      </w:r>
      <w:r w:rsidR="006719D7">
        <w:rPr>
          <w:rFonts w:cs="Arial"/>
          <w:color w:val="000000"/>
          <w:shd w:val="clear" w:color="auto" w:fill="FFFFFF"/>
        </w:rPr>
        <w:t>)</w:t>
      </w:r>
    </w:p>
    <w:p w:rsidR="00982FC4" w:rsidRPr="00976518" w:rsidRDefault="00982FC4" w:rsidP="007E5A17">
      <w:r w:rsidRPr="00976518">
        <w:t>[2</w:t>
      </w:r>
      <w:r w:rsidR="00DE4C8D">
        <w:t>7</w:t>
      </w:r>
      <w:r w:rsidRPr="00976518">
        <w:t xml:space="preserve">] </w:t>
      </w:r>
      <w:proofErr w:type="spellStart"/>
      <w:r w:rsidRPr="00976518">
        <w:t>Varadhan</w:t>
      </w:r>
      <w:proofErr w:type="spellEnd"/>
      <w:r w:rsidRPr="00976518">
        <w:t xml:space="preserve"> R. 2015 </w:t>
      </w:r>
      <w:proofErr w:type="spellStart"/>
      <w:proofErr w:type="gramStart"/>
      <w:r w:rsidR="0040033B" w:rsidRPr="00976518">
        <w:t>a</w:t>
      </w:r>
      <w:r w:rsidRPr="00976518">
        <w:t>labama</w:t>
      </w:r>
      <w:proofErr w:type="spellEnd"/>
      <w:proofErr w:type="gramEnd"/>
      <w:r w:rsidRPr="00976518">
        <w:t>: Constrained Nonlinear Optimization.</w:t>
      </w:r>
      <w:r w:rsidR="0040033B" w:rsidRPr="00976518">
        <w:rPr>
          <w:color w:val="000000"/>
          <w:shd w:val="clear" w:color="auto" w:fill="FFFFFF"/>
        </w:rPr>
        <w:t xml:space="preserve"> </w:t>
      </w:r>
      <w:proofErr w:type="gramStart"/>
      <w:r w:rsidR="00C66090" w:rsidRPr="00976518">
        <w:rPr>
          <w:color w:val="000000"/>
          <w:shd w:val="clear" w:color="auto" w:fill="FFFFFF"/>
        </w:rPr>
        <w:t>R package version 2015.3-</w:t>
      </w:r>
      <w:r w:rsidR="00C66090" w:rsidRPr="007E5A17">
        <w:rPr>
          <w:shd w:val="clear" w:color="auto" w:fill="FFFFFF"/>
        </w:rPr>
        <w:t>1.</w:t>
      </w:r>
      <w:proofErr w:type="gramEnd"/>
      <w:r w:rsidR="00FD4BCE" w:rsidRPr="007E5A17">
        <w:rPr>
          <w:shd w:val="clear" w:color="auto" w:fill="FFFFFF"/>
        </w:rPr>
        <w:t xml:space="preserve"> </w:t>
      </w:r>
      <w:r w:rsidR="0040033B" w:rsidRPr="007E5A17">
        <w:rPr>
          <w:shd w:val="clear" w:color="auto" w:fill="FFFFFF"/>
        </w:rPr>
        <w:t xml:space="preserve">http://CRAN.R-project.org/package=alabama </w:t>
      </w:r>
    </w:p>
    <w:p w:rsidR="00982FC4" w:rsidRPr="00982FC4" w:rsidRDefault="00982FC4" w:rsidP="007E5A17">
      <w:r w:rsidRPr="00976518">
        <w:t>[2</w:t>
      </w:r>
      <w:r w:rsidR="00DE4C8D">
        <w:t>8</w:t>
      </w:r>
      <w:r w:rsidRPr="00976518">
        <w:t xml:space="preserve">] Foley JA. 2011 Can we feed the world &amp; sustain the planet? </w:t>
      </w:r>
      <w:r w:rsidRPr="00976518">
        <w:rPr>
          <w:i/>
        </w:rPr>
        <w:t>Sci</w:t>
      </w:r>
      <w:r w:rsidR="00CE36B2" w:rsidRPr="00976518">
        <w:rPr>
          <w:i/>
        </w:rPr>
        <w:t>.</w:t>
      </w:r>
      <w:r w:rsidRPr="00976518">
        <w:rPr>
          <w:i/>
        </w:rPr>
        <w:t xml:space="preserve"> Am</w:t>
      </w:r>
      <w:r w:rsidR="00CE36B2" w:rsidRPr="00976518">
        <w:rPr>
          <w:i/>
        </w:rPr>
        <w:t>.</w:t>
      </w:r>
      <w:r w:rsidRPr="00976518">
        <w:t xml:space="preserve"> </w:t>
      </w:r>
      <w:r w:rsidRPr="00976518">
        <w:rPr>
          <w:b/>
        </w:rPr>
        <w:t>305,</w:t>
      </w:r>
      <w:r w:rsidRPr="00976518">
        <w:t xml:space="preserve"> 60–65.</w:t>
      </w:r>
    </w:p>
    <w:p w:rsidR="00982FC4" w:rsidRPr="00982FC4" w:rsidRDefault="00982FC4" w:rsidP="007E5A17">
      <w:r w:rsidRPr="00982FC4">
        <w:t>[2</w:t>
      </w:r>
      <w:r w:rsidR="00DE4C8D">
        <w:t>9</w:t>
      </w:r>
      <w:r w:rsidRPr="00982FC4">
        <w:t xml:space="preserve">] </w:t>
      </w:r>
      <w:proofErr w:type="spellStart"/>
      <w:r w:rsidRPr="00982FC4">
        <w:t>Parfitt</w:t>
      </w:r>
      <w:proofErr w:type="spellEnd"/>
      <w:r w:rsidRPr="00982FC4">
        <w:t xml:space="preserve"> J, </w:t>
      </w:r>
      <w:proofErr w:type="spellStart"/>
      <w:r w:rsidRPr="00982FC4">
        <w:t>Barthel</w:t>
      </w:r>
      <w:proofErr w:type="spellEnd"/>
      <w:r w:rsidRPr="00982FC4">
        <w:t xml:space="preserve"> M</w:t>
      </w:r>
      <w:r w:rsidR="00DA3D03">
        <w:t>,</w:t>
      </w:r>
      <w:r w:rsidRPr="00982FC4">
        <w:t xml:space="preserve"> </w:t>
      </w:r>
      <w:proofErr w:type="spellStart"/>
      <w:r w:rsidRPr="00982FC4">
        <w:t>Macnaughton</w:t>
      </w:r>
      <w:proofErr w:type="spellEnd"/>
      <w:r w:rsidRPr="00982FC4">
        <w:t xml:space="preserve"> S. 2010 Food waste within food supply chains: quantification and potential for change to 2050. </w:t>
      </w:r>
      <w:proofErr w:type="gramStart"/>
      <w:r w:rsidRPr="00C354EF">
        <w:rPr>
          <w:i/>
        </w:rPr>
        <w:t>Phil</w:t>
      </w:r>
      <w:r w:rsidR="00CE36B2" w:rsidRPr="00C354EF">
        <w:rPr>
          <w:i/>
        </w:rPr>
        <w:t>.</w:t>
      </w:r>
      <w:r w:rsidRPr="00C354EF">
        <w:rPr>
          <w:i/>
        </w:rPr>
        <w:t xml:space="preserve"> Trans</w:t>
      </w:r>
      <w:r w:rsidR="00CE36B2">
        <w:rPr>
          <w:i/>
        </w:rPr>
        <w:t xml:space="preserve">. </w:t>
      </w:r>
      <w:r w:rsidRPr="00C354EF">
        <w:rPr>
          <w:i/>
        </w:rPr>
        <w:t>R</w:t>
      </w:r>
      <w:r w:rsidR="00CE36B2">
        <w:rPr>
          <w:i/>
        </w:rPr>
        <w:t>.</w:t>
      </w:r>
      <w:r w:rsidRPr="00C354EF">
        <w:rPr>
          <w:i/>
        </w:rPr>
        <w:t xml:space="preserve"> Soc</w:t>
      </w:r>
      <w:r w:rsidR="00CE36B2">
        <w:rPr>
          <w:i/>
        </w:rPr>
        <w:t>.</w:t>
      </w:r>
      <w:r w:rsidRPr="00C354EF">
        <w:rPr>
          <w:i/>
        </w:rPr>
        <w:t xml:space="preserve"> B</w:t>
      </w:r>
      <w:r w:rsidR="00CE36B2">
        <w:rPr>
          <w:i/>
        </w:rPr>
        <w:t>.</w:t>
      </w:r>
      <w:r w:rsidRPr="00982FC4">
        <w:t xml:space="preserve"> </w:t>
      </w:r>
      <w:r w:rsidRPr="00C354EF">
        <w:rPr>
          <w:b/>
        </w:rPr>
        <w:t>365,</w:t>
      </w:r>
      <w:r w:rsidRPr="00982FC4">
        <w:t xml:space="preserve"> 3065–3081.</w:t>
      </w:r>
      <w:proofErr w:type="gramEnd"/>
      <w:r w:rsidR="007142DE" w:rsidRPr="007142DE">
        <w:t xml:space="preserve"> </w:t>
      </w:r>
      <w:r w:rsidR="007142DE">
        <w:t>(doi:10.1098/rstb.2010.0126)</w:t>
      </w:r>
    </w:p>
    <w:p w:rsidR="00982FC4" w:rsidRPr="00982FC4" w:rsidRDefault="00982FC4" w:rsidP="007E5A17">
      <w:r w:rsidRPr="00982FC4">
        <w:t>[</w:t>
      </w:r>
      <w:r w:rsidR="00DE4C8D">
        <w:t>30</w:t>
      </w:r>
      <w:r w:rsidRPr="00982FC4">
        <w:t xml:space="preserve">] Lamb </w:t>
      </w:r>
      <w:proofErr w:type="gramStart"/>
      <w:r w:rsidRPr="00982FC4">
        <w:t>A</w:t>
      </w:r>
      <w:proofErr w:type="gramEnd"/>
      <w:r w:rsidR="00CE36B2">
        <w:t xml:space="preserve"> et al. </w:t>
      </w:r>
      <w:r w:rsidR="007142DE">
        <w:t>2016</w:t>
      </w:r>
      <w:r w:rsidRPr="00982FC4">
        <w:t xml:space="preserve"> The potential for land sparing to offset greenhouse gas emissions from agriculture. </w:t>
      </w:r>
      <w:r w:rsidRPr="00C354EF">
        <w:rPr>
          <w:i/>
        </w:rPr>
        <w:t>Nat</w:t>
      </w:r>
      <w:r w:rsidR="00976518">
        <w:rPr>
          <w:i/>
        </w:rPr>
        <w:t>.</w:t>
      </w:r>
      <w:r w:rsidRPr="00C354EF">
        <w:rPr>
          <w:i/>
        </w:rPr>
        <w:t xml:space="preserve"> </w:t>
      </w:r>
      <w:proofErr w:type="spellStart"/>
      <w:r w:rsidRPr="00C354EF">
        <w:rPr>
          <w:i/>
        </w:rPr>
        <w:t>Clim</w:t>
      </w:r>
      <w:proofErr w:type="spellEnd"/>
      <w:r w:rsidR="00976518">
        <w:rPr>
          <w:i/>
        </w:rPr>
        <w:t>.</w:t>
      </w:r>
      <w:r w:rsidRPr="00C354EF">
        <w:rPr>
          <w:i/>
        </w:rPr>
        <w:t xml:space="preserve"> Change</w:t>
      </w:r>
      <w:r w:rsidR="007142DE">
        <w:rPr>
          <w:i/>
        </w:rPr>
        <w:t xml:space="preserve"> </w:t>
      </w:r>
      <w:r w:rsidR="007142DE" w:rsidRPr="007142DE">
        <w:rPr>
          <w:b/>
        </w:rPr>
        <w:t>6</w:t>
      </w:r>
      <w:r w:rsidR="006F305F">
        <w:rPr>
          <w:b/>
        </w:rPr>
        <w:t>,</w:t>
      </w:r>
      <w:r w:rsidR="007142DE" w:rsidRPr="007142DE">
        <w:t xml:space="preserve"> 488</w:t>
      </w:r>
      <w:r w:rsidR="007142DE" w:rsidRPr="00982FC4">
        <w:t>–</w:t>
      </w:r>
      <w:r w:rsidR="007142DE" w:rsidRPr="007142DE">
        <w:t>492</w:t>
      </w:r>
      <w:r w:rsidRPr="007142DE">
        <w:t>.</w:t>
      </w:r>
      <w:r w:rsidR="007142DE" w:rsidRPr="007142DE">
        <w:t xml:space="preserve"> </w:t>
      </w:r>
      <w:r w:rsidR="007142DE">
        <w:t>(</w:t>
      </w:r>
      <w:proofErr w:type="spellStart"/>
      <w:proofErr w:type="gramStart"/>
      <w:r w:rsidR="007142DE">
        <w:t>doi</w:t>
      </w:r>
      <w:proofErr w:type="spellEnd"/>
      <w:proofErr w:type="gramEnd"/>
      <w:r w:rsidR="007142DE">
        <w:t>: 10.1038/NCLIMATE2910)</w:t>
      </w:r>
    </w:p>
    <w:p w:rsidR="00F60513" w:rsidRPr="004C1774" w:rsidRDefault="00982FC4" w:rsidP="007E5A17">
      <w:r w:rsidRPr="00982FC4">
        <w:t>[3</w:t>
      </w:r>
      <w:r w:rsidR="00DE4C8D">
        <w:t>1</w:t>
      </w:r>
      <w:r w:rsidRPr="00982FC4">
        <w:t xml:space="preserve">] </w:t>
      </w:r>
      <w:proofErr w:type="spellStart"/>
      <w:r w:rsidRPr="00982FC4">
        <w:t>Paracchini</w:t>
      </w:r>
      <w:proofErr w:type="spellEnd"/>
      <w:r w:rsidRPr="00982FC4">
        <w:t xml:space="preserve"> ML, Petersen J-E, </w:t>
      </w:r>
      <w:proofErr w:type="spellStart"/>
      <w:r w:rsidRPr="00982FC4">
        <w:t>Hoogeveen</w:t>
      </w:r>
      <w:proofErr w:type="spellEnd"/>
      <w:r w:rsidRPr="00982FC4">
        <w:t xml:space="preserve"> Y, </w:t>
      </w:r>
      <w:proofErr w:type="spellStart"/>
      <w:r w:rsidRPr="00982FC4">
        <w:t>Bamps</w:t>
      </w:r>
      <w:proofErr w:type="spellEnd"/>
      <w:r w:rsidRPr="00982FC4">
        <w:t xml:space="preserve"> C, </w:t>
      </w:r>
      <w:proofErr w:type="spellStart"/>
      <w:r w:rsidRPr="00982FC4">
        <w:t>Burfield</w:t>
      </w:r>
      <w:proofErr w:type="spellEnd"/>
      <w:r w:rsidRPr="00982FC4">
        <w:t xml:space="preserve"> I</w:t>
      </w:r>
      <w:r w:rsidR="00DA3D03">
        <w:t>,</w:t>
      </w:r>
      <w:r w:rsidRPr="00982FC4">
        <w:t xml:space="preserve"> van </w:t>
      </w:r>
      <w:proofErr w:type="spellStart"/>
      <w:r w:rsidRPr="00982FC4">
        <w:t>Swaay</w:t>
      </w:r>
      <w:proofErr w:type="spellEnd"/>
      <w:r w:rsidRPr="00982FC4">
        <w:t xml:space="preserve"> C. 2008 High </w:t>
      </w:r>
      <w:r w:rsidR="00CE36B2">
        <w:t>N</w:t>
      </w:r>
      <w:r w:rsidRPr="00982FC4">
        <w:t xml:space="preserve">ature </w:t>
      </w:r>
      <w:r w:rsidR="00CE36B2">
        <w:t>V</w:t>
      </w:r>
      <w:r w:rsidRPr="00982FC4">
        <w:t>alue farmland in Europe. An estimate of the distribution patterns on the basis of land cover and biodiversity data</w:t>
      </w:r>
      <w:r w:rsidR="00CE36B2">
        <w:t>.</w:t>
      </w:r>
      <w:r w:rsidRPr="00982FC4">
        <w:t xml:space="preserve"> Luxemburg: Office for Official Publications of the European Communities.</w:t>
      </w:r>
      <w:r w:rsidR="006C749C" w:rsidRPr="006C749C">
        <w:t xml:space="preserve"> </w:t>
      </w:r>
      <w:r w:rsidR="006C749C">
        <w:t>(</w:t>
      </w:r>
      <w:proofErr w:type="spellStart"/>
      <w:proofErr w:type="gramStart"/>
      <w:r w:rsidR="006C749C">
        <w:t>doi</w:t>
      </w:r>
      <w:proofErr w:type="spellEnd"/>
      <w:proofErr w:type="gramEnd"/>
      <w:r w:rsidR="006C749C">
        <w:t>: 10.2788/8891)</w:t>
      </w:r>
    </w:p>
    <w:sectPr w:rsidR="00F60513" w:rsidRPr="004C1774" w:rsidSect="0095446A">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D0628" w15:done="0"/>
  <w15:commentEx w15:paraId="43B00424" w15:done="0"/>
  <w15:commentEx w15:paraId="3D7B8E05" w15:done="0"/>
  <w15:commentEx w15:paraId="2B6D0F3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6C9"/>
    <w:multiLevelType w:val="multilevel"/>
    <w:tmpl w:val="1BD4F248"/>
    <w:lvl w:ilvl="0">
      <w:start w:val="1"/>
      <w:numFmt w:val="decimal"/>
      <w:pStyle w:val="Heading1"/>
      <w:suff w:val="space"/>
      <w:lvlText w:val="%1"/>
      <w:lvlJc w:val="left"/>
      <w:pPr>
        <w:ind w:left="624" w:hanging="624"/>
      </w:pPr>
      <w:rPr>
        <w:rFonts w:hint="default"/>
      </w:rPr>
    </w:lvl>
    <w:lvl w:ilvl="1">
      <w:start w:val="1"/>
      <w:numFmt w:val="decimal"/>
      <w:pStyle w:val="Heading2"/>
      <w:suff w:val="space"/>
      <w:lvlText w:val="%1.%2"/>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340" w:firstLine="0"/>
      </w:pPr>
      <w:rPr>
        <w:rFonts w:hint="default"/>
      </w:rPr>
    </w:lvl>
    <w:lvl w:ilvl="5">
      <w:start w:val="1"/>
      <w:numFmt w:val="decimal"/>
      <w:pStyle w:val="Heading6"/>
      <w:suff w:val="space"/>
      <w:lvlText w:val="%1.%2.%3.%4.%5.%6"/>
      <w:lvlJc w:val="left"/>
      <w:pPr>
        <w:ind w:left="340" w:firstLine="0"/>
      </w:pPr>
      <w:rPr>
        <w:rFonts w:hint="default"/>
      </w:rPr>
    </w:lvl>
    <w:lvl w:ilvl="6">
      <w:start w:val="1"/>
      <w:numFmt w:val="decimal"/>
      <w:pStyle w:val="Heading7"/>
      <w:suff w:val="space"/>
      <w:lvlText w:val="%1.%2.%3.%4.%5.%6.%7"/>
      <w:lvlJc w:val="left"/>
      <w:pPr>
        <w:ind w:left="340" w:firstLine="0"/>
      </w:pPr>
      <w:rPr>
        <w:rFonts w:hint="default"/>
      </w:rPr>
    </w:lvl>
    <w:lvl w:ilvl="7">
      <w:start w:val="1"/>
      <w:numFmt w:val="decimal"/>
      <w:pStyle w:val="Heading8"/>
      <w:suff w:val="space"/>
      <w:lvlText w:val="%1.%2.%3.%4.%5.%6.%7.%8"/>
      <w:lvlJc w:val="left"/>
      <w:pPr>
        <w:ind w:left="340" w:firstLine="0"/>
      </w:pPr>
      <w:rPr>
        <w:rFonts w:hint="default"/>
      </w:rPr>
    </w:lvl>
    <w:lvl w:ilvl="8">
      <w:start w:val="1"/>
      <w:numFmt w:val="decimal"/>
      <w:pStyle w:val="Heading9"/>
      <w:suff w:val="space"/>
      <w:lvlText w:val="%1.%2.%3.%4.%5.%6.%7.%8.%9"/>
      <w:lvlJc w:val="left"/>
      <w:pPr>
        <w:ind w:left="340" w:firstLine="0"/>
      </w:pPr>
      <w:rPr>
        <w:rFonts w:hint="default"/>
      </w:rPr>
    </w:lvl>
  </w:abstractNum>
  <w:abstractNum w:abstractNumId="1">
    <w:nsid w:val="42742495"/>
    <w:multiLevelType w:val="hybridMultilevel"/>
    <w:tmpl w:val="BD528576"/>
    <w:lvl w:ilvl="0" w:tplc="666816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852516"/>
    <w:multiLevelType w:val="multilevel"/>
    <w:tmpl w:val="F88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91665"/>
    <w:multiLevelType w:val="hybridMultilevel"/>
    <w:tmpl w:val="E4E0292E"/>
    <w:lvl w:ilvl="0" w:tplc="028ABD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 Willott">
    <w15:presenceInfo w15:providerId="AD" w15:userId="S-1-5-21-229837722-2277827130-2409647153-84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322CEB"/>
    <w:rsid w:val="000028D7"/>
    <w:rsid w:val="00013338"/>
    <w:rsid w:val="000170A9"/>
    <w:rsid w:val="00023E88"/>
    <w:rsid w:val="00031030"/>
    <w:rsid w:val="00033A48"/>
    <w:rsid w:val="00036B34"/>
    <w:rsid w:val="00043289"/>
    <w:rsid w:val="00054C12"/>
    <w:rsid w:val="00055670"/>
    <w:rsid w:val="00084A26"/>
    <w:rsid w:val="00087E11"/>
    <w:rsid w:val="000A006E"/>
    <w:rsid w:val="000B265C"/>
    <w:rsid w:val="000B437E"/>
    <w:rsid w:val="0010613A"/>
    <w:rsid w:val="001250AE"/>
    <w:rsid w:val="00166700"/>
    <w:rsid w:val="00173725"/>
    <w:rsid w:val="001747BA"/>
    <w:rsid w:val="00177172"/>
    <w:rsid w:val="00194566"/>
    <w:rsid w:val="00194712"/>
    <w:rsid w:val="001B25EE"/>
    <w:rsid w:val="001B5958"/>
    <w:rsid w:val="001C7B12"/>
    <w:rsid w:val="001D2252"/>
    <w:rsid w:val="0022442F"/>
    <w:rsid w:val="002534A1"/>
    <w:rsid w:val="0025394F"/>
    <w:rsid w:val="00254869"/>
    <w:rsid w:val="002778E3"/>
    <w:rsid w:val="0029214D"/>
    <w:rsid w:val="002A2515"/>
    <w:rsid w:val="002A2EBA"/>
    <w:rsid w:val="002C24E3"/>
    <w:rsid w:val="002D368D"/>
    <w:rsid w:val="002D69F6"/>
    <w:rsid w:val="002F0123"/>
    <w:rsid w:val="0031063E"/>
    <w:rsid w:val="00313100"/>
    <w:rsid w:val="00315C82"/>
    <w:rsid w:val="00321AE5"/>
    <w:rsid w:val="00322CEB"/>
    <w:rsid w:val="0034544A"/>
    <w:rsid w:val="00353213"/>
    <w:rsid w:val="00393086"/>
    <w:rsid w:val="003B541D"/>
    <w:rsid w:val="003C0351"/>
    <w:rsid w:val="003E7023"/>
    <w:rsid w:val="0040033B"/>
    <w:rsid w:val="0040684A"/>
    <w:rsid w:val="00415D67"/>
    <w:rsid w:val="00427178"/>
    <w:rsid w:val="004452D2"/>
    <w:rsid w:val="00445CF5"/>
    <w:rsid w:val="00446609"/>
    <w:rsid w:val="00457FDF"/>
    <w:rsid w:val="004821AB"/>
    <w:rsid w:val="00493DDB"/>
    <w:rsid w:val="004A579D"/>
    <w:rsid w:val="004B153E"/>
    <w:rsid w:val="004C1774"/>
    <w:rsid w:val="004E3A77"/>
    <w:rsid w:val="004F48D1"/>
    <w:rsid w:val="004F61EB"/>
    <w:rsid w:val="00507A1B"/>
    <w:rsid w:val="005C5A94"/>
    <w:rsid w:val="005D619D"/>
    <w:rsid w:val="005D69A9"/>
    <w:rsid w:val="005F6FB4"/>
    <w:rsid w:val="00600387"/>
    <w:rsid w:val="00606395"/>
    <w:rsid w:val="00641977"/>
    <w:rsid w:val="00642D63"/>
    <w:rsid w:val="00650F6A"/>
    <w:rsid w:val="006719D7"/>
    <w:rsid w:val="00680823"/>
    <w:rsid w:val="006A7056"/>
    <w:rsid w:val="006B11D7"/>
    <w:rsid w:val="006B60FE"/>
    <w:rsid w:val="006C6BE9"/>
    <w:rsid w:val="006C749C"/>
    <w:rsid w:val="006D46A4"/>
    <w:rsid w:val="006E66B0"/>
    <w:rsid w:val="006F305F"/>
    <w:rsid w:val="007025FA"/>
    <w:rsid w:val="00705FD0"/>
    <w:rsid w:val="00711611"/>
    <w:rsid w:val="007142DE"/>
    <w:rsid w:val="007326C1"/>
    <w:rsid w:val="007348ED"/>
    <w:rsid w:val="00737FA3"/>
    <w:rsid w:val="00761AA8"/>
    <w:rsid w:val="00780C50"/>
    <w:rsid w:val="00791274"/>
    <w:rsid w:val="00797D5C"/>
    <w:rsid w:val="007A046D"/>
    <w:rsid w:val="007B75E2"/>
    <w:rsid w:val="007E5075"/>
    <w:rsid w:val="007E5A17"/>
    <w:rsid w:val="007F3A59"/>
    <w:rsid w:val="008117E7"/>
    <w:rsid w:val="00833644"/>
    <w:rsid w:val="00850F68"/>
    <w:rsid w:val="0086307A"/>
    <w:rsid w:val="00865CF5"/>
    <w:rsid w:val="00874E72"/>
    <w:rsid w:val="0087594D"/>
    <w:rsid w:val="0088259B"/>
    <w:rsid w:val="008839C2"/>
    <w:rsid w:val="008853CA"/>
    <w:rsid w:val="008922DF"/>
    <w:rsid w:val="008A1F5A"/>
    <w:rsid w:val="008A5802"/>
    <w:rsid w:val="008A6191"/>
    <w:rsid w:val="008B1EB9"/>
    <w:rsid w:val="008C6070"/>
    <w:rsid w:val="008D5249"/>
    <w:rsid w:val="008F5A31"/>
    <w:rsid w:val="00910FD4"/>
    <w:rsid w:val="00915C69"/>
    <w:rsid w:val="00932026"/>
    <w:rsid w:val="00940BFA"/>
    <w:rsid w:val="00941126"/>
    <w:rsid w:val="0095446A"/>
    <w:rsid w:val="00965C8A"/>
    <w:rsid w:val="0096680B"/>
    <w:rsid w:val="0097568C"/>
    <w:rsid w:val="009760DE"/>
    <w:rsid w:val="00976518"/>
    <w:rsid w:val="00982FC4"/>
    <w:rsid w:val="009839C0"/>
    <w:rsid w:val="00984678"/>
    <w:rsid w:val="00992000"/>
    <w:rsid w:val="009958C2"/>
    <w:rsid w:val="009A155F"/>
    <w:rsid w:val="009A1718"/>
    <w:rsid w:val="009C3652"/>
    <w:rsid w:val="009E7061"/>
    <w:rsid w:val="009F3CF8"/>
    <w:rsid w:val="00A10631"/>
    <w:rsid w:val="00A1301F"/>
    <w:rsid w:val="00A17793"/>
    <w:rsid w:val="00A31CE0"/>
    <w:rsid w:val="00A37358"/>
    <w:rsid w:val="00A850E3"/>
    <w:rsid w:val="00AA35C6"/>
    <w:rsid w:val="00AB7F8F"/>
    <w:rsid w:val="00AC5453"/>
    <w:rsid w:val="00AD5E29"/>
    <w:rsid w:val="00AD7D68"/>
    <w:rsid w:val="00AE0C2C"/>
    <w:rsid w:val="00AE22FB"/>
    <w:rsid w:val="00AE7542"/>
    <w:rsid w:val="00AF22A0"/>
    <w:rsid w:val="00AF78AC"/>
    <w:rsid w:val="00AF7C40"/>
    <w:rsid w:val="00B129BF"/>
    <w:rsid w:val="00B22634"/>
    <w:rsid w:val="00B340C7"/>
    <w:rsid w:val="00B46C0F"/>
    <w:rsid w:val="00B53849"/>
    <w:rsid w:val="00B62C67"/>
    <w:rsid w:val="00B72216"/>
    <w:rsid w:val="00B779BE"/>
    <w:rsid w:val="00BA61DA"/>
    <w:rsid w:val="00BB3282"/>
    <w:rsid w:val="00BB599A"/>
    <w:rsid w:val="00BF562F"/>
    <w:rsid w:val="00BF69E1"/>
    <w:rsid w:val="00BF6DFD"/>
    <w:rsid w:val="00BF7273"/>
    <w:rsid w:val="00C05EC2"/>
    <w:rsid w:val="00C0704B"/>
    <w:rsid w:val="00C33F38"/>
    <w:rsid w:val="00C354EF"/>
    <w:rsid w:val="00C36386"/>
    <w:rsid w:val="00C368BF"/>
    <w:rsid w:val="00C6431F"/>
    <w:rsid w:val="00C66090"/>
    <w:rsid w:val="00C8013C"/>
    <w:rsid w:val="00C8039F"/>
    <w:rsid w:val="00C92744"/>
    <w:rsid w:val="00CA7458"/>
    <w:rsid w:val="00CB68DF"/>
    <w:rsid w:val="00CE36B2"/>
    <w:rsid w:val="00CE401C"/>
    <w:rsid w:val="00CF30CE"/>
    <w:rsid w:val="00D0600D"/>
    <w:rsid w:val="00D17435"/>
    <w:rsid w:val="00D52170"/>
    <w:rsid w:val="00D6023F"/>
    <w:rsid w:val="00D64892"/>
    <w:rsid w:val="00D6666C"/>
    <w:rsid w:val="00DA3D03"/>
    <w:rsid w:val="00DA76D0"/>
    <w:rsid w:val="00DC3BDA"/>
    <w:rsid w:val="00DC47FE"/>
    <w:rsid w:val="00DC7E0D"/>
    <w:rsid w:val="00DE4C8D"/>
    <w:rsid w:val="00DE68FC"/>
    <w:rsid w:val="00DF01BE"/>
    <w:rsid w:val="00E00F32"/>
    <w:rsid w:val="00E156F5"/>
    <w:rsid w:val="00E214A8"/>
    <w:rsid w:val="00E275A8"/>
    <w:rsid w:val="00E34F1B"/>
    <w:rsid w:val="00E47744"/>
    <w:rsid w:val="00E744DC"/>
    <w:rsid w:val="00E91651"/>
    <w:rsid w:val="00EA049D"/>
    <w:rsid w:val="00EB28AE"/>
    <w:rsid w:val="00EB7489"/>
    <w:rsid w:val="00EC7A90"/>
    <w:rsid w:val="00EE04C6"/>
    <w:rsid w:val="00EE2111"/>
    <w:rsid w:val="00F06266"/>
    <w:rsid w:val="00F1089A"/>
    <w:rsid w:val="00F148DD"/>
    <w:rsid w:val="00F20B5C"/>
    <w:rsid w:val="00F274AC"/>
    <w:rsid w:val="00F36DA1"/>
    <w:rsid w:val="00F50805"/>
    <w:rsid w:val="00F54DE9"/>
    <w:rsid w:val="00F60513"/>
    <w:rsid w:val="00F64A7C"/>
    <w:rsid w:val="00F9160D"/>
    <w:rsid w:val="00FB4BCD"/>
    <w:rsid w:val="00FB7645"/>
    <w:rsid w:val="00FC2D9D"/>
    <w:rsid w:val="00FC7C07"/>
    <w:rsid w:val="00FD4BCE"/>
    <w:rsid w:val="00FD7576"/>
    <w:rsid w:val="00FF24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1D"/>
    <w:pPr>
      <w:jc w:val="both"/>
    </w:pPr>
    <w:rPr>
      <w:rFonts w:ascii="Palatino Linotype" w:hAnsi="Palatino Linotype"/>
    </w:rPr>
  </w:style>
  <w:style w:type="paragraph" w:styleId="Heading1">
    <w:name w:val="heading 1"/>
    <w:next w:val="Normal"/>
    <w:link w:val="Heading1Char"/>
    <w:autoRedefine/>
    <w:qFormat/>
    <w:rsid w:val="004452D2"/>
    <w:pPr>
      <w:keepNext/>
      <w:pageBreakBefore/>
      <w:numPr>
        <w:numId w:val="1"/>
      </w:numPr>
      <w:spacing w:before="1560" w:after="1200" w:line="240" w:lineRule="auto"/>
      <w:outlineLvl w:val="0"/>
    </w:pPr>
    <w:rPr>
      <w:rFonts w:ascii="Times New Roman" w:eastAsia="Times New Roman" w:hAnsi="Times New Roman" w:cs="Arial"/>
      <w:b/>
      <w:bCs/>
      <w:smallCaps/>
      <w:kern w:val="32"/>
      <w:sz w:val="72"/>
      <w:szCs w:val="32"/>
      <w:lang w:eastAsia="en-GB"/>
    </w:rPr>
  </w:style>
  <w:style w:type="paragraph" w:styleId="Heading2">
    <w:name w:val="heading 2"/>
    <w:basedOn w:val="Heading1"/>
    <w:next w:val="Normal"/>
    <w:link w:val="Heading2Char"/>
    <w:autoRedefine/>
    <w:qFormat/>
    <w:rsid w:val="004452D2"/>
    <w:pPr>
      <w:pageBreakBefore w:val="0"/>
      <w:numPr>
        <w:ilvl w:val="1"/>
      </w:numPr>
      <w:spacing w:before="360" w:after="360"/>
      <w:outlineLvl w:val="1"/>
    </w:pPr>
    <w:rPr>
      <w:bCs w:val="0"/>
      <w:iCs/>
      <w:smallCaps w:val="0"/>
      <w:sz w:val="32"/>
      <w:szCs w:val="28"/>
    </w:rPr>
  </w:style>
  <w:style w:type="paragraph" w:styleId="Heading3">
    <w:name w:val="heading 3"/>
    <w:basedOn w:val="Heading2"/>
    <w:next w:val="Normal"/>
    <w:link w:val="Heading3Char"/>
    <w:autoRedefine/>
    <w:qFormat/>
    <w:rsid w:val="004452D2"/>
    <w:pPr>
      <w:numPr>
        <w:ilvl w:val="2"/>
      </w:numPr>
      <w:spacing w:line="240" w:lineRule="atLeast"/>
      <w:outlineLvl w:val="2"/>
    </w:pPr>
    <w:rPr>
      <w:rFonts w:cs="Courier New"/>
      <w:sz w:val="28"/>
      <w:szCs w:val="20"/>
      <w:lang w:eastAsia="en-US"/>
    </w:rPr>
  </w:style>
  <w:style w:type="paragraph" w:styleId="Heading4">
    <w:name w:val="heading 4"/>
    <w:basedOn w:val="Heading3"/>
    <w:next w:val="Normal"/>
    <w:link w:val="Heading4Char"/>
    <w:qFormat/>
    <w:rsid w:val="004452D2"/>
    <w:pPr>
      <w:numPr>
        <w:ilvl w:val="3"/>
      </w:numPr>
      <w:spacing w:before="240" w:after="240"/>
      <w:outlineLvl w:val="3"/>
    </w:pPr>
    <w:rPr>
      <w:bCs/>
      <w:sz w:val="24"/>
      <w:szCs w:val="28"/>
    </w:rPr>
  </w:style>
  <w:style w:type="paragraph" w:styleId="Heading5">
    <w:name w:val="heading 5"/>
    <w:basedOn w:val="Heading4"/>
    <w:next w:val="Normal"/>
    <w:link w:val="Heading5Char"/>
    <w:qFormat/>
    <w:rsid w:val="004452D2"/>
    <w:pPr>
      <w:numPr>
        <w:ilvl w:val="4"/>
      </w:numPr>
      <w:spacing w:after="60"/>
      <w:outlineLvl w:val="4"/>
    </w:pPr>
    <w:rPr>
      <w:bCs w:val="0"/>
      <w:i/>
      <w:iCs w:val="0"/>
      <w:szCs w:val="26"/>
    </w:rPr>
  </w:style>
  <w:style w:type="paragraph" w:styleId="Heading6">
    <w:name w:val="heading 6"/>
    <w:basedOn w:val="Heading5"/>
    <w:next w:val="Normal"/>
    <w:link w:val="Heading6Char"/>
    <w:qFormat/>
    <w:rsid w:val="004452D2"/>
    <w:pPr>
      <w:numPr>
        <w:ilvl w:val="5"/>
      </w:numPr>
      <w:outlineLvl w:val="5"/>
    </w:pPr>
    <w:rPr>
      <w:bCs/>
      <w:szCs w:val="22"/>
    </w:rPr>
  </w:style>
  <w:style w:type="paragraph" w:styleId="Heading7">
    <w:name w:val="heading 7"/>
    <w:basedOn w:val="Normal"/>
    <w:next w:val="Normal"/>
    <w:link w:val="Heading7Char"/>
    <w:semiHidden/>
    <w:unhideWhenUsed/>
    <w:qFormat/>
    <w:rsid w:val="004452D2"/>
    <w:pPr>
      <w:keepNext/>
      <w:keepLines/>
      <w:numPr>
        <w:ilvl w:val="6"/>
        <w:numId w:val="1"/>
      </w:numPr>
      <w:tabs>
        <w:tab w:val="left" w:pos="851"/>
      </w:tabs>
      <w:spacing w:before="200" w:after="120" w:line="36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4452D2"/>
    <w:pPr>
      <w:keepNext/>
      <w:keepLines/>
      <w:numPr>
        <w:ilvl w:val="7"/>
        <w:numId w:val="1"/>
      </w:numPr>
      <w:tabs>
        <w:tab w:val="left" w:pos="851"/>
      </w:tabs>
      <w:spacing w:before="200" w:after="12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452D2"/>
    <w:pPr>
      <w:keepNext/>
      <w:keepLines/>
      <w:numPr>
        <w:ilvl w:val="8"/>
        <w:numId w:val="1"/>
      </w:numPr>
      <w:tabs>
        <w:tab w:val="left" w:pos="851"/>
      </w:tabs>
      <w:spacing w:before="200" w:after="12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22CEB"/>
    <w:pPr>
      <w:tabs>
        <w:tab w:val="left" w:pos="851"/>
      </w:tabs>
      <w:spacing w:after="120" w:line="360" w:lineRule="auto"/>
    </w:pPr>
    <w:rPr>
      <w:rFonts w:ascii="Times New Roman" w:eastAsia="Times New Roman" w:hAnsi="Times New Roman" w:cs="Times New Roman"/>
      <w:bCs/>
      <w:sz w:val="20"/>
      <w:lang w:eastAsia="en-GB"/>
    </w:rPr>
  </w:style>
  <w:style w:type="paragraph" w:customStyle="1" w:styleId="Table">
    <w:name w:val="Table"/>
    <w:basedOn w:val="Normal"/>
    <w:link w:val="TableChar"/>
    <w:qFormat/>
    <w:rsid w:val="00322CEB"/>
    <w:pPr>
      <w:tabs>
        <w:tab w:val="left" w:pos="851"/>
      </w:tabs>
      <w:spacing w:after="0" w:line="240" w:lineRule="auto"/>
      <w:ind w:left="-108"/>
    </w:pPr>
    <w:rPr>
      <w:rFonts w:ascii="Times New Roman" w:eastAsia="Times New Roman" w:hAnsi="Times New Roman" w:cs="Times New Roman"/>
      <w:sz w:val="20"/>
      <w:szCs w:val="24"/>
    </w:rPr>
  </w:style>
  <w:style w:type="character" w:customStyle="1" w:styleId="TableChar">
    <w:name w:val="Table Char"/>
    <w:basedOn w:val="DefaultParagraphFont"/>
    <w:link w:val="Table"/>
    <w:rsid w:val="00322CE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322CEB"/>
    <w:rPr>
      <w:sz w:val="16"/>
      <w:szCs w:val="16"/>
    </w:rPr>
  </w:style>
  <w:style w:type="paragraph" w:styleId="CommentText">
    <w:name w:val="annotation text"/>
    <w:basedOn w:val="Normal"/>
    <w:link w:val="CommentTextChar"/>
    <w:uiPriority w:val="99"/>
    <w:unhideWhenUsed/>
    <w:rsid w:val="00322CEB"/>
    <w:pPr>
      <w:spacing w:line="240" w:lineRule="auto"/>
    </w:pPr>
    <w:rPr>
      <w:sz w:val="20"/>
      <w:szCs w:val="20"/>
    </w:rPr>
  </w:style>
  <w:style w:type="character" w:customStyle="1" w:styleId="CommentTextChar">
    <w:name w:val="Comment Text Char"/>
    <w:basedOn w:val="DefaultParagraphFont"/>
    <w:link w:val="CommentText"/>
    <w:uiPriority w:val="99"/>
    <w:rsid w:val="00322CEB"/>
    <w:rPr>
      <w:sz w:val="20"/>
      <w:szCs w:val="20"/>
    </w:rPr>
  </w:style>
  <w:style w:type="paragraph" w:customStyle="1" w:styleId="CaptionText">
    <w:name w:val="Caption Text"/>
    <w:basedOn w:val="Caption"/>
    <w:autoRedefine/>
    <w:qFormat/>
    <w:rsid w:val="00B53849"/>
    <w:pPr>
      <w:tabs>
        <w:tab w:val="clear" w:pos="851"/>
      </w:tabs>
      <w:spacing w:before="120" w:after="0" w:line="240" w:lineRule="auto"/>
    </w:pPr>
    <w:rPr>
      <w:rFonts w:ascii="Arial" w:eastAsia="Calibri" w:hAnsi="Arial" w:cs="Arial"/>
      <w:sz w:val="16"/>
      <w:szCs w:val="20"/>
    </w:rPr>
  </w:style>
  <w:style w:type="paragraph" w:styleId="BalloonText">
    <w:name w:val="Balloon Text"/>
    <w:basedOn w:val="Normal"/>
    <w:link w:val="BalloonTextChar"/>
    <w:uiPriority w:val="99"/>
    <w:semiHidden/>
    <w:unhideWhenUsed/>
    <w:rsid w:val="0032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B"/>
    <w:rPr>
      <w:rFonts w:ascii="Segoe UI" w:hAnsi="Segoe UI" w:cs="Segoe UI"/>
      <w:sz w:val="18"/>
      <w:szCs w:val="18"/>
    </w:rPr>
  </w:style>
  <w:style w:type="paragraph" w:styleId="ListParagraph">
    <w:name w:val="List Paragraph"/>
    <w:basedOn w:val="Normal"/>
    <w:uiPriority w:val="34"/>
    <w:qFormat/>
    <w:rsid w:val="0040684A"/>
    <w:pPr>
      <w:ind w:left="720"/>
      <w:contextualSpacing/>
    </w:pPr>
  </w:style>
  <w:style w:type="paragraph" w:styleId="NoSpacing">
    <w:name w:val="No Spacing"/>
    <w:uiPriority w:val="1"/>
    <w:qFormat/>
    <w:rsid w:val="0040684A"/>
    <w:pPr>
      <w:tabs>
        <w:tab w:val="left" w:pos="851"/>
      </w:tabs>
      <w:spacing w:before="120" w:after="120" w:line="240" w:lineRule="auto"/>
      <w:jc w:val="both"/>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rsid w:val="004452D2"/>
    <w:rPr>
      <w:rFonts w:ascii="Times New Roman" w:eastAsia="Times New Roman" w:hAnsi="Times New Roman" w:cs="Arial"/>
      <w:b/>
      <w:bCs/>
      <w:smallCaps/>
      <w:kern w:val="32"/>
      <w:sz w:val="72"/>
      <w:szCs w:val="32"/>
      <w:lang w:eastAsia="en-GB"/>
    </w:rPr>
  </w:style>
  <w:style w:type="character" w:customStyle="1" w:styleId="Heading2Char">
    <w:name w:val="Heading 2 Char"/>
    <w:basedOn w:val="DefaultParagraphFont"/>
    <w:link w:val="Heading2"/>
    <w:rsid w:val="004452D2"/>
    <w:rPr>
      <w:rFonts w:ascii="Times New Roman" w:eastAsia="Times New Roman" w:hAnsi="Times New Roman" w:cs="Arial"/>
      <w:b/>
      <w:iCs/>
      <w:kern w:val="32"/>
      <w:sz w:val="32"/>
      <w:szCs w:val="28"/>
      <w:lang w:eastAsia="en-GB"/>
    </w:rPr>
  </w:style>
  <w:style w:type="character" w:customStyle="1" w:styleId="Heading3Char">
    <w:name w:val="Heading 3 Char"/>
    <w:basedOn w:val="DefaultParagraphFont"/>
    <w:link w:val="Heading3"/>
    <w:rsid w:val="004452D2"/>
    <w:rPr>
      <w:rFonts w:ascii="Times New Roman" w:eastAsia="Times New Roman" w:hAnsi="Times New Roman" w:cs="Courier New"/>
      <w:b/>
      <w:iCs/>
      <w:kern w:val="32"/>
      <w:sz w:val="28"/>
      <w:szCs w:val="20"/>
    </w:rPr>
  </w:style>
  <w:style w:type="character" w:customStyle="1" w:styleId="Heading4Char">
    <w:name w:val="Heading 4 Char"/>
    <w:basedOn w:val="DefaultParagraphFont"/>
    <w:link w:val="Heading4"/>
    <w:rsid w:val="004452D2"/>
    <w:rPr>
      <w:rFonts w:ascii="Times New Roman" w:eastAsia="Times New Roman" w:hAnsi="Times New Roman" w:cs="Courier New"/>
      <w:b/>
      <w:bCs/>
      <w:iCs/>
      <w:kern w:val="32"/>
      <w:sz w:val="24"/>
      <w:szCs w:val="28"/>
    </w:rPr>
  </w:style>
  <w:style w:type="character" w:customStyle="1" w:styleId="Heading5Char">
    <w:name w:val="Heading 5 Char"/>
    <w:basedOn w:val="DefaultParagraphFont"/>
    <w:link w:val="Heading5"/>
    <w:rsid w:val="004452D2"/>
    <w:rPr>
      <w:rFonts w:ascii="Times New Roman" w:eastAsia="Times New Roman" w:hAnsi="Times New Roman" w:cs="Courier New"/>
      <w:b/>
      <w:i/>
      <w:kern w:val="32"/>
      <w:sz w:val="24"/>
      <w:szCs w:val="26"/>
    </w:rPr>
  </w:style>
  <w:style w:type="character" w:customStyle="1" w:styleId="Heading6Char">
    <w:name w:val="Heading 6 Char"/>
    <w:basedOn w:val="DefaultParagraphFont"/>
    <w:link w:val="Heading6"/>
    <w:rsid w:val="004452D2"/>
    <w:rPr>
      <w:rFonts w:ascii="Times New Roman" w:eastAsia="Times New Roman" w:hAnsi="Times New Roman" w:cs="Courier New"/>
      <w:b/>
      <w:bCs/>
      <w:i/>
      <w:kern w:val="32"/>
      <w:sz w:val="24"/>
    </w:rPr>
  </w:style>
  <w:style w:type="character" w:customStyle="1" w:styleId="Heading7Char">
    <w:name w:val="Heading 7 Char"/>
    <w:basedOn w:val="DefaultParagraphFont"/>
    <w:link w:val="Heading7"/>
    <w:semiHidden/>
    <w:rsid w:val="004452D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4452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452D2"/>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C24E3"/>
    <w:rPr>
      <w:color w:val="808080"/>
    </w:rPr>
  </w:style>
  <w:style w:type="paragraph" w:styleId="CommentSubject">
    <w:name w:val="annotation subject"/>
    <w:basedOn w:val="CommentText"/>
    <w:next w:val="CommentText"/>
    <w:link w:val="CommentSubjectChar"/>
    <w:uiPriority w:val="99"/>
    <w:semiHidden/>
    <w:unhideWhenUsed/>
    <w:rsid w:val="009F3CF8"/>
    <w:rPr>
      <w:b/>
      <w:bCs/>
    </w:rPr>
  </w:style>
  <w:style w:type="character" w:customStyle="1" w:styleId="CommentSubjectChar">
    <w:name w:val="Comment Subject Char"/>
    <w:basedOn w:val="CommentTextChar"/>
    <w:link w:val="CommentSubject"/>
    <w:uiPriority w:val="99"/>
    <w:semiHidden/>
    <w:rsid w:val="009F3CF8"/>
    <w:rPr>
      <w:b/>
      <w:bCs/>
      <w:sz w:val="20"/>
      <w:szCs w:val="20"/>
    </w:rPr>
  </w:style>
  <w:style w:type="character" w:styleId="LineNumber">
    <w:name w:val="line number"/>
    <w:basedOn w:val="DefaultParagraphFont"/>
    <w:uiPriority w:val="99"/>
    <w:semiHidden/>
    <w:unhideWhenUsed/>
    <w:rsid w:val="00C8039F"/>
  </w:style>
  <w:style w:type="character" w:styleId="Hyperlink">
    <w:name w:val="Hyperlink"/>
    <w:basedOn w:val="DefaultParagraphFont"/>
    <w:uiPriority w:val="99"/>
    <w:unhideWhenUsed/>
    <w:rsid w:val="00F60513"/>
    <w:rPr>
      <w:color w:val="0563C1" w:themeColor="hyperlink"/>
      <w:u w:val="single"/>
    </w:rPr>
  </w:style>
  <w:style w:type="character" w:styleId="HTMLSample">
    <w:name w:val="HTML Sample"/>
    <w:basedOn w:val="DefaultParagraphFont"/>
    <w:uiPriority w:val="99"/>
    <w:semiHidden/>
    <w:unhideWhenUsed/>
    <w:rsid w:val="00A17793"/>
    <w:rPr>
      <w:rFonts w:ascii="Courier New" w:eastAsia="Times New Roman" w:hAnsi="Courier New" w:cs="Courier New"/>
    </w:rPr>
  </w:style>
  <w:style w:type="paragraph" w:styleId="Revision">
    <w:name w:val="Revision"/>
    <w:hidden/>
    <w:uiPriority w:val="99"/>
    <w:semiHidden/>
    <w:rsid w:val="005C5A94"/>
    <w:pPr>
      <w:spacing w:after="0" w:line="240" w:lineRule="auto"/>
    </w:pPr>
  </w:style>
  <w:style w:type="character" w:customStyle="1" w:styleId="al-author-name-more">
    <w:name w:val="al-author-name-more"/>
    <w:basedOn w:val="DefaultParagraphFont"/>
    <w:rsid w:val="001C7B12"/>
  </w:style>
  <w:style w:type="character" w:styleId="Emphasis">
    <w:name w:val="Emphasis"/>
    <w:basedOn w:val="DefaultParagraphFont"/>
    <w:uiPriority w:val="20"/>
    <w:qFormat/>
    <w:rsid w:val="001C7B12"/>
    <w:rPr>
      <w:i/>
      <w:iCs/>
    </w:rPr>
  </w:style>
  <w:style w:type="table" w:styleId="TableGrid">
    <w:name w:val="Table Grid"/>
    <w:basedOn w:val="TableNormal"/>
    <w:uiPriority w:val="39"/>
    <w:rsid w:val="00954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6235">
      <w:bodyDiv w:val="1"/>
      <w:marLeft w:val="0"/>
      <w:marRight w:val="0"/>
      <w:marTop w:val="0"/>
      <w:marBottom w:val="0"/>
      <w:divBdr>
        <w:top w:val="none" w:sz="0" w:space="0" w:color="auto"/>
        <w:left w:val="none" w:sz="0" w:space="0" w:color="auto"/>
        <w:bottom w:val="none" w:sz="0" w:space="0" w:color="auto"/>
        <w:right w:val="none" w:sz="0" w:space="0" w:color="auto"/>
      </w:divBdr>
    </w:div>
    <w:div w:id="55012287">
      <w:bodyDiv w:val="1"/>
      <w:marLeft w:val="0"/>
      <w:marRight w:val="0"/>
      <w:marTop w:val="0"/>
      <w:marBottom w:val="0"/>
      <w:divBdr>
        <w:top w:val="none" w:sz="0" w:space="0" w:color="auto"/>
        <w:left w:val="none" w:sz="0" w:space="0" w:color="auto"/>
        <w:bottom w:val="none" w:sz="0" w:space="0" w:color="auto"/>
        <w:right w:val="none" w:sz="0" w:space="0" w:color="auto"/>
      </w:divBdr>
    </w:div>
    <w:div w:id="469130316">
      <w:bodyDiv w:val="1"/>
      <w:marLeft w:val="0"/>
      <w:marRight w:val="0"/>
      <w:marTop w:val="0"/>
      <w:marBottom w:val="0"/>
      <w:divBdr>
        <w:top w:val="none" w:sz="0" w:space="0" w:color="auto"/>
        <w:left w:val="none" w:sz="0" w:space="0" w:color="auto"/>
        <w:bottom w:val="none" w:sz="0" w:space="0" w:color="auto"/>
        <w:right w:val="none" w:sz="0" w:space="0" w:color="auto"/>
      </w:divBdr>
    </w:div>
    <w:div w:id="1377512614">
      <w:bodyDiv w:val="1"/>
      <w:marLeft w:val="0"/>
      <w:marRight w:val="0"/>
      <w:marTop w:val="0"/>
      <w:marBottom w:val="0"/>
      <w:divBdr>
        <w:top w:val="none" w:sz="0" w:space="0" w:color="auto"/>
        <w:left w:val="none" w:sz="0" w:space="0" w:color="auto"/>
        <w:bottom w:val="none" w:sz="0" w:space="0" w:color="auto"/>
        <w:right w:val="none" w:sz="0" w:space="0" w:color="auto"/>
      </w:divBdr>
    </w:div>
    <w:div w:id="1433162328">
      <w:bodyDiv w:val="1"/>
      <w:marLeft w:val="0"/>
      <w:marRight w:val="0"/>
      <w:marTop w:val="0"/>
      <w:marBottom w:val="0"/>
      <w:divBdr>
        <w:top w:val="none" w:sz="0" w:space="0" w:color="auto"/>
        <w:left w:val="none" w:sz="0" w:space="0" w:color="auto"/>
        <w:bottom w:val="none" w:sz="0" w:space="0" w:color="auto"/>
        <w:right w:val="none" w:sz="0" w:space="0" w:color="auto"/>
      </w:divBdr>
      <w:divsChild>
        <w:div w:id="2066491222">
          <w:marLeft w:val="0"/>
          <w:marRight w:val="0"/>
          <w:marTop w:val="0"/>
          <w:marBottom w:val="0"/>
          <w:divBdr>
            <w:top w:val="none" w:sz="0" w:space="0" w:color="auto"/>
            <w:left w:val="none" w:sz="0" w:space="0" w:color="auto"/>
            <w:bottom w:val="none" w:sz="0" w:space="0" w:color="auto"/>
            <w:right w:val="none" w:sz="0" w:space="0" w:color="auto"/>
          </w:divBdr>
          <w:divsChild>
            <w:div w:id="11299317">
              <w:marLeft w:val="0"/>
              <w:marRight w:val="0"/>
              <w:marTop w:val="0"/>
              <w:marBottom w:val="0"/>
              <w:divBdr>
                <w:top w:val="none" w:sz="0" w:space="0" w:color="auto"/>
                <w:left w:val="none" w:sz="0" w:space="0" w:color="auto"/>
                <w:bottom w:val="none" w:sz="0" w:space="0" w:color="auto"/>
                <w:right w:val="none" w:sz="0" w:space="0" w:color="auto"/>
              </w:divBdr>
            </w:div>
          </w:divsChild>
        </w:div>
        <w:div w:id="1131363665">
          <w:marLeft w:val="0"/>
          <w:marRight w:val="0"/>
          <w:marTop w:val="0"/>
          <w:marBottom w:val="0"/>
          <w:divBdr>
            <w:top w:val="none" w:sz="0" w:space="0" w:color="auto"/>
            <w:left w:val="none" w:sz="0" w:space="0" w:color="auto"/>
            <w:bottom w:val="none" w:sz="0" w:space="0" w:color="auto"/>
            <w:right w:val="none" w:sz="0" w:space="0" w:color="auto"/>
          </w:divBdr>
          <w:divsChild>
            <w:div w:id="1139570428">
              <w:marLeft w:val="0"/>
              <w:marRight w:val="0"/>
              <w:marTop w:val="0"/>
              <w:marBottom w:val="0"/>
              <w:divBdr>
                <w:top w:val="none" w:sz="0" w:space="0" w:color="auto"/>
                <w:left w:val="none" w:sz="0" w:space="0" w:color="auto"/>
                <w:bottom w:val="none" w:sz="0" w:space="0" w:color="auto"/>
                <w:right w:val="none" w:sz="0" w:space="0" w:color="auto"/>
              </w:divBdr>
              <w:divsChild>
                <w:div w:id="7511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2871">
      <w:bodyDiv w:val="1"/>
      <w:marLeft w:val="0"/>
      <w:marRight w:val="0"/>
      <w:marTop w:val="0"/>
      <w:marBottom w:val="0"/>
      <w:divBdr>
        <w:top w:val="none" w:sz="0" w:space="0" w:color="auto"/>
        <w:left w:val="none" w:sz="0" w:space="0" w:color="auto"/>
        <w:bottom w:val="none" w:sz="0" w:space="0" w:color="auto"/>
        <w:right w:val="none" w:sz="0" w:space="0" w:color="auto"/>
      </w:divBdr>
    </w:div>
    <w:div w:id="20438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6C4B1-5BE2-422C-A1B7-C345C80A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6457</Words>
  <Characters>36808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Feniuk</dc:creator>
  <cp:lastModifiedBy>reg29</cp:lastModifiedBy>
  <cp:revision>10</cp:revision>
  <cp:lastPrinted>2019-06-20T13:32:00Z</cp:lastPrinted>
  <dcterms:created xsi:type="dcterms:W3CDTF">2019-08-02T11:08:00Z</dcterms:created>
  <dcterms:modified xsi:type="dcterms:W3CDTF">2019-08-02T14:20:00Z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c1522fc0-fa2c-33f9-8b68-271625bb532b</vt:lpwstr>
  </property>
  <property fmtid="{D5CDD505-2E9C-101B-9397-08002B2CF9AE}" pid="4" name="Mendeley Citation Style_1">
    <vt:lpwstr>http://www.zotero.org/styles/proceedings-of-the-royal-society-b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http://cslDataExporter</vt:lpwstr>
  </property>
  <property fmtid="{D5CDD505-2E9C-101B-9397-08002B2CF9AE}" pid="12" name="Mendeley Recent Style Name 3_1">
    <vt:lpwstr>CSL Data Exporter</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http://www.zotero.org/styles/conservation-biology</vt:lpwstr>
  </property>
  <property fmtid="{D5CDD505-2E9C-101B-9397-08002B2CF9AE}" pid="16" name="Mendeley Recent Style Name 5_1">
    <vt:lpwstr>Conservation Biology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http://www.zotero.org/styles/proceedings-of-the-royal-society-b</vt:lpwstr>
  </property>
  <property fmtid="{D5CDD505-2E9C-101B-9397-08002B2CF9AE}" pid="22" name="Mendeley Recent Style Name 8_1">
    <vt:lpwstr>Proceedings of the Royal Society B</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