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8A1" w:rsidRDefault="00BE38A1" w:rsidP="00BE38A1">
      <w:pPr>
        <w:pStyle w:val="NoSpacing"/>
        <w:rPr>
          <w:rFonts w:eastAsia="Arial Black"/>
          <w:b/>
          <w:sz w:val="22"/>
          <w:szCs w:val="22"/>
        </w:rPr>
      </w:pPr>
      <w:r w:rsidRPr="00BE38A1">
        <w:rPr>
          <w:rFonts w:eastAsia="Arial Black"/>
          <w:b/>
          <w:sz w:val="22"/>
          <w:szCs w:val="22"/>
        </w:rPr>
        <w:t>Confronting models with data: The challenges of estimating disease spillover</w:t>
      </w:r>
      <w:r w:rsidRPr="00BE38A1">
        <w:rPr>
          <w:rFonts w:eastAsia="Arial Black"/>
          <w:b/>
          <w:sz w:val="22"/>
          <w:szCs w:val="22"/>
        </w:rPr>
        <w:t>:</w:t>
      </w:r>
    </w:p>
    <w:p w:rsidR="00BE38A1" w:rsidRDefault="00BE38A1" w:rsidP="00BE38A1">
      <w:pPr>
        <w:pStyle w:val="NoSpacing"/>
        <w:rPr>
          <w:rFonts w:eastAsia="Arial Black"/>
          <w:b/>
          <w:sz w:val="22"/>
          <w:szCs w:val="22"/>
        </w:rPr>
      </w:pPr>
      <w:r w:rsidRPr="00BE38A1">
        <w:rPr>
          <w:rFonts w:eastAsia="Arial Black"/>
          <w:b/>
          <w:sz w:val="22"/>
          <w:szCs w:val="22"/>
        </w:rPr>
        <w:t>Online Supplemental Material</w:t>
      </w:r>
    </w:p>
    <w:p w:rsidR="00BE38A1" w:rsidRPr="00BE38A1" w:rsidRDefault="00BE38A1" w:rsidP="00BE38A1">
      <w:pPr>
        <w:pStyle w:val="NoSpacing"/>
        <w:rPr>
          <w:rFonts w:eastAsia="Arial Black"/>
          <w:b/>
          <w:sz w:val="22"/>
          <w:szCs w:val="22"/>
        </w:rPr>
      </w:pPr>
    </w:p>
    <w:p w:rsidR="00BE38A1" w:rsidRDefault="00BE38A1" w:rsidP="00BE38A1">
      <w:pPr>
        <w:pStyle w:val="NoSpacing"/>
        <w:rPr>
          <w:sz w:val="22"/>
          <w:szCs w:val="22"/>
        </w:rPr>
      </w:pPr>
      <w:r w:rsidRPr="00BE38A1">
        <w:rPr>
          <w:sz w:val="22"/>
          <w:szCs w:val="22"/>
        </w:rPr>
        <w:t>Paul C. Cro</w:t>
      </w:r>
      <w:r w:rsidRPr="00BE38A1">
        <w:rPr>
          <w:sz w:val="22"/>
          <w:szCs w:val="22"/>
        </w:rPr>
        <w:t xml:space="preserve">ss, </w:t>
      </w:r>
      <w:r w:rsidRPr="00BE38A1">
        <w:rPr>
          <w:sz w:val="22"/>
          <w:szCs w:val="22"/>
        </w:rPr>
        <w:t>Diann Prosser, Andrew M. Ramey, Ephraim M. Hanks, Kim M. Pepin</w:t>
      </w:r>
    </w:p>
    <w:p w:rsidR="00C45730" w:rsidRPr="00C45730" w:rsidRDefault="00C45730" w:rsidP="00BE38A1">
      <w:pPr>
        <w:pStyle w:val="NoSpacing"/>
        <w:rPr>
          <w:b/>
          <w:sz w:val="22"/>
          <w:szCs w:val="22"/>
        </w:rPr>
      </w:pPr>
    </w:p>
    <w:p w:rsidR="00C45730" w:rsidRPr="00C45730" w:rsidRDefault="00C45730" w:rsidP="00BE38A1">
      <w:pPr>
        <w:pStyle w:val="NoSpacing"/>
        <w:rPr>
          <w:rFonts w:ascii="Palatino" w:eastAsia="Palatino" w:hAnsi="Palatino" w:cs="Palatino"/>
          <w:b/>
          <w:color w:val="333333"/>
          <w:sz w:val="20"/>
          <w:szCs w:val="20"/>
          <w:highlight w:val="white"/>
        </w:rPr>
      </w:pPr>
      <w:r w:rsidRPr="00C45730">
        <w:rPr>
          <w:b/>
          <w:sz w:val="22"/>
          <w:szCs w:val="22"/>
        </w:rPr>
        <w:t xml:space="preserve">S1. </w:t>
      </w:r>
      <w:r w:rsidRPr="00C45730">
        <w:rPr>
          <w:rFonts w:ascii="Palatino" w:eastAsia="Palatino" w:hAnsi="Palatino" w:cs="Palatino"/>
          <w:b/>
          <w:color w:val="333333"/>
          <w:sz w:val="20"/>
          <w:szCs w:val="20"/>
          <w:highlight w:val="white"/>
        </w:rPr>
        <w:t>Directed acyclic graph of a statistical model of the donor host population size</w:t>
      </w:r>
      <w:r w:rsidRPr="00C45730">
        <w:rPr>
          <w:rFonts w:ascii="Palatino" w:eastAsia="Palatino" w:hAnsi="Palatino" w:cs="Palatino"/>
          <w:b/>
          <w:color w:val="333333"/>
          <w:sz w:val="20"/>
          <w:szCs w:val="20"/>
          <w:highlight w:val="white"/>
        </w:rPr>
        <w:t xml:space="preserve">. </w:t>
      </w:r>
    </w:p>
    <w:p w:rsidR="00C45730" w:rsidRPr="00C45730" w:rsidRDefault="00C45730" w:rsidP="00BE38A1">
      <w:pPr>
        <w:pStyle w:val="NoSpacing"/>
        <w:rPr>
          <w:b/>
          <w:sz w:val="22"/>
          <w:szCs w:val="22"/>
        </w:rPr>
      </w:pPr>
      <w:r w:rsidRPr="00C45730">
        <w:rPr>
          <w:b/>
          <w:sz w:val="22"/>
          <w:szCs w:val="22"/>
        </w:rPr>
        <w:t>S2. A comparison of observed versus predicted spillover events for the brucellosis case-study</w:t>
      </w:r>
    </w:p>
    <w:p w:rsidR="00BE38A1" w:rsidRPr="00BE38A1" w:rsidRDefault="00BE38A1" w:rsidP="00BE38A1">
      <w:pPr>
        <w:rPr>
          <w:rFonts w:ascii="Palatino" w:eastAsia="Palatino" w:hAnsi="Palatino" w:cs="Palatino"/>
          <w:color w:val="333333"/>
          <w:sz w:val="20"/>
          <w:szCs w:val="20"/>
          <w:highlight w:val="white"/>
        </w:rPr>
      </w:pPr>
    </w:p>
    <w:p w:rsidR="00BE38A1" w:rsidRPr="00BE38A1" w:rsidRDefault="00BE38A1" w:rsidP="00BE38A1">
      <w:pPr>
        <w:rPr>
          <w:rFonts w:ascii="Palatino" w:eastAsia="Palatino" w:hAnsi="Palatino" w:cs="Palatino"/>
          <w:color w:val="333333"/>
          <w:sz w:val="20"/>
          <w:szCs w:val="20"/>
          <w:highlight w:val="white"/>
        </w:rPr>
      </w:pPr>
    </w:p>
    <w:p w:rsidR="006453A1" w:rsidRDefault="006453A1" w:rsidP="006453A1">
      <w:pPr>
        <w:jc w:val="center"/>
        <w:rPr>
          <w:rFonts w:ascii="Palatino" w:eastAsia="Palatino" w:hAnsi="Palatino" w:cs="Palatino"/>
          <w:i/>
          <w:color w:val="333333"/>
          <w:sz w:val="20"/>
          <w:szCs w:val="20"/>
          <w:highlight w:val="white"/>
        </w:rPr>
      </w:pPr>
      <w:r w:rsidRPr="00E41592">
        <w:rPr>
          <w:rFonts w:ascii="Palatino" w:eastAsia="Palatino" w:hAnsi="Palatino" w:cs="Palatino"/>
          <w:i/>
          <w:noProof/>
          <w:color w:val="333333"/>
          <w:sz w:val="20"/>
          <w:szCs w:val="20"/>
          <w:highlight w:val="white"/>
          <w:lang w:val="en-US"/>
        </w:rPr>
        <w:drawing>
          <wp:inline distT="114300" distB="114300" distL="114300" distR="114300" wp14:anchorId="10067880" wp14:editId="63497C99">
            <wp:extent cx="3396297" cy="134021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3396297" cy="1340219"/>
                    </a:xfrm>
                    <a:prstGeom prst="rect">
                      <a:avLst/>
                    </a:prstGeom>
                    <a:ln/>
                  </pic:spPr>
                </pic:pic>
              </a:graphicData>
            </a:graphic>
          </wp:inline>
        </w:drawing>
      </w:r>
    </w:p>
    <w:p w:rsidR="00DC7D8A" w:rsidRPr="00DC7D8A" w:rsidRDefault="00DC7D8A" w:rsidP="006453A1">
      <w:pPr>
        <w:jc w:val="center"/>
        <w:rPr>
          <w:rFonts w:ascii="Palatino" w:eastAsia="Palatino" w:hAnsi="Palatino" w:cs="Palatino"/>
          <w:color w:val="333333"/>
          <w:sz w:val="20"/>
          <w:szCs w:val="20"/>
          <w:highlight w:val="white"/>
        </w:rPr>
      </w:pPr>
    </w:p>
    <w:p w:rsidR="006453A1" w:rsidRPr="00DC7D8A" w:rsidRDefault="006453A1" w:rsidP="006453A1">
      <w:pPr>
        <w:rPr>
          <w:rFonts w:ascii="Palatino" w:eastAsia="Palatino" w:hAnsi="Palatino" w:cs="Palatino"/>
          <w:color w:val="333333"/>
          <w:sz w:val="20"/>
          <w:szCs w:val="20"/>
          <w:highlight w:val="white"/>
        </w:rPr>
      </w:pPr>
      <w:r w:rsidRPr="00DC7D8A">
        <w:rPr>
          <w:rFonts w:ascii="Palatino" w:eastAsia="Palatino" w:hAnsi="Palatino" w:cs="Palatino"/>
          <w:b/>
          <w:color w:val="333333"/>
          <w:sz w:val="20"/>
          <w:szCs w:val="20"/>
          <w:highlight w:val="white"/>
        </w:rPr>
        <w:t xml:space="preserve">Figure </w:t>
      </w:r>
      <w:r w:rsidR="00DC7D8A" w:rsidRPr="00DC7D8A">
        <w:rPr>
          <w:rFonts w:ascii="Palatino" w:eastAsia="Palatino" w:hAnsi="Palatino" w:cs="Palatino"/>
          <w:b/>
          <w:color w:val="333333"/>
          <w:sz w:val="20"/>
          <w:szCs w:val="20"/>
          <w:highlight w:val="white"/>
        </w:rPr>
        <w:t>S1</w:t>
      </w:r>
      <w:r w:rsidRPr="00DC7D8A">
        <w:rPr>
          <w:rFonts w:ascii="Palatino" w:eastAsia="Palatino" w:hAnsi="Palatino" w:cs="Palatino"/>
          <w:b/>
          <w:color w:val="333333"/>
          <w:sz w:val="20"/>
          <w:szCs w:val="20"/>
          <w:highlight w:val="white"/>
        </w:rPr>
        <w:t>.</w:t>
      </w:r>
      <w:r w:rsidRPr="00DC7D8A">
        <w:rPr>
          <w:rFonts w:ascii="Palatino" w:eastAsia="Palatino" w:hAnsi="Palatino" w:cs="Palatino"/>
          <w:color w:val="333333"/>
          <w:sz w:val="20"/>
          <w:szCs w:val="20"/>
          <w:highlight w:val="white"/>
        </w:rPr>
        <w:t xml:space="preserve"> Directed acyclic graph of a statistical model of the donor host population size, </w:t>
      </w:r>
      <m:oMath>
        <m:r>
          <w:rPr>
            <w:rFonts w:ascii="Cambria Math" w:hAnsi="Cambria Math"/>
          </w:rPr>
          <m:t>δ</m:t>
        </m:r>
      </m:oMath>
      <w:r w:rsidRPr="00DC7D8A">
        <w:rPr>
          <w:rFonts w:ascii="Palatino" w:eastAsia="Palatino" w:hAnsi="Palatino" w:cs="Palatino"/>
          <w:color w:val="333333"/>
          <w:sz w:val="20"/>
          <w:szCs w:val="20"/>
          <w:highlight w:val="white"/>
        </w:rPr>
        <w:t xml:space="preserve">, in spatial regions </w:t>
      </w:r>
      <w:r w:rsidRPr="006409D6">
        <w:rPr>
          <w:rFonts w:ascii="Palatino" w:eastAsia="Palatino" w:hAnsi="Palatino" w:cs="Palatino"/>
          <w:i/>
          <w:color w:val="333333"/>
          <w:sz w:val="20"/>
          <w:szCs w:val="20"/>
          <w:highlight w:val="white"/>
        </w:rPr>
        <w:t xml:space="preserve">r </w:t>
      </w:r>
      <w:r w:rsidRPr="00DC7D8A">
        <w:rPr>
          <w:rFonts w:ascii="Palatino" w:eastAsia="Palatino" w:hAnsi="Palatino" w:cs="Palatino"/>
          <w:color w:val="333333"/>
          <w:sz w:val="20"/>
          <w:szCs w:val="20"/>
          <w:highlight w:val="white"/>
        </w:rPr>
        <w:t xml:space="preserve">and time periods </w:t>
      </w:r>
      <w:r w:rsidRPr="006409D6">
        <w:rPr>
          <w:rFonts w:ascii="Palatino" w:eastAsia="Palatino" w:hAnsi="Palatino" w:cs="Palatino"/>
          <w:i/>
          <w:color w:val="333333"/>
          <w:sz w:val="20"/>
          <w:szCs w:val="20"/>
          <w:highlight w:val="white"/>
        </w:rPr>
        <w:t>t</w:t>
      </w:r>
      <w:r w:rsidRPr="00DC7D8A">
        <w:rPr>
          <w:rFonts w:ascii="Palatino" w:eastAsia="Palatino" w:hAnsi="Palatino" w:cs="Palatino"/>
          <w:color w:val="333333"/>
          <w:sz w:val="20"/>
          <w:szCs w:val="20"/>
          <w:highlight w:val="white"/>
        </w:rPr>
        <w:t xml:space="preserve">. Blue areas are the observed data, while pink areas are latent and estimated. The observed count data, </w:t>
      </w:r>
      <w:r w:rsidRPr="006409D6">
        <w:rPr>
          <w:rFonts w:ascii="Palatino" w:eastAsia="Palatino" w:hAnsi="Palatino" w:cs="Palatino"/>
          <w:i/>
          <w:color w:val="333333"/>
          <w:sz w:val="20"/>
          <w:szCs w:val="20"/>
          <w:highlight w:val="white"/>
        </w:rPr>
        <w:t>c</w:t>
      </w:r>
      <w:r w:rsidRPr="00DC7D8A">
        <w:rPr>
          <w:rFonts w:ascii="Palatino" w:eastAsia="Palatino" w:hAnsi="Palatino" w:cs="Palatino"/>
          <w:color w:val="333333"/>
          <w:sz w:val="20"/>
          <w:szCs w:val="20"/>
          <w:highlight w:val="white"/>
        </w:rPr>
        <w:t xml:space="preserve">, at a different spatial scale, </w:t>
      </w:r>
      <w:r w:rsidRPr="006409D6">
        <w:rPr>
          <w:rFonts w:ascii="Palatino" w:eastAsia="Palatino" w:hAnsi="Palatino" w:cs="Palatino"/>
          <w:i/>
          <w:color w:val="333333"/>
          <w:sz w:val="20"/>
          <w:szCs w:val="20"/>
          <w:highlight w:val="white"/>
        </w:rPr>
        <w:t>q</w:t>
      </w:r>
      <w:r w:rsidRPr="00DC7D8A">
        <w:rPr>
          <w:rFonts w:ascii="Palatino" w:eastAsia="Palatino" w:hAnsi="Palatino" w:cs="Palatino"/>
          <w:color w:val="333333"/>
          <w:sz w:val="20"/>
          <w:szCs w:val="20"/>
          <w:highlight w:val="white"/>
        </w:rPr>
        <w:t xml:space="preserve">, and </w:t>
      </w:r>
      <w:proofErr w:type="gramStart"/>
      <w:r w:rsidRPr="00DC7D8A">
        <w:rPr>
          <w:rFonts w:ascii="Palatino" w:eastAsia="Palatino" w:hAnsi="Palatino" w:cs="Palatino"/>
          <w:color w:val="333333"/>
          <w:sz w:val="20"/>
          <w:szCs w:val="20"/>
          <w:highlight w:val="white"/>
        </w:rPr>
        <w:t>time period</w:t>
      </w:r>
      <w:proofErr w:type="gramEnd"/>
      <w:r w:rsidRPr="00DC7D8A">
        <w:rPr>
          <w:rFonts w:ascii="Palatino" w:eastAsia="Palatino" w:hAnsi="Palatino" w:cs="Palatino"/>
          <w:color w:val="333333"/>
          <w:sz w:val="20"/>
          <w:szCs w:val="20"/>
          <w:highlight w:val="white"/>
        </w:rPr>
        <w:t xml:space="preserve"> </w:t>
      </w:r>
      <w:r w:rsidRPr="006409D6">
        <w:rPr>
          <w:rFonts w:ascii="Palatino" w:eastAsia="Palatino" w:hAnsi="Palatino" w:cs="Palatino"/>
          <w:i/>
          <w:color w:val="333333"/>
          <w:sz w:val="20"/>
          <w:szCs w:val="20"/>
          <w:highlight w:val="white"/>
        </w:rPr>
        <w:t>u</w:t>
      </w:r>
      <w:r w:rsidRPr="00DC7D8A">
        <w:rPr>
          <w:rFonts w:ascii="Palatino" w:eastAsia="Palatino" w:hAnsi="Palatino" w:cs="Palatino"/>
          <w:color w:val="333333"/>
          <w:sz w:val="20"/>
          <w:szCs w:val="20"/>
          <w:highlight w:val="white"/>
        </w:rPr>
        <w:t xml:space="preserve"> are dependent on the host density as well as the </w:t>
      </w:r>
      <w:proofErr w:type="spellStart"/>
      <w:r w:rsidRPr="00DC7D8A">
        <w:rPr>
          <w:rFonts w:ascii="Palatino" w:eastAsia="Palatino" w:hAnsi="Palatino" w:cs="Palatino"/>
          <w:color w:val="333333"/>
          <w:sz w:val="20"/>
          <w:szCs w:val="20"/>
          <w:highlight w:val="white"/>
        </w:rPr>
        <w:t>sightability</w:t>
      </w:r>
      <w:proofErr w:type="spellEnd"/>
      <m:oMath>
        <m:r>
          <m:rPr>
            <m:sty m:val="p"/>
          </m:rPr>
          <w:rPr>
            <w:rFonts w:ascii="Cambria Math" w:eastAsia="Palatino" w:hAnsi="Cambria Math" w:cs="Palatino"/>
            <w:color w:val="333333"/>
            <w:sz w:val="20"/>
            <w:szCs w:val="20"/>
          </w:rPr>
          <m:t xml:space="preserve"> </m:t>
        </m:r>
        <m:r>
          <w:rPr>
            <w:rFonts w:ascii="Cambria Math" w:hAnsi="Cambria Math"/>
          </w:rPr>
          <m:t>ϕ</m:t>
        </m:r>
      </m:oMath>
      <w:r w:rsidRPr="00DC7D8A">
        <w:rPr>
          <w:rFonts w:ascii="Palatino" w:eastAsia="Palatino" w:hAnsi="Palatino" w:cs="Palatino"/>
          <w:color w:val="333333"/>
          <w:sz w:val="20"/>
          <w:szCs w:val="20"/>
          <w:highlight w:val="white"/>
        </w:rPr>
        <w:t xml:space="preserve">. Host movement, </w:t>
      </w:r>
      <w:r w:rsidRPr="006409D6">
        <w:rPr>
          <w:rFonts w:ascii="Palatino" w:eastAsia="Palatino" w:hAnsi="Palatino" w:cs="Palatino"/>
          <w:i/>
          <w:color w:val="333333"/>
          <w:sz w:val="20"/>
          <w:szCs w:val="20"/>
          <w:highlight w:val="white"/>
        </w:rPr>
        <w:t>w</w:t>
      </w:r>
      <w:r w:rsidRPr="00DC7D8A">
        <w:rPr>
          <w:rFonts w:ascii="Palatino" w:eastAsia="Palatino" w:hAnsi="Palatino" w:cs="Palatino"/>
          <w:color w:val="333333"/>
          <w:sz w:val="20"/>
          <w:szCs w:val="20"/>
          <w:highlight w:val="white"/>
        </w:rPr>
        <w:t xml:space="preserve">, into a region </w:t>
      </w:r>
      <w:r w:rsidRPr="006409D6">
        <w:rPr>
          <w:rFonts w:ascii="Palatino" w:eastAsia="Palatino" w:hAnsi="Palatino" w:cs="Palatino"/>
          <w:i/>
          <w:color w:val="333333"/>
          <w:sz w:val="20"/>
          <w:szCs w:val="20"/>
          <w:highlight w:val="white"/>
        </w:rPr>
        <w:t>j</w:t>
      </w:r>
      <w:r w:rsidRPr="00DC7D8A">
        <w:rPr>
          <w:rFonts w:ascii="Palatino" w:eastAsia="Palatino" w:hAnsi="Palatino" w:cs="Palatino"/>
          <w:color w:val="333333"/>
          <w:sz w:val="20"/>
          <w:szCs w:val="20"/>
          <w:highlight w:val="white"/>
        </w:rPr>
        <w:t xml:space="preserve"> from </w:t>
      </w:r>
      <w:proofErr w:type="gramStart"/>
      <w:r w:rsidRPr="00DC7D8A">
        <w:rPr>
          <w:rFonts w:ascii="Palatino" w:eastAsia="Palatino" w:hAnsi="Palatino" w:cs="Palatino"/>
          <w:color w:val="333333"/>
          <w:sz w:val="20"/>
          <w:szCs w:val="20"/>
          <w:highlight w:val="white"/>
        </w:rPr>
        <w:t>all of</w:t>
      </w:r>
      <w:proofErr w:type="gramEnd"/>
      <w:r w:rsidRPr="00DC7D8A">
        <w:rPr>
          <w:rFonts w:ascii="Palatino" w:eastAsia="Palatino" w:hAnsi="Palatino" w:cs="Palatino"/>
          <w:color w:val="333333"/>
          <w:sz w:val="20"/>
          <w:szCs w:val="20"/>
          <w:highlight w:val="white"/>
        </w:rPr>
        <w:t xml:space="preserve"> its neighbors </w:t>
      </w:r>
      <w:r w:rsidRPr="006409D6">
        <w:rPr>
          <w:rFonts w:ascii="Palatino" w:eastAsia="Palatino" w:hAnsi="Palatino" w:cs="Palatino"/>
          <w:i/>
          <w:color w:val="333333"/>
          <w:sz w:val="20"/>
          <w:szCs w:val="20"/>
          <w:highlight w:val="white"/>
        </w:rPr>
        <w:t>J</w:t>
      </w:r>
      <w:r w:rsidRPr="00DC7D8A">
        <w:rPr>
          <w:rFonts w:ascii="Palatino" w:eastAsia="Palatino" w:hAnsi="Palatino" w:cs="Palatino"/>
          <w:color w:val="333333"/>
          <w:sz w:val="20"/>
          <w:szCs w:val="20"/>
          <w:highlight w:val="white"/>
        </w:rPr>
        <w:t xml:space="preserve"> affects the host population distribution over time as well as the observed movement data m for individuals </w:t>
      </w:r>
      <w:r w:rsidRPr="006409D6">
        <w:rPr>
          <w:rFonts w:ascii="Palatino" w:eastAsia="Palatino" w:hAnsi="Palatino" w:cs="Palatino"/>
          <w:i/>
          <w:color w:val="333333"/>
          <w:sz w:val="20"/>
          <w:szCs w:val="20"/>
          <w:highlight w:val="white"/>
        </w:rPr>
        <w:t>n</w:t>
      </w:r>
      <w:r w:rsidRPr="00DC7D8A">
        <w:rPr>
          <w:rFonts w:ascii="Palatino" w:eastAsia="Palatino" w:hAnsi="Palatino" w:cs="Palatino"/>
          <w:color w:val="333333"/>
          <w:sz w:val="20"/>
          <w:szCs w:val="20"/>
          <w:highlight w:val="white"/>
        </w:rPr>
        <w:t xml:space="preserve">, which may also be collected at a different temporal resolution. </w:t>
      </w:r>
    </w:p>
    <w:p w:rsidR="00DC7D8A" w:rsidRPr="00DC7D8A" w:rsidRDefault="006453A1" w:rsidP="00DC7D8A">
      <w:pPr>
        <w:rPr>
          <w:rFonts w:ascii="Palatino" w:eastAsia="Palatino" w:hAnsi="Palatino" w:cs="Palatino"/>
          <w:color w:val="333333"/>
          <w:sz w:val="20"/>
          <w:szCs w:val="20"/>
          <w:highlight w:val="white"/>
        </w:rPr>
      </w:pPr>
      <w:r w:rsidRPr="00DC7D8A">
        <w:rPr>
          <w:rFonts w:ascii="Palatino" w:eastAsia="Palatino" w:hAnsi="Palatino" w:cs="Palatino"/>
          <w:color w:val="333333"/>
          <w:sz w:val="20"/>
          <w:szCs w:val="20"/>
          <w:highlight w:val="white"/>
        </w:rPr>
        <w:t xml:space="preserve"> </w:t>
      </w:r>
    </w:p>
    <w:p w:rsidR="006453A1" w:rsidRDefault="006453A1" w:rsidP="00DC7D8A">
      <w:pPr>
        <w:jc w:val="center"/>
        <w:rPr>
          <w:rFonts w:ascii="Palatino" w:eastAsia="Palatino" w:hAnsi="Palatino" w:cs="Palatino"/>
          <w:i/>
          <w:color w:val="333333"/>
          <w:sz w:val="20"/>
          <w:szCs w:val="20"/>
          <w:highlight w:val="white"/>
        </w:rPr>
      </w:pPr>
      <w:r w:rsidRPr="00E41592">
        <w:rPr>
          <w:rFonts w:ascii="Palatino" w:eastAsia="Palatino" w:hAnsi="Palatino" w:cs="Palatino"/>
          <w:i/>
          <w:noProof/>
          <w:color w:val="333333"/>
          <w:sz w:val="20"/>
          <w:szCs w:val="20"/>
          <w:highlight w:val="white"/>
          <w:lang w:val="en-US"/>
        </w:rPr>
        <w:drawing>
          <wp:inline distT="114300" distB="114300" distL="114300" distR="114300" wp14:anchorId="153DD8F8" wp14:editId="00B95E57">
            <wp:extent cx="4572000" cy="3429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572000" cy="3429000"/>
                    </a:xfrm>
                    <a:prstGeom prst="rect">
                      <a:avLst/>
                    </a:prstGeom>
                    <a:ln/>
                  </pic:spPr>
                </pic:pic>
              </a:graphicData>
            </a:graphic>
          </wp:inline>
        </w:drawing>
      </w:r>
    </w:p>
    <w:p w:rsidR="00DC7D8A" w:rsidRPr="00DC7D8A" w:rsidRDefault="00DC7D8A" w:rsidP="00DC7D8A">
      <w:pPr>
        <w:jc w:val="center"/>
        <w:rPr>
          <w:rFonts w:ascii="Palatino" w:eastAsia="Palatino" w:hAnsi="Palatino" w:cs="Palatino"/>
          <w:color w:val="333333"/>
          <w:sz w:val="20"/>
          <w:szCs w:val="20"/>
          <w:highlight w:val="white"/>
        </w:rPr>
      </w:pPr>
    </w:p>
    <w:p w:rsidR="006409D6" w:rsidRDefault="006453A1">
      <w:pPr>
        <w:rPr>
          <w:rFonts w:ascii="Palatino" w:eastAsia="Palatino" w:hAnsi="Palatino" w:cs="Palatino"/>
          <w:color w:val="333333"/>
          <w:sz w:val="20"/>
          <w:szCs w:val="20"/>
          <w:highlight w:val="white"/>
        </w:rPr>
      </w:pPr>
      <w:r w:rsidRPr="00DC7D8A">
        <w:rPr>
          <w:rFonts w:ascii="Palatino" w:eastAsia="Palatino" w:hAnsi="Palatino" w:cs="Palatino"/>
          <w:b/>
          <w:color w:val="333333"/>
          <w:sz w:val="20"/>
          <w:szCs w:val="20"/>
          <w:highlight w:val="white"/>
        </w:rPr>
        <w:t xml:space="preserve">Figure </w:t>
      </w:r>
      <w:r w:rsidR="00DC7D8A" w:rsidRPr="00DC7D8A">
        <w:rPr>
          <w:rFonts w:ascii="Palatino" w:eastAsia="Palatino" w:hAnsi="Palatino" w:cs="Palatino"/>
          <w:b/>
          <w:color w:val="333333"/>
          <w:sz w:val="20"/>
          <w:szCs w:val="20"/>
          <w:highlight w:val="white"/>
        </w:rPr>
        <w:t>S2</w:t>
      </w:r>
      <w:r w:rsidRPr="00DC7D8A">
        <w:rPr>
          <w:rFonts w:ascii="Palatino" w:eastAsia="Palatino" w:hAnsi="Palatino" w:cs="Palatino"/>
          <w:b/>
          <w:color w:val="333333"/>
          <w:sz w:val="20"/>
          <w:szCs w:val="20"/>
          <w:highlight w:val="white"/>
        </w:rPr>
        <w:t>.</w:t>
      </w:r>
      <w:r w:rsidRPr="00DC7D8A">
        <w:rPr>
          <w:rFonts w:ascii="Palatino" w:eastAsia="Palatino" w:hAnsi="Palatino" w:cs="Palatino"/>
          <w:color w:val="333333"/>
          <w:sz w:val="20"/>
          <w:szCs w:val="20"/>
          <w:highlight w:val="white"/>
        </w:rPr>
        <w:t xml:space="preserve"> The relationship between the number of observed brucellosis spillover events in livestock herds from 2001 to 2018 and the predicted number of elk transmission events per year in areas potentially occupied by livestock.  Each point is a different elk management unit in Montana and Wyoming. Predictions are based upon (</w:t>
      </w:r>
      <w:r w:rsidRPr="00DC7D8A">
        <w:rPr>
          <w:rFonts w:ascii="Palatino" w:eastAsia="Palatino" w:hAnsi="Palatino" w:cs="Palatino"/>
          <w:color w:val="333333"/>
          <w:sz w:val="20"/>
          <w:szCs w:val="20"/>
          <w:highlight w:val="white"/>
        </w:rPr>
        <w:fldChar w:fldCharType="begin"/>
      </w:r>
      <w:r w:rsidR="006409D6">
        <w:rPr>
          <w:rFonts w:ascii="Palatino" w:eastAsia="Palatino" w:hAnsi="Palatino" w:cs="Palatino"/>
          <w:color w:val="333333"/>
          <w:sz w:val="20"/>
          <w:szCs w:val="20"/>
          <w:highlight w:val="white"/>
        </w:rPr>
        <w:instrText xml:space="preserve"> ADDIN EN.CITE &lt;EndNote&gt;&lt;Cite&gt;&lt;Author&gt;Merkle&lt;/Author&gt;&lt;Year&gt;2018&lt;/Year&gt;&lt;RecNum&gt;21679&lt;/RecNum&gt;&lt;DisplayText&gt;[1]&lt;/DisplayText&gt;&lt;record&gt;&lt;rec-number&gt;21679&lt;/rec-number&gt;&lt;foreign-keys&gt;&lt;key app="EN" db-id="efz99dee90w09aed5v95ds52ewf9de00t95z" timestamp="1508589451"&gt;21679&lt;/key&gt;&lt;key app="ENWeb" db-id=""&gt;0&lt;/key&gt;&lt;/foreign-keys&gt;&lt;ref-type name="Journal Article"&gt;17&lt;/ref-type&gt;&lt;contributors&gt;&lt;authors&gt;&lt;author&gt;Merkle, Jerod A.&lt;/author&gt;&lt;author&gt;Cross, Paul C.&lt;/author&gt;&lt;author&gt;Scurlock, Brandon M.&lt;/author&gt;&lt;author&gt;Cole, Eric K.&lt;/author&gt;&lt;author&gt;Courtemanch, Alyson B.&lt;/author&gt;&lt;author&gt;Dewey, Sarah R.&lt;/author&gt;&lt;author&gt;Kauffman, Matthew J.&lt;/author&gt;&lt;/authors&gt;&lt;/contributors&gt;&lt;titles&gt;&lt;title&gt;Linking spring phenology with mechanistic models of host movement to predict disease transmission risk&lt;/title&gt;&lt;secondary-title&gt;Journal of Applied Ecology&lt;/secondary-title&gt;&lt;/titles&gt;&lt;periodical&gt;&lt;full-title&gt;Journal of Applied Ecology&lt;/full-title&gt;&lt;abbr-1&gt;J. Appl. Ecol.&lt;/abbr-1&gt;&lt;/periodical&gt;&lt;pages&gt;810-819&lt;/pages&gt;&lt;volume&gt;55&lt;/volume&gt;&lt;dates&gt;&lt;year&gt;2018&lt;/year&gt;&lt;/dates&gt;&lt;isbn&gt;00218901&lt;/isbn&gt;&lt;urls&gt;&lt;/urls&gt;&lt;electronic-resource-num&gt;10.1111/1365-2664.13022&lt;/electronic-resource-num&gt;&lt;/record&gt;&lt;/Cite&gt;&lt;/EndNote&gt;</w:instrText>
      </w:r>
      <w:r w:rsidRPr="00DC7D8A">
        <w:rPr>
          <w:rFonts w:ascii="Palatino" w:eastAsia="Palatino" w:hAnsi="Palatino" w:cs="Palatino"/>
          <w:color w:val="333333"/>
          <w:sz w:val="20"/>
          <w:szCs w:val="20"/>
          <w:highlight w:val="white"/>
        </w:rPr>
        <w:fldChar w:fldCharType="separate"/>
      </w:r>
      <w:r w:rsidR="006409D6">
        <w:rPr>
          <w:rFonts w:ascii="Palatino" w:eastAsia="Palatino" w:hAnsi="Palatino" w:cs="Palatino"/>
          <w:noProof/>
          <w:color w:val="333333"/>
          <w:sz w:val="20"/>
          <w:szCs w:val="20"/>
          <w:highlight w:val="white"/>
        </w:rPr>
        <w:t>[1]</w:t>
      </w:r>
      <w:r w:rsidRPr="00DC7D8A">
        <w:rPr>
          <w:rFonts w:ascii="Palatino" w:eastAsia="Palatino" w:hAnsi="Palatino" w:cs="Palatino"/>
          <w:color w:val="333333"/>
          <w:sz w:val="20"/>
          <w:szCs w:val="20"/>
          <w:highlight w:val="white"/>
        </w:rPr>
        <w:fldChar w:fldCharType="end"/>
      </w:r>
      <w:r w:rsidR="00DC7D8A" w:rsidRPr="00DC7D8A">
        <w:rPr>
          <w:rFonts w:ascii="Palatino" w:eastAsia="Palatino" w:hAnsi="Palatino" w:cs="Palatino"/>
          <w:color w:val="333333"/>
          <w:sz w:val="20"/>
          <w:szCs w:val="20"/>
          <w:highlight w:val="white"/>
        </w:rPr>
        <w:t xml:space="preserve"> </w:t>
      </w:r>
      <w:r w:rsidRPr="00DC7D8A">
        <w:rPr>
          <w:rFonts w:ascii="Palatino" w:eastAsia="Palatino" w:hAnsi="Palatino" w:cs="Palatino"/>
          <w:color w:val="333333"/>
          <w:sz w:val="20"/>
          <w:szCs w:val="20"/>
          <w:highlight w:val="white"/>
        </w:rPr>
        <w:t xml:space="preserve">and </w:t>
      </w:r>
      <w:r w:rsidRPr="00DC7D8A">
        <w:rPr>
          <w:rFonts w:ascii="Palatino" w:eastAsia="Palatino" w:hAnsi="Palatino" w:cs="Palatino"/>
          <w:color w:val="333333"/>
          <w:sz w:val="20"/>
          <w:szCs w:val="20"/>
          <w:highlight w:val="white"/>
        </w:rPr>
        <w:fldChar w:fldCharType="begin"/>
      </w:r>
      <w:r w:rsidR="006409D6">
        <w:rPr>
          <w:rFonts w:ascii="Palatino" w:eastAsia="Palatino" w:hAnsi="Palatino" w:cs="Palatino"/>
          <w:color w:val="333333"/>
          <w:sz w:val="20"/>
          <w:szCs w:val="20"/>
          <w:highlight w:val="white"/>
        </w:rPr>
        <w:instrText xml:space="preserve"> ADDIN EN.CITE &lt;EndNote&gt;&lt;Cite&gt;&lt;Author&gt;Rayl&lt;/Author&gt;&lt;Year&gt;2018&lt;/Year&gt;&lt;RecNum&gt;21839&lt;/RecNum&gt;&lt;DisplayText&gt;[2]&lt;/DisplayText&gt;&lt;record&gt;&lt;rec-number&gt;21839&lt;/rec-number&gt;&lt;foreign-keys&gt;&lt;key app="EN" db-id="efz99dee90w09aed5v95ds52ewf9de00t95z" timestamp="1536360667"&gt;21839&lt;/key&gt;&lt;/foreign-keys&gt;&lt;ref-type name="Report"&gt;27&lt;/ref-type&gt;&lt;contributors&gt;&lt;authors&gt;&lt;author&gt;Rayl, N. D.&lt;/author&gt;&lt;author&gt;Proffitt, K M&lt;/author&gt;&lt;author&gt;Almberg, E. S.&lt;/author&gt;&lt;author&gt;Merkle, J. A.&lt;/author&gt;&lt;author&gt;Jones, J H&lt;/author&gt;&lt;author&gt;Gude, J. A.&lt;/author&gt;&lt;author&gt;Cross, P C&lt;/author&gt;&lt;/authors&gt;&lt;/contributors&gt;&lt;titles&gt;&lt;title&gt;Modelling elk-to-livestock transmission risk to identify hotspots of brucellosis spillover&lt;/title&gt;&lt;/titles&gt;&lt;pages&gt;1-56&lt;/pages&gt;&lt;dates&gt;&lt;year&gt;2018&lt;/year&gt;&lt;/dates&gt;&lt;publisher&gt;Montana Fish, Wildlife and Parks&lt;/publisher&gt;&lt;urls&gt;&lt;/urls&gt;&lt;/record&gt;&lt;/Cite&gt;&lt;/EndNote&gt;</w:instrText>
      </w:r>
      <w:r w:rsidRPr="00DC7D8A">
        <w:rPr>
          <w:rFonts w:ascii="Palatino" w:eastAsia="Palatino" w:hAnsi="Palatino" w:cs="Palatino"/>
          <w:color w:val="333333"/>
          <w:sz w:val="20"/>
          <w:szCs w:val="20"/>
          <w:highlight w:val="white"/>
        </w:rPr>
        <w:fldChar w:fldCharType="separate"/>
      </w:r>
      <w:r w:rsidR="006409D6">
        <w:rPr>
          <w:rFonts w:ascii="Palatino" w:eastAsia="Palatino" w:hAnsi="Palatino" w:cs="Palatino"/>
          <w:noProof/>
          <w:color w:val="333333"/>
          <w:sz w:val="20"/>
          <w:szCs w:val="20"/>
          <w:highlight w:val="white"/>
        </w:rPr>
        <w:t>[2]</w:t>
      </w:r>
      <w:r w:rsidRPr="00DC7D8A">
        <w:rPr>
          <w:rFonts w:ascii="Palatino" w:eastAsia="Palatino" w:hAnsi="Palatino" w:cs="Palatino"/>
          <w:color w:val="333333"/>
          <w:sz w:val="20"/>
          <w:szCs w:val="20"/>
          <w:highlight w:val="white"/>
        </w:rPr>
        <w:fldChar w:fldCharType="end"/>
      </w:r>
      <w:r w:rsidR="00DC7D8A">
        <w:rPr>
          <w:rFonts w:ascii="Palatino" w:eastAsia="Palatino" w:hAnsi="Palatino" w:cs="Palatino"/>
          <w:color w:val="333333"/>
          <w:sz w:val="20"/>
          <w:szCs w:val="20"/>
          <w:highlight w:val="white"/>
        </w:rPr>
        <w:t>)</w:t>
      </w:r>
      <w:r w:rsidRPr="00DC7D8A">
        <w:rPr>
          <w:rFonts w:ascii="Palatino" w:eastAsia="Palatino" w:hAnsi="Palatino" w:cs="Palatino"/>
          <w:color w:val="333333"/>
          <w:sz w:val="20"/>
          <w:szCs w:val="20"/>
          <w:highlight w:val="white"/>
        </w:rPr>
        <w:t xml:space="preserve">.  </w:t>
      </w:r>
    </w:p>
    <w:p w:rsidR="006409D6" w:rsidRDefault="006409D6">
      <w:pPr>
        <w:rPr>
          <w:rFonts w:ascii="Palatino" w:eastAsia="Palatino" w:hAnsi="Palatino" w:cs="Palatino"/>
          <w:color w:val="333333"/>
          <w:sz w:val="20"/>
          <w:szCs w:val="20"/>
          <w:highlight w:val="white"/>
        </w:rPr>
      </w:pPr>
    </w:p>
    <w:p w:rsidR="006409D6" w:rsidRPr="00F2577C" w:rsidRDefault="006409D6">
      <w:pPr>
        <w:rPr>
          <w:rFonts w:ascii="Palatino" w:eastAsia="Palatino" w:hAnsi="Palatino" w:cs="Palatino"/>
          <w:b/>
          <w:color w:val="333333"/>
          <w:sz w:val="20"/>
          <w:szCs w:val="20"/>
          <w:highlight w:val="white"/>
        </w:rPr>
      </w:pPr>
      <w:r w:rsidRPr="00F2577C">
        <w:rPr>
          <w:rFonts w:ascii="Palatino" w:eastAsia="Palatino" w:hAnsi="Palatino" w:cs="Palatino"/>
          <w:b/>
          <w:color w:val="333333"/>
          <w:sz w:val="20"/>
          <w:szCs w:val="20"/>
          <w:highlight w:val="white"/>
        </w:rPr>
        <w:t xml:space="preserve">References: </w:t>
      </w:r>
    </w:p>
    <w:p w:rsidR="006409D6" w:rsidRPr="006409D6" w:rsidRDefault="006409D6">
      <w:pPr>
        <w:rPr>
          <w:rFonts w:ascii="Palatino Linotype" w:eastAsia="Palatino" w:hAnsi="Palatino Linotype" w:cs="Palatino"/>
          <w:color w:val="333333"/>
          <w:sz w:val="20"/>
          <w:szCs w:val="20"/>
          <w:highlight w:val="white"/>
        </w:rPr>
      </w:pPr>
      <w:bookmarkStart w:id="0" w:name="_GoBack"/>
      <w:bookmarkEnd w:id="0"/>
    </w:p>
    <w:p w:rsidR="006409D6" w:rsidRPr="006409D6" w:rsidRDefault="006409D6" w:rsidP="006409D6">
      <w:pPr>
        <w:pStyle w:val="EndNoteBibliography"/>
        <w:rPr>
          <w:rFonts w:ascii="Palatino Linotype" w:hAnsi="Palatino Linotype"/>
          <w:sz w:val="20"/>
          <w:szCs w:val="20"/>
        </w:rPr>
      </w:pPr>
      <w:r w:rsidRPr="006409D6">
        <w:rPr>
          <w:rFonts w:ascii="Palatino Linotype" w:eastAsia="PT Sans" w:hAnsi="Palatino Linotype" w:cs="PT Sans"/>
          <w:color w:val="323031"/>
          <w:sz w:val="20"/>
          <w:szCs w:val="20"/>
        </w:rPr>
        <w:lastRenderedPageBreak/>
        <w:fldChar w:fldCharType="begin"/>
      </w:r>
      <w:r w:rsidRPr="006409D6">
        <w:rPr>
          <w:rFonts w:ascii="Palatino Linotype" w:eastAsia="PT Sans" w:hAnsi="Palatino Linotype" w:cs="PT Sans"/>
          <w:color w:val="323031"/>
          <w:sz w:val="20"/>
          <w:szCs w:val="20"/>
        </w:rPr>
        <w:instrText xml:space="preserve"> ADDIN EN.REFLIST </w:instrText>
      </w:r>
      <w:r w:rsidRPr="006409D6">
        <w:rPr>
          <w:rFonts w:ascii="Palatino Linotype" w:eastAsia="PT Sans" w:hAnsi="Palatino Linotype" w:cs="PT Sans"/>
          <w:color w:val="323031"/>
          <w:sz w:val="20"/>
          <w:szCs w:val="20"/>
        </w:rPr>
        <w:fldChar w:fldCharType="separate"/>
      </w:r>
      <w:r w:rsidRPr="006409D6">
        <w:rPr>
          <w:rFonts w:ascii="Palatino Linotype" w:hAnsi="Palatino Linotype"/>
          <w:sz w:val="20"/>
          <w:szCs w:val="20"/>
        </w:rPr>
        <w:t xml:space="preserve">[1] Merkle, J. A., Cross, P. C., Scurlock, B. M., Cole, E. K., Courtemanch, A. B., Dewey, S. R. &amp; Kauffman, M. J. 2018 Linking spring phenology with mechanistic models of host movement to predict disease transmission risk. </w:t>
      </w:r>
      <w:r w:rsidRPr="006409D6">
        <w:rPr>
          <w:rFonts w:ascii="Palatino Linotype" w:hAnsi="Palatino Linotype"/>
          <w:i/>
          <w:sz w:val="20"/>
          <w:szCs w:val="20"/>
        </w:rPr>
        <w:t>J. Appl. Ecol.</w:t>
      </w:r>
      <w:r w:rsidRPr="006409D6">
        <w:rPr>
          <w:rFonts w:ascii="Palatino Linotype" w:hAnsi="Palatino Linotype"/>
          <w:sz w:val="20"/>
          <w:szCs w:val="20"/>
        </w:rPr>
        <w:t xml:space="preserve"> </w:t>
      </w:r>
      <w:r w:rsidRPr="006409D6">
        <w:rPr>
          <w:rFonts w:ascii="Palatino Linotype" w:hAnsi="Palatino Linotype"/>
          <w:b/>
          <w:sz w:val="20"/>
          <w:szCs w:val="20"/>
        </w:rPr>
        <w:t>55</w:t>
      </w:r>
      <w:r w:rsidRPr="006409D6">
        <w:rPr>
          <w:rFonts w:ascii="Palatino Linotype" w:hAnsi="Palatino Linotype"/>
          <w:sz w:val="20"/>
          <w:szCs w:val="20"/>
        </w:rPr>
        <w:t>, 810-819. (DOI:10.1111/1365-2664.13022).</w:t>
      </w:r>
    </w:p>
    <w:p w:rsidR="006409D6" w:rsidRPr="006409D6" w:rsidRDefault="006409D6" w:rsidP="006409D6">
      <w:pPr>
        <w:pStyle w:val="EndNoteBibliography"/>
        <w:rPr>
          <w:rFonts w:ascii="Palatino Linotype" w:hAnsi="Palatino Linotype"/>
          <w:sz w:val="20"/>
          <w:szCs w:val="20"/>
        </w:rPr>
      </w:pPr>
    </w:p>
    <w:p w:rsidR="006409D6" w:rsidRPr="006409D6" w:rsidRDefault="006409D6" w:rsidP="006409D6">
      <w:pPr>
        <w:pStyle w:val="EndNoteBibliography"/>
        <w:rPr>
          <w:rFonts w:ascii="Palatino Linotype" w:hAnsi="Palatino Linotype"/>
          <w:sz w:val="20"/>
          <w:szCs w:val="20"/>
        </w:rPr>
      </w:pPr>
      <w:r w:rsidRPr="006409D6">
        <w:rPr>
          <w:rFonts w:ascii="Palatino Linotype" w:hAnsi="Palatino Linotype"/>
          <w:sz w:val="20"/>
          <w:szCs w:val="20"/>
        </w:rPr>
        <w:t>[2] Rayl, N. D., Proffitt, K. M., Almberg, E. S., Merkle, J. A., Jones, J. H., Gude, J. A. &amp; Cross, P. C. 2018 Modelling elk-to-livestock transmission risk to identify hotspots of brucellosis spillover.  (pp. 1-56, Montana Fish, Wildlife and Parks.</w:t>
      </w:r>
    </w:p>
    <w:p w:rsidR="007D24FB" w:rsidRPr="006409D6" w:rsidRDefault="006409D6">
      <w:pPr>
        <w:rPr>
          <w:rFonts w:ascii="Palatino Linotype" w:eastAsia="PT Sans" w:hAnsi="Palatino Linotype" w:cs="PT Sans"/>
          <w:color w:val="323031"/>
        </w:rPr>
      </w:pPr>
      <w:r w:rsidRPr="006409D6">
        <w:rPr>
          <w:rFonts w:ascii="Palatino Linotype" w:eastAsia="PT Sans" w:hAnsi="Palatino Linotype" w:cs="PT Sans"/>
          <w:color w:val="323031"/>
          <w:sz w:val="20"/>
          <w:szCs w:val="20"/>
        </w:rPr>
        <w:fldChar w:fldCharType="end"/>
      </w:r>
    </w:p>
    <w:sectPr w:rsidR="007D24FB" w:rsidRPr="006409D6" w:rsidSect="006453A1">
      <w:pgSz w:w="11907" w:h="16840"/>
      <w:pgMar w:top="1601" w:right="1134" w:bottom="851" w:left="1304" w:header="720"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w:altName w:val="Book Antiqua"/>
    <w:charset w:val="00"/>
    <w:family w:val="auto"/>
    <w:pitch w:val="default"/>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hil Trans R Soc 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z99dee90w09aed5v95ds52ewf9de00t95z&quot;&gt;Literature&lt;record-ids&gt;&lt;item&gt;21679&lt;/item&gt;&lt;item&gt;21839&lt;/item&gt;&lt;/record-ids&gt;&lt;/item&gt;&lt;/Libraries&gt;"/>
  </w:docVars>
  <w:rsids>
    <w:rsidRoot w:val="006453A1"/>
    <w:rsid w:val="006409D6"/>
    <w:rsid w:val="006453A1"/>
    <w:rsid w:val="007D24FB"/>
    <w:rsid w:val="00BE38A1"/>
    <w:rsid w:val="00C45730"/>
    <w:rsid w:val="00DC7D8A"/>
    <w:rsid w:val="00F2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B568"/>
  <w15:chartTrackingRefBased/>
  <w15:docId w15:val="{8B71C8F6-CCF2-4236-9D1D-F6620AED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453A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409D6"/>
    <w:pPr>
      <w:jc w:val="center"/>
    </w:pPr>
    <w:rPr>
      <w:noProof/>
      <w:lang w:val="en-US"/>
    </w:rPr>
  </w:style>
  <w:style w:type="character" w:customStyle="1" w:styleId="EndNoteBibliographyTitleChar">
    <w:name w:val="EndNote Bibliography Title Char"/>
    <w:basedOn w:val="DefaultParagraphFont"/>
    <w:link w:val="EndNoteBibliographyTitle"/>
    <w:rsid w:val="006409D6"/>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6409D6"/>
    <w:rPr>
      <w:noProof/>
      <w:lang w:val="en-US"/>
    </w:rPr>
  </w:style>
  <w:style w:type="character" w:customStyle="1" w:styleId="EndNoteBibliographyChar">
    <w:name w:val="EndNote Bibliography Char"/>
    <w:basedOn w:val="DefaultParagraphFont"/>
    <w:link w:val="EndNoteBibliography"/>
    <w:rsid w:val="006409D6"/>
    <w:rPr>
      <w:rFonts w:ascii="Times New Roman" w:eastAsia="Times New Roman" w:hAnsi="Times New Roman" w:cs="Times New Roman"/>
      <w:noProof/>
      <w:sz w:val="24"/>
      <w:szCs w:val="24"/>
    </w:rPr>
  </w:style>
  <w:style w:type="paragraph" w:styleId="NoSpacing">
    <w:name w:val="No Spacing"/>
    <w:uiPriority w:val="1"/>
    <w:qFormat/>
    <w:rsid w:val="00BE38A1"/>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Paul C.</dc:creator>
  <cp:keywords/>
  <dc:description/>
  <cp:lastModifiedBy>Cross, Paul C.</cp:lastModifiedBy>
  <cp:revision>6</cp:revision>
  <dcterms:created xsi:type="dcterms:W3CDTF">2019-04-12T16:29:00Z</dcterms:created>
  <dcterms:modified xsi:type="dcterms:W3CDTF">2019-04-19T16:00:00Z</dcterms:modified>
</cp:coreProperties>
</file>