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699" w:rsidRPr="00C44334" w:rsidRDefault="00DA0699" w:rsidP="00CE4A05">
      <w:pPr>
        <w:spacing w:line="360" w:lineRule="auto"/>
        <w:rPr>
          <w:rFonts w:cstheme="minorHAnsi"/>
          <w:b/>
          <w:bCs/>
          <w:sz w:val="22"/>
          <w:szCs w:val="22"/>
          <w:lang w:val="en-GB"/>
        </w:rPr>
      </w:pPr>
      <w:r w:rsidRPr="00C44334">
        <w:rPr>
          <w:rFonts w:cstheme="minorHAnsi"/>
          <w:b/>
          <w:bCs/>
          <w:sz w:val="22"/>
          <w:szCs w:val="22"/>
          <w:lang w:val="en-GB"/>
        </w:rPr>
        <w:t>Gabriela Castellanos-Morales, Karen Y. Ruiz-Mondragón, Helena S. Hernández-Rosales, Guillermo Sánchez-de la Vega, Niza Gámez, Erika Aguirre-Planter, Salvador Montes-Hernández, Rafael Lira-Saade, Luis E. Eguiarte. Tracing back the origin of pumpkins (</w:t>
      </w:r>
      <w:r w:rsidRPr="00C44334">
        <w:rPr>
          <w:rFonts w:cstheme="minorHAnsi"/>
          <w:b/>
          <w:bCs/>
          <w:i/>
          <w:sz w:val="22"/>
          <w:szCs w:val="22"/>
          <w:lang w:val="en-GB"/>
        </w:rPr>
        <w:t>Cucurbita pepo</w:t>
      </w:r>
      <w:r w:rsidRPr="00C44334">
        <w:rPr>
          <w:rFonts w:cstheme="minorHAnsi"/>
          <w:b/>
          <w:bCs/>
          <w:sz w:val="22"/>
          <w:szCs w:val="22"/>
          <w:lang w:val="en-GB"/>
        </w:rPr>
        <w:t xml:space="preserve"> ssp. </w:t>
      </w:r>
      <w:r w:rsidRPr="00C44334">
        <w:rPr>
          <w:rFonts w:cstheme="minorHAnsi"/>
          <w:b/>
          <w:bCs/>
          <w:i/>
          <w:sz w:val="22"/>
          <w:szCs w:val="22"/>
          <w:lang w:val="en-GB"/>
        </w:rPr>
        <w:t xml:space="preserve">pepo </w:t>
      </w:r>
      <w:r w:rsidRPr="00C44334">
        <w:rPr>
          <w:rFonts w:cstheme="minorHAnsi"/>
          <w:b/>
          <w:bCs/>
          <w:sz w:val="22"/>
          <w:szCs w:val="22"/>
          <w:lang w:val="en-GB"/>
        </w:rPr>
        <w:t>L.) in Mexico. Proceedings of the Royal Society B. doi: 10.1098/rspb.2019.1440.</w:t>
      </w:r>
    </w:p>
    <w:p w:rsidR="00437F94" w:rsidRPr="00DA0699" w:rsidRDefault="00437F94" w:rsidP="00CE4A05">
      <w:pPr>
        <w:spacing w:line="360" w:lineRule="auto"/>
        <w:rPr>
          <w:rFonts w:cstheme="minorHAnsi"/>
          <w:sz w:val="22"/>
          <w:szCs w:val="22"/>
        </w:rPr>
      </w:pPr>
      <w:bookmarkStart w:id="0" w:name="_GoBack"/>
      <w:bookmarkEnd w:id="0"/>
    </w:p>
    <w:p w:rsidR="00437F94" w:rsidRPr="00D224C2" w:rsidRDefault="003005A0" w:rsidP="00CE4A05">
      <w:pPr>
        <w:spacing w:line="360" w:lineRule="auto"/>
        <w:jc w:val="center"/>
        <w:rPr>
          <w:rFonts w:cstheme="minorHAnsi"/>
          <w:b/>
          <w:sz w:val="22"/>
          <w:szCs w:val="22"/>
          <w:lang w:val="en-US"/>
        </w:rPr>
      </w:pPr>
      <w:r w:rsidRPr="00D224C2">
        <w:rPr>
          <w:rFonts w:cstheme="minorHAnsi"/>
          <w:b/>
          <w:sz w:val="22"/>
          <w:szCs w:val="22"/>
          <w:lang w:val="en-US"/>
        </w:rPr>
        <w:t>Appendix S1. Methods</w:t>
      </w:r>
    </w:p>
    <w:p w:rsidR="00437F94" w:rsidRPr="00D224C2" w:rsidRDefault="00437F94" w:rsidP="00263B7C">
      <w:pPr>
        <w:spacing w:line="360" w:lineRule="auto"/>
        <w:rPr>
          <w:rFonts w:cstheme="minorHAnsi"/>
          <w:b/>
          <w:sz w:val="22"/>
          <w:szCs w:val="22"/>
          <w:lang w:val="en-US"/>
        </w:rPr>
      </w:pPr>
    </w:p>
    <w:p w:rsidR="003005A0" w:rsidRPr="00D224C2" w:rsidRDefault="003005A0" w:rsidP="00263B7C">
      <w:pPr>
        <w:spacing w:line="360" w:lineRule="auto"/>
        <w:rPr>
          <w:rFonts w:cstheme="minorHAnsi"/>
          <w:i/>
          <w:sz w:val="22"/>
          <w:szCs w:val="22"/>
          <w:lang w:val="en-GB"/>
        </w:rPr>
      </w:pPr>
      <w:r w:rsidRPr="00D224C2">
        <w:rPr>
          <w:rFonts w:cstheme="minorHAnsi"/>
          <w:i/>
          <w:sz w:val="22"/>
          <w:szCs w:val="22"/>
          <w:lang w:val="en-GB"/>
        </w:rPr>
        <w:t>Chloroplast sequences</w:t>
      </w:r>
    </w:p>
    <w:p w:rsidR="003005A0" w:rsidRPr="00D224C2" w:rsidRDefault="003005A0" w:rsidP="00263B7C">
      <w:pPr>
        <w:spacing w:line="360" w:lineRule="auto"/>
        <w:rPr>
          <w:rFonts w:cstheme="minorHAnsi"/>
          <w:sz w:val="22"/>
          <w:szCs w:val="22"/>
          <w:lang w:val="en-GB"/>
        </w:rPr>
      </w:pPr>
      <w:r w:rsidRPr="00D224C2">
        <w:rPr>
          <w:rFonts w:cstheme="minorHAnsi"/>
          <w:sz w:val="22"/>
          <w:szCs w:val="22"/>
          <w:lang w:val="en-GB"/>
        </w:rPr>
        <w:t>Polymerase chain reaction (PCR) amplifications for chloroplast regions were performed in a 25 μL final reaction volume following conditions reported in [</w:t>
      </w:r>
      <w:r w:rsidR="00846A26" w:rsidRPr="00D224C2">
        <w:rPr>
          <w:rFonts w:cstheme="minorHAnsi"/>
          <w:sz w:val="22"/>
          <w:szCs w:val="22"/>
          <w:lang w:val="en-GB"/>
        </w:rPr>
        <w:t>1</w:t>
      </w:r>
      <w:r w:rsidRPr="00D224C2">
        <w:rPr>
          <w:rFonts w:cstheme="minorHAnsi"/>
          <w:sz w:val="22"/>
          <w:szCs w:val="22"/>
          <w:lang w:val="en-GB"/>
        </w:rPr>
        <w:t>]. The presence, size and quality of PCR products were confirmed by 1% agarose gel electrophoresis, dyed with EpiQuick DNA Stain (ET EpiGentek Group Inc.) and visualized with UV light. PCR products were sequenced at Macrogen (Macrogen USA) using forward and reverse primers. Sequences were checked for quality and assembled with CONSED 6.0 [</w:t>
      </w:r>
      <w:r w:rsidR="00846A26" w:rsidRPr="00D224C2">
        <w:rPr>
          <w:rFonts w:cstheme="minorHAnsi"/>
          <w:sz w:val="22"/>
          <w:szCs w:val="22"/>
          <w:lang w:val="en-GB"/>
        </w:rPr>
        <w:t>2</w:t>
      </w:r>
      <w:r w:rsidRPr="00D224C2">
        <w:rPr>
          <w:rFonts w:cstheme="minorHAnsi"/>
          <w:sz w:val="22"/>
          <w:szCs w:val="22"/>
          <w:lang w:val="en-GB"/>
        </w:rPr>
        <w:t>], taking each chloroplast region separately. We used BLAST (http://blast.ncbi.nlm.nih.gov/Blast.cgi) to corroborate sequences and all amplified regions</w:t>
      </w:r>
      <w:r w:rsidRPr="00D224C2">
        <w:rPr>
          <w:rFonts w:cstheme="minorHAnsi"/>
          <w:i/>
          <w:sz w:val="22"/>
          <w:szCs w:val="22"/>
          <w:lang w:val="en-GB"/>
        </w:rPr>
        <w:t xml:space="preserve"> </w:t>
      </w:r>
      <w:r w:rsidRPr="00D224C2">
        <w:rPr>
          <w:rFonts w:cstheme="minorHAnsi"/>
          <w:sz w:val="22"/>
          <w:szCs w:val="22"/>
          <w:lang w:val="en-GB"/>
        </w:rPr>
        <w:t xml:space="preserve">showed 99% identity score to its own region in </w:t>
      </w:r>
      <w:r w:rsidRPr="00D224C2">
        <w:rPr>
          <w:rFonts w:cstheme="minorHAnsi"/>
          <w:i/>
          <w:sz w:val="22"/>
          <w:szCs w:val="22"/>
          <w:lang w:val="en-GB"/>
        </w:rPr>
        <w:t>C. pepo</w:t>
      </w:r>
      <w:r w:rsidRPr="00D224C2">
        <w:rPr>
          <w:rFonts w:cstheme="minorHAnsi"/>
          <w:sz w:val="22"/>
          <w:szCs w:val="22"/>
          <w:lang w:val="en-GB"/>
        </w:rPr>
        <w:t>’s chloroplast complete genome (accession NC_038229).</w:t>
      </w:r>
    </w:p>
    <w:p w:rsidR="00846A26" w:rsidRPr="006F7DE4" w:rsidRDefault="00846A26" w:rsidP="006F7DE4">
      <w:pPr>
        <w:spacing w:line="360" w:lineRule="auto"/>
        <w:ind w:firstLine="708"/>
        <w:rPr>
          <w:rFonts w:cstheme="minorHAnsi"/>
          <w:sz w:val="22"/>
          <w:szCs w:val="22"/>
          <w:lang w:val="en-GB"/>
        </w:rPr>
      </w:pPr>
      <w:r w:rsidRPr="006F7DE4">
        <w:rPr>
          <w:rFonts w:cstheme="minorHAnsi"/>
          <w:sz w:val="22"/>
          <w:szCs w:val="22"/>
          <w:lang w:val="en-GB"/>
        </w:rPr>
        <w:t xml:space="preserve">We downloaded the chloroplast genomes obtained by [3] from archaeological remains and modern samples (see Supplementary Table S1). Sequences for the </w:t>
      </w:r>
      <w:r w:rsidRPr="006F7DE4">
        <w:rPr>
          <w:rFonts w:cstheme="minorHAnsi"/>
          <w:i/>
          <w:sz w:val="22"/>
          <w:szCs w:val="22"/>
          <w:lang w:val="en-GB"/>
        </w:rPr>
        <w:t>psbJ-petA</w:t>
      </w:r>
      <w:r w:rsidRPr="006F7DE4">
        <w:rPr>
          <w:rFonts w:cstheme="minorHAnsi"/>
          <w:sz w:val="22"/>
          <w:szCs w:val="22"/>
          <w:lang w:val="en-GB"/>
        </w:rPr>
        <w:t xml:space="preserve"> and </w:t>
      </w:r>
      <w:r w:rsidRPr="006F7DE4">
        <w:rPr>
          <w:rFonts w:cstheme="minorHAnsi"/>
          <w:i/>
          <w:sz w:val="22"/>
          <w:szCs w:val="22"/>
          <w:lang w:val="en-GB"/>
        </w:rPr>
        <w:t>psbD-trnT</w:t>
      </w:r>
      <w:r w:rsidRPr="006F7DE4">
        <w:rPr>
          <w:rFonts w:cstheme="minorHAnsi"/>
          <w:sz w:val="22"/>
          <w:szCs w:val="22"/>
          <w:lang w:val="en-GB"/>
        </w:rPr>
        <w:t xml:space="preserve"> intergenic regions were extracted from these genomes. We used makeblastdb from BLAST+ [4] to organize the genomes in a database utilising the sequences from </w:t>
      </w:r>
      <w:r w:rsidRPr="006F7DE4">
        <w:rPr>
          <w:rFonts w:cstheme="minorHAnsi"/>
          <w:i/>
          <w:color w:val="000000" w:themeColor="text1"/>
          <w:sz w:val="22"/>
          <w:szCs w:val="22"/>
          <w:lang w:val="en-GB"/>
        </w:rPr>
        <w:t xml:space="preserve">C. pepo </w:t>
      </w:r>
      <w:r w:rsidRPr="006F7DE4">
        <w:rPr>
          <w:rFonts w:cstheme="minorHAnsi"/>
          <w:color w:val="000000" w:themeColor="text1"/>
          <w:sz w:val="22"/>
          <w:szCs w:val="22"/>
          <w:lang w:val="en-GB"/>
        </w:rPr>
        <w:t xml:space="preserve">ssp. </w:t>
      </w:r>
      <w:r w:rsidRPr="006F7DE4">
        <w:rPr>
          <w:rFonts w:cstheme="minorHAnsi"/>
          <w:i/>
          <w:sz w:val="22"/>
          <w:szCs w:val="22"/>
          <w:lang w:val="en-GB"/>
        </w:rPr>
        <w:t xml:space="preserve">pepo </w:t>
      </w:r>
      <w:r w:rsidRPr="006F7DE4">
        <w:rPr>
          <w:rFonts w:cstheme="minorHAnsi"/>
          <w:sz w:val="22"/>
          <w:szCs w:val="22"/>
          <w:lang w:val="en-GB"/>
        </w:rPr>
        <w:t>as query. We used blastn from BLAST+ to obtain coordinates within each genome (e-value &lt; 1x10</w:t>
      </w:r>
      <w:r w:rsidRPr="006F7DE4">
        <w:rPr>
          <w:rFonts w:cstheme="minorHAnsi"/>
          <w:sz w:val="22"/>
          <w:szCs w:val="22"/>
          <w:vertAlign w:val="superscript"/>
          <w:lang w:val="en-GB"/>
        </w:rPr>
        <w:t>–10</w:t>
      </w:r>
      <w:r w:rsidRPr="006F7DE4">
        <w:rPr>
          <w:rFonts w:cstheme="minorHAnsi"/>
          <w:sz w:val="22"/>
          <w:szCs w:val="22"/>
          <w:lang w:val="en-GB"/>
        </w:rPr>
        <w:t xml:space="preserve"> for the BLAST query), and used extractseq from EMBOSS [5] to get the targeted sequences from each genome.</w:t>
      </w:r>
    </w:p>
    <w:p w:rsidR="00846A26" w:rsidRPr="00D224C2" w:rsidRDefault="00846A26" w:rsidP="006F7DE4">
      <w:pPr>
        <w:spacing w:line="360" w:lineRule="auto"/>
        <w:ind w:firstLine="708"/>
        <w:rPr>
          <w:rFonts w:cstheme="minorHAnsi"/>
          <w:sz w:val="22"/>
          <w:szCs w:val="22"/>
          <w:lang w:val="en-GB"/>
        </w:rPr>
      </w:pPr>
      <w:r w:rsidRPr="006F7DE4">
        <w:rPr>
          <w:rFonts w:cstheme="minorHAnsi"/>
          <w:sz w:val="22"/>
          <w:szCs w:val="22"/>
          <w:lang w:val="en-GB"/>
        </w:rPr>
        <w:t>All sequences were aligned with ClustalW 2.0 [6] and checked manually. Sequence fragments for all regions were concatenated with DnaSP v5.10.1 [7] for a final alignment of 1,724 bp.</w:t>
      </w:r>
    </w:p>
    <w:p w:rsidR="00846A26" w:rsidRPr="00D224C2" w:rsidRDefault="00846A26" w:rsidP="00263B7C">
      <w:pPr>
        <w:spacing w:line="360" w:lineRule="auto"/>
        <w:rPr>
          <w:rFonts w:cstheme="minorHAnsi"/>
          <w:sz w:val="22"/>
          <w:szCs w:val="22"/>
          <w:lang w:val="en-GB"/>
        </w:rPr>
      </w:pPr>
    </w:p>
    <w:p w:rsidR="003005A0" w:rsidRPr="00D224C2" w:rsidRDefault="003005A0" w:rsidP="00263B7C">
      <w:pPr>
        <w:spacing w:line="360" w:lineRule="auto"/>
        <w:ind w:firstLine="708"/>
        <w:rPr>
          <w:rFonts w:cstheme="minorHAnsi"/>
          <w:sz w:val="22"/>
          <w:szCs w:val="22"/>
          <w:lang w:val="en-GB"/>
        </w:rPr>
      </w:pPr>
      <w:r w:rsidRPr="00D224C2">
        <w:rPr>
          <w:rFonts w:cstheme="minorHAnsi"/>
          <w:sz w:val="22"/>
          <w:szCs w:val="22"/>
          <w:lang w:val="en-GB"/>
        </w:rPr>
        <w:t>To perform the assignment test, we first conducted a discriminant analysis for principal components (DAPC) [</w:t>
      </w:r>
      <w:r w:rsidR="00846A26" w:rsidRPr="00D224C2">
        <w:rPr>
          <w:rFonts w:cstheme="minorHAnsi"/>
          <w:sz w:val="22"/>
          <w:szCs w:val="22"/>
          <w:lang w:val="en-GB"/>
        </w:rPr>
        <w:t>8</w:t>
      </w:r>
      <w:r w:rsidRPr="00D224C2">
        <w:rPr>
          <w:rFonts w:cstheme="minorHAnsi"/>
          <w:sz w:val="22"/>
          <w:szCs w:val="22"/>
          <w:lang w:val="en-GB"/>
        </w:rPr>
        <w:t xml:space="preserve">, </w:t>
      </w:r>
      <w:r w:rsidR="00846A26" w:rsidRPr="00D224C2">
        <w:rPr>
          <w:rFonts w:cstheme="minorHAnsi"/>
          <w:sz w:val="22"/>
          <w:szCs w:val="22"/>
          <w:lang w:val="en-GB"/>
        </w:rPr>
        <w:t>9</w:t>
      </w:r>
      <w:r w:rsidRPr="00D224C2">
        <w:rPr>
          <w:rFonts w:cstheme="minorHAnsi"/>
          <w:sz w:val="22"/>
          <w:szCs w:val="22"/>
          <w:lang w:val="en-GB"/>
        </w:rPr>
        <w:t xml:space="preserve">] retaining 100 PC, and then we ran the </w:t>
      </w:r>
      <w:r w:rsidRPr="00D224C2">
        <w:rPr>
          <w:rFonts w:cstheme="minorHAnsi"/>
          <w:i/>
          <w:sz w:val="22"/>
          <w:szCs w:val="22"/>
          <w:lang w:val="en-GB"/>
        </w:rPr>
        <w:t>optimize.a.score</w:t>
      </w:r>
      <w:r w:rsidRPr="00D224C2">
        <w:rPr>
          <w:rFonts w:cstheme="minorHAnsi"/>
          <w:sz w:val="22"/>
          <w:szCs w:val="22"/>
          <w:lang w:val="en-GB"/>
        </w:rPr>
        <w:t xml:space="preserve"> function to determine the best number of PC to explain our data. Accordingly, we retained 9 PCs for the final DAPC analysis, and plotted the group membership probability for each sampled individual.</w:t>
      </w:r>
    </w:p>
    <w:p w:rsidR="003005A0" w:rsidRPr="00D224C2" w:rsidRDefault="00263B7C" w:rsidP="00263B7C">
      <w:pPr>
        <w:spacing w:line="360" w:lineRule="auto"/>
        <w:ind w:firstLine="708"/>
        <w:rPr>
          <w:rFonts w:cstheme="minorHAnsi"/>
          <w:sz w:val="22"/>
          <w:szCs w:val="22"/>
          <w:lang w:val="en-GB"/>
        </w:rPr>
      </w:pPr>
      <w:r w:rsidRPr="00D224C2">
        <w:rPr>
          <w:rFonts w:cstheme="minorHAnsi"/>
          <w:sz w:val="22"/>
          <w:szCs w:val="22"/>
          <w:lang w:val="en-GB"/>
        </w:rPr>
        <w:t>To test for isolation by distance (IBD),</w:t>
      </w:r>
      <w:r w:rsidR="003005A0" w:rsidRPr="00D224C2">
        <w:rPr>
          <w:rFonts w:cstheme="minorHAnsi"/>
          <w:sz w:val="22"/>
          <w:szCs w:val="22"/>
          <w:lang w:val="en-GB"/>
        </w:rPr>
        <w:t xml:space="preserve"> </w:t>
      </w:r>
      <w:r w:rsidRPr="00D224C2">
        <w:rPr>
          <w:rFonts w:cstheme="minorHAnsi"/>
          <w:sz w:val="22"/>
          <w:szCs w:val="22"/>
          <w:lang w:val="en-GB"/>
        </w:rPr>
        <w:t>w</w:t>
      </w:r>
      <w:r w:rsidR="003005A0" w:rsidRPr="00D224C2">
        <w:rPr>
          <w:rFonts w:cstheme="minorHAnsi"/>
          <w:sz w:val="22"/>
          <w:szCs w:val="22"/>
          <w:lang w:val="en-GB"/>
        </w:rPr>
        <w:t xml:space="preserve">e used concatenated sequences to obtain Nei’s pairwise </w:t>
      </w:r>
      <w:r w:rsidR="003005A0" w:rsidRPr="00D224C2">
        <w:rPr>
          <w:rFonts w:cstheme="minorHAnsi"/>
          <w:i/>
          <w:sz w:val="22"/>
          <w:szCs w:val="22"/>
          <w:lang w:val="en-GB"/>
        </w:rPr>
        <w:t>F</w:t>
      </w:r>
      <w:r w:rsidR="003005A0" w:rsidRPr="00D224C2">
        <w:rPr>
          <w:rFonts w:cstheme="minorHAnsi"/>
          <w:i/>
          <w:sz w:val="22"/>
          <w:szCs w:val="22"/>
          <w:vertAlign w:val="subscript"/>
          <w:lang w:val="en-GB"/>
        </w:rPr>
        <w:t>ST</w:t>
      </w:r>
      <w:r w:rsidR="003005A0" w:rsidRPr="00D224C2">
        <w:rPr>
          <w:rFonts w:cstheme="minorHAnsi"/>
          <w:sz w:val="22"/>
          <w:szCs w:val="22"/>
          <w:lang w:val="en-GB"/>
        </w:rPr>
        <w:t xml:space="preserve"> considering the samples from Mexican </w:t>
      </w:r>
      <w:r w:rsidR="003005A0" w:rsidRPr="00D224C2">
        <w:rPr>
          <w:rFonts w:cstheme="minorHAnsi"/>
          <w:i/>
          <w:color w:val="000000" w:themeColor="text1"/>
          <w:sz w:val="22"/>
          <w:szCs w:val="22"/>
          <w:lang w:val="en-GB"/>
        </w:rPr>
        <w:t xml:space="preserve">C. pepo </w:t>
      </w:r>
      <w:r w:rsidR="003005A0" w:rsidRPr="00D224C2">
        <w:rPr>
          <w:rFonts w:cstheme="minorHAnsi"/>
          <w:color w:val="000000" w:themeColor="text1"/>
          <w:sz w:val="22"/>
          <w:szCs w:val="22"/>
          <w:lang w:val="en-GB"/>
        </w:rPr>
        <w:t xml:space="preserve">ssp. </w:t>
      </w:r>
      <w:r w:rsidR="003005A0" w:rsidRPr="00D224C2">
        <w:rPr>
          <w:rFonts w:cstheme="minorHAnsi"/>
          <w:i/>
          <w:sz w:val="22"/>
          <w:szCs w:val="22"/>
          <w:lang w:val="en-GB"/>
        </w:rPr>
        <w:t>pepo</w:t>
      </w:r>
      <w:r w:rsidR="003005A0" w:rsidRPr="00D224C2">
        <w:rPr>
          <w:rFonts w:cstheme="minorHAnsi"/>
          <w:sz w:val="22"/>
          <w:szCs w:val="22"/>
          <w:lang w:val="en-GB"/>
        </w:rPr>
        <w:t xml:space="preserve">, </w:t>
      </w:r>
      <w:r w:rsidR="003005A0" w:rsidRPr="00D224C2">
        <w:rPr>
          <w:rFonts w:cstheme="minorHAnsi"/>
          <w:i/>
          <w:color w:val="000000" w:themeColor="text1"/>
          <w:sz w:val="22"/>
          <w:szCs w:val="22"/>
          <w:lang w:val="en-GB"/>
        </w:rPr>
        <w:t xml:space="preserve">C. pepo </w:t>
      </w:r>
      <w:r w:rsidR="003005A0" w:rsidRPr="00D224C2">
        <w:rPr>
          <w:rFonts w:cstheme="minorHAnsi"/>
          <w:color w:val="000000" w:themeColor="text1"/>
          <w:sz w:val="22"/>
          <w:szCs w:val="22"/>
          <w:lang w:val="en-GB"/>
        </w:rPr>
        <w:t xml:space="preserve">ssp. </w:t>
      </w:r>
      <w:r w:rsidR="003005A0" w:rsidRPr="00D224C2">
        <w:rPr>
          <w:rFonts w:cstheme="minorHAnsi"/>
          <w:i/>
          <w:sz w:val="22"/>
          <w:szCs w:val="22"/>
          <w:lang w:val="en-GB"/>
        </w:rPr>
        <w:t>fraterna</w:t>
      </w:r>
      <w:r w:rsidR="003005A0" w:rsidRPr="00D224C2">
        <w:rPr>
          <w:rFonts w:cstheme="minorHAnsi"/>
          <w:sz w:val="22"/>
          <w:szCs w:val="22"/>
          <w:lang w:val="en-GB"/>
        </w:rPr>
        <w:t xml:space="preserve"> and </w:t>
      </w:r>
      <w:r w:rsidR="003005A0" w:rsidRPr="00D224C2">
        <w:rPr>
          <w:rFonts w:cstheme="minorHAnsi"/>
          <w:i/>
          <w:color w:val="000000" w:themeColor="text1"/>
          <w:sz w:val="22"/>
          <w:szCs w:val="22"/>
          <w:lang w:val="en-GB"/>
        </w:rPr>
        <w:t xml:space="preserve">C. pepo </w:t>
      </w:r>
      <w:r w:rsidR="003005A0" w:rsidRPr="00D224C2">
        <w:rPr>
          <w:rFonts w:cstheme="minorHAnsi"/>
          <w:color w:val="000000" w:themeColor="text1"/>
          <w:sz w:val="22"/>
          <w:szCs w:val="22"/>
          <w:lang w:val="en-GB"/>
        </w:rPr>
        <w:t xml:space="preserve">ssp. </w:t>
      </w:r>
      <w:r w:rsidR="003005A0" w:rsidRPr="00D224C2">
        <w:rPr>
          <w:rFonts w:cstheme="minorHAnsi"/>
          <w:i/>
          <w:sz w:val="22"/>
          <w:szCs w:val="22"/>
          <w:lang w:val="en-GB"/>
        </w:rPr>
        <w:lastRenderedPageBreak/>
        <w:t>ovifera</w:t>
      </w:r>
      <w:r w:rsidR="003005A0" w:rsidRPr="00D224C2">
        <w:rPr>
          <w:rFonts w:cstheme="minorHAnsi"/>
          <w:sz w:val="22"/>
          <w:szCs w:val="22"/>
          <w:lang w:val="en-GB"/>
        </w:rPr>
        <w:t xml:space="preserve"> with hierfstat [</w:t>
      </w:r>
      <w:r w:rsidR="00846A26" w:rsidRPr="00D224C2">
        <w:rPr>
          <w:rFonts w:cstheme="minorHAnsi"/>
          <w:sz w:val="22"/>
          <w:szCs w:val="22"/>
          <w:lang w:val="en-GB"/>
        </w:rPr>
        <w:t>10</w:t>
      </w:r>
      <w:r w:rsidR="003005A0" w:rsidRPr="00D224C2">
        <w:rPr>
          <w:rFonts w:cstheme="minorHAnsi"/>
          <w:sz w:val="22"/>
          <w:szCs w:val="22"/>
          <w:lang w:val="en-GB"/>
        </w:rPr>
        <w:t>]. We performed a Mantel test with 10,000 permutations to assess significance with vegan [</w:t>
      </w:r>
      <w:r w:rsidR="00846A26" w:rsidRPr="00D224C2">
        <w:rPr>
          <w:rFonts w:cstheme="minorHAnsi"/>
          <w:sz w:val="22"/>
          <w:szCs w:val="22"/>
          <w:lang w:val="en-GB"/>
        </w:rPr>
        <w:t>11</w:t>
      </w:r>
      <w:r w:rsidR="003005A0" w:rsidRPr="00D224C2">
        <w:rPr>
          <w:rFonts w:cstheme="minorHAnsi"/>
          <w:sz w:val="22"/>
          <w:szCs w:val="22"/>
          <w:lang w:val="en-GB"/>
        </w:rPr>
        <w:t>].</w:t>
      </w:r>
    </w:p>
    <w:p w:rsidR="003005A0" w:rsidRPr="00D224C2" w:rsidRDefault="003005A0" w:rsidP="00263B7C">
      <w:pPr>
        <w:spacing w:line="360" w:lineRule="auto"/>
        <w:rPr>
          <w:rFonts w:cstheme="minorHAnsi"/>
          <w:sz w:val="22"/>
          <w:szCs w:val="22"/>
        </w:rPr>
      </w:pPr>
    </w:p>
    <w:p w:rsidR="00263B7C" w:rsidRPr="00D224C2" w:rsidRDefault="00263B7C" w:rsidP="00263B7C">
      <w:pPr>
        <w:spacing w:line="360" w:lineRule="auto"/>
        <w:rPr>
          <w:rFonts w:cstheme="minorHAnsi"/>
          <w:i/>
          <w:sz w:val="22"/>
          <w:szCs w:val="22"/>
        </w:rPr>
      </w:pPr>
      <w:r w:rsidRPr="00D224C2">
        <w:rPr>
          <w:rFonts w:cstheme="minorHAnsi"/>
          <w:i/>
          <w:sz w:val="22"/>
          <w:szCs w:val="22"/>
        </w:rPr>
        <w:t>Nuclear m</w:t>
      </w:r>
      <w:r w:rsidR="003005A0" w:rsidRPr="00D224C2">
        <w:rPr>
          <w:rFonts w:cstheme="minorHAnsi"/>
          <w:i/>
          <w:sz w:val="22"/>
          <w:szCs w:val="22"/>
        </w:rPr>
        <w:t>icrosatellite loci</w:t>
      </w:r>
    </w:p>
    <w:p w:rsidR="003005A0" w:rsidRPr="00D224C2" w:rsidRDefault="00263B7C" w:rsidP="00263B7C">
      <w:pPr>
        <w:spacing w:line="360" w:lineRule="auto"/>
        <w:rPr>
          <w:rFonts w:cstheme="minorHAnsi"/>
          <w:i/>
          <w:sz w:val="22"/>
          <w:szCs w:val="22"/>
        </w:rPr>
      </w:pPr>
      <w:r w:rsidRPr="00D224C2">
        <w:rPr>
          <w:rFonts w:cstheme="minorHAnsi"/>
          <w:sz w:val="22"/>
          <w:szCs w:val="22"/>
          <w:lang w:val="en-GB"/>
        </w:rPr>
        <w:t>To amplify 12 nuclear microsatellite loci, w</w:t>
      </w:r>
      <w:r w:rsidR="003005A0" w:rsidRPr="00D224C2">
        <w:rPr>
          <w:rFonts w:cstheme="minorHAnsi"/>
          <w:sz w:val="22"/>
          <w:szCs w:val="22"/>
          <w:lang w:val="en-GB"/>
        </w:rPr>
        <w:t>e used a multiplex approach in a 15 μl final volume following the conditions reported in [</w:t>
      </w:r>
      <w:r w:rsidR="00846A26" w:rsidRPr="00D224C2">
        <w:rPr>
          <w:rFonts w:cstheme="minorHAnsi"/>
          <w:sz w:val="22"/>
          <w:szCs w:val="22"/>
          <w:lang w:val="en-GB"/>
        </w:rPr>
        <w:t>12</w:t>
      </w:r>
      <w:r w:rsidR="003005A0" w:rsidRPr="00D224C2">
        <w:rPr>
          <w:rFonts w:cstheme="minorHAnsi"/>
          <w:sz w:val="22"/>
          <w:szCs w:val="22"/>
          <w:lang w:val="en-GB"/>
        </w:rPr>
        <w:t>], and verified PCR products in 2 % agarose gels. Amplicons were sent to the Roy J. Carver Biotechnology Center at the University of Illinois, USA for genotyping (biotech.illinois.edu). Electropherograms were analysed with PeakScanner (Applied Biosystems).</w:t>
      </w:r>
    </w:p>
    <w:p w:rsidR="003005A0" w:rsidRPr="00D80029" w:rsidRDefault="00201658" w:rsidP="00263B7C">
      <w:pPr>
        <w:pStyle w:val="NormalWeb"/>
        <w:spacing w:before="0" w:beforeAutospacing="0" w:after="0" w:afterAutospacing="0" w:line="360" w:lineRule="auto"/>
        <w:ind w:firstLine="708"/>
        <w:contextualSpacing/>
        <w:rPr>
          <w:rFonts w:asciiTheme="minorHAnsi" w:hAnsiTheme="minorHAnsi" w:cstheme="minorHAnsi"/>
          <w:strike/>
          <w:color w:val="000000" w:themeColor="text1"/>
          <w:sz w:val="22"/>
          <w:szCs w:val="22"/>
          <w:vertAlign w:val="subscript"/>
          <w:lang w:val="en-GB"/>
        </w:rPr>
      </w:pPr>
      <w:r w:rsidRPr="007F0A32">
        <w:rPr>
          <w:rFonts w:asciiTheme="minorHAnsi" w:hAnsiTheme="minorHAnsi" w:cstheme="minorHAnsi"/>
          <w:color w:val="000000" w:themeColor="text1"/>
          <w:sz w:val="22"/>
          <w:szCs w:val="22"/>
          <w:lang w:val="en-GB"/>
        </w:rPr>
        <w:t xml:space="preserve">To determine the best number of K resulting from the </w:t>
      </w:r>
      <w:r w:rsidR="00263B7C" w:rsidRPr="007F0A32">
        <w:rPr>
          <w:rFonts w:asciiTheme="minorHAnsi" w:hAnsiTheme="minorHAnsi" w:cstheme="minorHAnsi"/>
          <w:color w:val="000000" w:themeColor="text1"/>
          <w:sz w:val="22"/>
          <w:szCs w:val="22"/>
          <w:lang w:val="en-GB"/>
        </w:rPr>
        <w:t xml:space="preserve">Structure </w:t>
      </w:r>
      <w:r w:rsidR="00846A26" w:rsidRPr="007F0A32">
        <w:rPr>
          <w:rFonts w:asciiTheme="minorHAnsi" w:hAnsiTheme="minorHAnsi" w:cstheme="minorHAnsi"/>
          <w:color w:val="000000" w:themeColor="text1"/>
          <w:sz w:val="22"/>
          <w:szCs w:val="22"/>
          <w:lang w:val="en-GB"/>
        </w:rPr>
        <w:t xml:space="preserve">[13] </w:t>
      </w:r>
      <w:r w:rsidR="00263B7C" w:rsidRPr="007F0A32">
        <w:rPr>
          <w:rFonts w:asciiTheme="minorHAnsi" w:hAnsiTheme="minorHAnsi" w:cstheme="minorHAnsi"/>
          <w:color w:val="000000" w:themeColor="text1"/>
          <w:sz w:val="22"/>
          <w:szCs w:val="22"/>
          <w:lang w:val="en-GB"/>
        </w:rPr>
        <w:t>analysis,</w:t>
      </w:r>
      <w:r w:rsidR="003005A0" w:rsidRPr="007F0A32">
        <w:rPr>
          <w:rFonts w:asciiTheme="minorHAnsi" w:hAnsiTheme="minorHAnsi" w:cstheme="minorHAnsi"/>
          <w:color w:val="000000" w:themeColor="text1"/>
          <w:sz w:val="22"/>
          <w:szCs w:val="22"/>
          <w:lang w:val="en-GB"/>
        </w:rPr>
        <w:t xml:space="preserve"> </w:t>
      </w:r>
      <w:r w:rsidRPr="007F0A32">
        <w:rPr>
          <w:rFonts w:asciiTheme="minorHAnsi" w:hAnsiTheme="minorHAnsi" w:cstheme="minorHAnsi"/>
          <w:sz w:val="22"/>
          <w:szCs w:val="22"/>
          <w:lang w:val="en-GB"/>
        </w:rPr>
        <w:t xml:space="preserve">we estimated an optimal </w:t>
      </w:r>
      <w:r w:rsidRPr="007F0A32">
        <w:rPr>
          <w:rFonts w:asciiTheme="minorHAnsi" w:hAnsiTheme="minorHAnsi" w:cstheme="minorHAnsi"/>
          <w:i/>
          <w:iCs/>
          <w:sz w:val="22"/>
          <w:szCs w:val="22"/>
          <w:lang w:val="en-GB"/>
        </w:rPr>
        <w:t xml:space="preserve">K </w:t>
      </w:r>
      <w:r w:rsidRPr="007F0A32">
        <w:rPr>
          <w:rFonts w:asciiTheme="minorHAnsi" w:hAnsiTheme="minorHAnsi" w:cstheme="minorHAnsi"/>
          <w:sz w:val="22"/>
          <w:szCs w:val="22"/>
          <w:lang w:val="en-GB"/>
        </w:rPr>
        <w:t xml:space="preserve">according to [14]’s test as implemented in Structure Harvester [15]. This test suggested a value of </w:t>
      </w:r>
      <w:r w:rsidRPr="007F0A32">
        <w:rPr>
          <w:rFonts w:asciiTheme="minorHAnsi" w:hAnsiTheme="minorHAnsi" w:cstheme="minorHAnsi"/>
          <w:i/>
          <w:iCs/>
          <w:sz w:val="22"/>
          <w:szCs w:val="22"/>
          <w:lang w:val="en-GB"/>
        </w:rPr>
        <w:t>K</w:t>
      </w:r>
      <w:r w:rsidRPr="007F0A32">
        <w:rPr>
          <w:rFonts w:asciiTheme="minorHAnsi" w:hAnsiTheme="minorHAnsi" w:cstheme="minorHAnsi"/>
          <w:sz w:val="22"/>
          <w:szCs w:val="22"/>
          <w:lang w:val="en-GB"/>
        </w:rPr>
        <w:t xml:space="preserve"> = 2; but we felt this </w:t>
      </w:r>
      <w:r w:rsidRPr="007F0A32">
        <w:rPr>
          <w:rFonts w:asciiTheme="minorHAnsi" w:hAnsiTheme="minorHAnsi" w:cstheme="minorHAnsi"/>
          <w:i/>
          <w:iCs/>
          <w:sz w:val="22"/>
          <w:szCs w:val="22"/>
          <w:lang w:val="en-GB"/>
        </w:rPr>
        <w:t xml:space="preserve">K </w:t>
      </w:r>
      <w:r w:rsidRPr="007F0A32">
        <w:rPr>
          <w:rFonts w:asciiTheme="minorHAnsi" w:hAnsiTheme="minorHAnsi" w:cstheme="minorHAnsi"/>
          <w:sz w:val="22"/>
          <w:szCs w:val="22"/>
          <w:lang w:val="en-GB"/>
        </w:rPr>
        <w:t xml:space="preserve">value was not biologically informative, and it has been previously stated that [14]’s test has a tendency to estimate an optimal </w:t>
      </w:r>
      <w:r w:rsidRPr="007F0A32">
        <w:rPr>
          <w:rFonts w:asciiTheme="minorHAnsi" w:hAnsiTheme="minorHAnsi" w:cstheme="minorHAnsi"/>
          <w:i/>
          <w:iCs/>
          <w:sz w:val="22"/>
          <w:szCs w:val="22"/>
          <w:lang w:val="en-GB"/>
        </w:rPr>
        <w:t>K</w:t>
      </w:r>
      <w:r w:rsidRPr="007F0A32">
        <w:rPr>
          <w:rFonts w:asciiTheme="minorHAnsi" w:hAnsiTheme="minorHAnsi" w:cstheme="minorHAnsi"/>
          <w:sz w:val="22"/>
          <w:szCs w:val="22"/>
          <w:lang w:val="en-GB"/>
        </w:rPr>
        <w:t xml:space="preserve"> = 2 [16]. Therefore, we decided to follow [13]’s suggestion to define a </w:t>
      </w:r>
      <w:r w:rsidRPr="007F0A32">
        <w:rPr>
          <w:rFonts w:asciiTheme="minorHAnsi" w:hAnsiTheme="minorHAnsi" w:cstheme="minorHAnsi"/>
          <w:i/>
          <w:iCs/>
          <w:sz w:val="22"/>
          <w:szCs w:val="22"/>
          <w:lang w:val="en-GB"/>
        </w:rPr>
        <w:t>K</w:t>
      </w:r>
      <w:r w:rsidRPr="007F0A32">
        <w:rPr>
          <w:rFonts w:asciiTheme="minorHAnsi" w:hAnsiTheme="minorHAnsi" w:cstheme="minorHAnsi"/>
          <w:sz w:val="22"/>
          <w:szCs w:val="22"/>
          <w:lang w:val="en-GB"/>
        </w:rPr>
        <w:t xml:space="preserve"> value of biological meaning, and we also assessed the L(</w:t>
      </w:r>
      <w:r w:rsidRPr="007F0A32">
        <w:rPr>
          <w:rFonts w:asciiTheme="minorHAnsi" w:hAnsiTheme="minorHAnsi" w:cstheme="minorHAnsi"/>
          <w:i/>
          <w:iCs/>
          <w:sz w:val="22"/>
          <w:szCs w:val="22"/>
          <w:lang w:val="en-GB"/>
        </w:rPr>
        <w:t>K</w:t>
      </w:r>
      <w:r w:rsidRPr="007F0A32">
        <w:rPr>
          <w:rFonts w:asciiTheme="minorHAnsi" w:hAnsiTheme="minorHAnsi" w:cstheme="minorHAnsi"/>
          <w:sz w:val="22"/>
          <w:szCs w:val="22"/>
          <w:lang w:val="en-GB"/>
        </w:rPr>
        <w:t>) curve and chose the point where L(</w:t>
      </w:r>
      <w:r w:rsidRPr="007F0A32">
        <w:rPr>
          <w:rFonts w:asciiTheme="minorHAnsi" w:hAnsiTheme="minorHAnsi" w:cstheme="minorHAnsi"/>
          <w:i/>
          <w:iCs/>
          <w:sz w:val="22"/>
          <w:szCs w:val="22"/>
          <w:lang w:val="en-GB"/>
        </w:rPr>
        <w:t>K</w:t>
      </w:r>
      <w:r w:rsidRPr="007F0A32">
        <w:rPr>
          <w:rFonts w:asciiTheme="minorHAnsi" w:hAnsiTheme="minorHAnsi" w:cstheme="minorHAnsi"/>
          <w:sz w:val="22"/>
          <w:szCs w:val="22"/>
          <w:lang w:val="en-GB"/>
        </w:rPr>
        <w:t xml:space="preserve">) has the highest value and the lowest variance, which resulted in </w:t>
      </w:r>
      <w:r w:rsidRPr="007F0A32">
        <w:rPr>
          <w:rFonts w:asciiTheme="minorHAnsi" w:hAnsiTheme="minorHAnsi" w:cstheme="minorHAnsi"/>
          <w:i/>
          <w:iCs/>
          <w:sz w:val="22"/>
          <w:szCs w:val="22"/>
          <w:lang w:val="en-GB"/>
        </w:rPr>
        <w:t>K</w:t>
      </w:r>
      <w:r w:rsidRPr="007F0A32">
        <w:rPr>
          <w:rFonts w:asciiTheme="minorHAnsi" w:hAnsiTheme="minorHAnsi" w:cstheme="minorHAnsi"/>
          <w:sz w:val="22"/>
          <w:szCs w:val="22"/>
          <w:lang w:val="en-GB"/>
        </w:rPr>
        <w:t xml:space="preserve"> = 3.</w:t>
      </w:r>
    </w:p>
    <w:p w:rsidR="003005A0" w:rsidRPr="007F0A32" w:rsidRDefault="003005A0" w:rsidP="00263B7C">
      <w:pPr>
        <w:spacing w:line="360" w:lineRule="auto"/>
        <w:rPr>
          <w:rFonts w:cstheme="minorHAnsi"/>
          <w:sz w:val="22"/>
          <w:szCs w:val="22"/>
        </w:rPr>
      </w:pPr>
    </w:p>
    <w:p w:rsidR="003005A0" w:rsidRPr="00D224C2" w:rsidRDefault="003005A0" w:rsidP="00263B7C">
      <w:pPr>
        <w:spacing w:line="360" w:lineRule="auto"/>
        <w:rPr>
          <w:rFonts w:cstheme="minorHAnsi"/>
          <w:i/>
          <w:sz w:val="22"/>
          <w:szCs w:val="22"/>
        </w:rPr>
      </w:pPr>
      <w:r w:rsidRPr="00D224C2">
        <w:rPr>
          <w:rFonts w:cstheme="minorHAnsi"/>
          <w:i/>
          <w:sz w:val="22"/>
          <w:szCs w:val="22"/>
        </w:rPr>
        <w:t>ABC</w:t>
      </w:r>
      <w:r w:rsidR="00263B7C" w:rsidRPr="00D224C2">
        <w:rPr>
          <w:rFonts w:cstheme="minorHAnsi"/>
          <w:i/>
          <w:sz w:val="22"/>
          <w:szCs w:val="22"/>
        </w:rPr>
        <w:t xml:space="preserve"> analyses</w:t>
      </w:r>
    </w:p>
    <w:p w:rsidR="00437F94" w:rsidRPr="00D224C2" w:rsidRDefault="00263B7C" w:rsidP="00263B7C">
      <w:pPr>
        <w:spacing w:line="360" w:lineRule="auto"/>
        <w:rPr>
          <w:rFonts w:cstheme="minorHAnsi"/>
          <w:sz w:val="22"/>
          <w:szCs w:val="22"/>
          <w:lang w:val="en-US"/>
        </w:rPr>
      </w:pPr>
      <w:r w:rsidRPr="00D224C2">
        <w:rPr>
          <w:rFonts w:cstheme="minorHAnsi"/>
          <w:sz w:val="22"/>
          <w:szCs w:val="22"/>
          <w:lang w:val="en-US"/>
        </w:rPr>
        <w:t xml:space="preserve">We used </w:t>
      </w:r>
      <w:r w:rsidR="00437F94" w:rsidRPr="00D224C2">
        <w:rPr>
          <w:rFonts w:cstheme="minorHAnsi"/>
          <w:sz w:val="22"/>
          <w:szCs w:val="22"/>
          <w:lang w:val="en-US"/>
        </w:rPr>
        <w:t>data for nine nuclear microsatellite loci and two partitioned chloroplast regions (</w:t>
      </w:r>
      <w:r w:rsidR="00437F94" w:rsidRPr="00D224C2">
        <w:rPr>
          <w:rFonts w:cstheme="minorHAnsi"/>
          <w:i/>
          <w:sz w:val="22"/>
          <w:szCs w:val="22"/>
          <w:lang w:val="en-US"/>
        </w:rPr>
        <w:t>petA</w:t>
      </w:r>
      <w:r w:rsidR="00437F94" w:rsidRPr="00D224C2">
        <w:rPr>
          <w:rFonts w:cstheme="minorHAnsi"/>
          <w:sz w:val="22"/>
          <w:szCs w:val="22"/>
          <w:lang w:val="en-US"/>
        </w:rPr>
        <w:t>-</w:t>
      </w:r>
      <w:r w:rsidR="00437F94" w:rsidRPr="00D224C2">
        <w:rPr>
          <w:rFonts w:cstheme="minorHAnsi"/>
          <w:i/>
          <w:sz w:val="22"/>
          <w:szCs w:val="22"/>
          <w:lang w:val="en-US"/>
        </w:rPr>
        <w:t>psb</w:t>
      </w:r>
      <w:r w:rsidR="00437F94" w:rsidRPr="00D224C2">
        <w:rPr>
          <w:rFonts w:cstheme="minorHAnsi"/>
          <w:sz w:val="22"/>
          <w:szCs w:val="22"/>
          <w:lang w:val="en-US"/>
        </w:rPr>
        <w:t xml:space="preserve">J and </w:t>
      </w:r>
      <w:r w:rsidR="00437F94" w:rsidRPr="00D224C2">
        <w:rPr>
          <w:rFonts w:cstheme="minorHAnsi"/>
          <w:i/>
          <w:sz w:val="22"/>
          <w:szCs w:val="22"/>
          <w:lang w:val="en-US"/>
        </w:rPr>
        <w:t>psbD-trnT</w:t>
      </w:r>
      <w:r w:rsidR="00437F94" w:rsidRPr="00D224C2">
        <w:rPr>
          <w:rFonts w:cstheme="minorHAnsi"/>
          <w:sz w:val="22"/>
          <w:szCs w:val="22"/>
          <w:vertAlign w:val="superscript"/>
          <w:lang w:val="en-US"/>
        </w:rPr>
        <w:t>(GGU)</w:t>
      </w:r>
      <w:r w:rsidR="00437F94" w:rsidRPr="00D224C2">
        <w:rPr>
          <w:rFonts w:cstheme="minorHAnsi"/>
          <w:sz w:val="22"/>
          <w:szCs w:val="22"/>
          <w:lang w:val="en-US"/>
        </w:rPr>
        <w:t>) for three samples (</w:t>
      </w:r>
      <w:r w:rsidR="00437F94" w:rsidRPr="00D224C2">
        <w:rPr>
          <w:rFonts w:cstheme="minorHAnsi"/>
          <w:i/>
          <w:sz w:val="22"/>
          <w:szCs w:val="22"/>
          <w:lang w:val="en-US"/>
        </w:rPr>
        <w:t xml:space="preserve">C. pepo </w:t>
      </w:r>
      <w:r w:rsidR="00437F94" w:rsidRPr="00D224C2">
        <w:rPr>
          <w:rFonts w:cstheme="minorHAnsi"/>
          <w:sz w:val="22"/>
          <w:szCs w:val="22"/>
          <w:lang w:val="en-US"/>
        </w:rPr>
        <w:t xml:space="preserve">ssp. </w:t>
      </w:r>
      <w:r w:rsidR="00437F94" w:rsidRPr="00D224C2">
        <w:rPr>
          <w:rFonts w:cstheme="minorHAnsi"/>
          <w:i/>
          <w:sz w:val="22"/>
          <w:szCs w:val="22"/>
          <w:lang w:val="en-US"/>
        </w:rPr>
        <w:t>fraterna</w:t>
      </w:r>
      <w:r w:rsidR="00437F94" w:rsidRPr="00D224C2">
        <w:rPr>
          <w:rFonts w:cstheme="minorHAnsi"/>
          <w:sz w:val="22"/>
          <w:szCs w:val="22"/>
          <w:lang w:val="en-US"/>
        </w:rPr>
        <w:t xml:space="preserve">, </w:t>
      </w:r>
      <w:r w:rsidR="00437F94" w:rsidRPr="00D224C2">
        <w:rPr>
          <w:rFonts w:cstheme="minorHAnsi"/>
          <w:i/>
          <w:sz w:val="22"/>
          <w:szCs w:val="22"/>
          <w:lang w:val="en-US"/>
        </w:rPr>
        <w:t xml:space="preserve">C. pepo </w:t>
      </w:r>
      <w:r w:rsidR="00437F94" w:rsidRPr="00D224C2">
        <w:rPr>
          <w:rFonts w:cstheme="minorHAnsi"/>
          <w:sz w:val="22"/>
          <w:szCs w:val="22"/>
          <w:lang w:val="en-US"/>
        </w:rPr>
        <w:t xml:space="preserve">ssp. </w:t>
      </w:r>
      <w:r w:rsidR="00437F94" w:rsidRPr="00D224C2">
        <w:rPr>
          <w:rFonts w:cstheme="minorHAnsi"/>
          <w:i/>
          <w:sz w:val="22"/>
          <w:szCs w:val="22"/>
          <w:lang w:val="en-US"/>
        </w:rPr>
        <w:t xml:space="preserve">ovifera </w:t>
      </w:r>
      <w:r w:rsidR="00437F94" w:rsidRPr="00D224C2">
        <w:rPr>
          <w:rFonts w:cstheme="minorHAnsi"/>
          <w:sz w:val="22"/>
          <w:szCs w:val="22"/>
          <w:lang w:val="en-US"/>
        </w:rPr>
        <w:t xml:space="preserve">and </w:t>
      </w:r>
      <w:r w:rsidR="00437F94" w:rsidRPr="00D224C2">
        <w:rPr>
          <w:rFonts w:cstheme="minorHAnsi"/>
          <w:i/>
          <w:sz w:val="22"/>
          <w:szCs w:val="22"/>
          <w:lang w:val="en-US"/>
        </w:rPr>
        <w:t xml:space="preserve">C. pepo </w:t>
      </w:r>
      <w:r w:rsidR="00437F94" w:rsidRPr="00D224C2">
        <w:rPr>
          <w:rFonts w:cstheme="minorHAnsi"/>
          <w:sz w:val="22"/>
          <w:szCs w:val="22"/>
          <w:lang w:val="en-US"/>
        </w:rPr>
        <w:t xml:space="preserve">ssp. </w:t>
      </w:r>
      <w:r w:rsidR="00437F94" w:rsidRPr="00D224C2">
        <w:rPr>
          <w:rFonts w:cstheme="minorHAnsi"/>
          <w:i/>
          <w:sz w:val="22"/>
          <w:szCs w:val="22"/>
          <w:lang w:val="en-US"/>
        </w:rPr>
        <w:t>pepo</w:t>
      </w:r>
      <w:r w:rsidR="00437F94" w:rsidRPr="00D224C2">
        <w:rPr>
          <w:rFonts w:cstheme="minorHAnsi"/>
          <w:sz w:val="22"/>
          <w:szCs w:val="22"/>
          <w:lang w:val="en-US"/>
        </w:rPr>
        <w:t>)</w:t>
      </w:r>
      <w:r w:rsidRPr="00D224C2">
        <w:rPr>
          <w:rFonts w:cstheme="minorHAnsi"/>
          <w:sz w:val="22"/>
          <w:szCs w:val="22"/>
          <w:lang w:val="en-US"/>
        </w:rPr>
        <w:t xml:space="preserve"> for hypothesis testing with DIYABC</w:t>
      </w:r>
      <w:r w:rsidR="00C25A47" w:rsidRPr="00D224C2">
        <w:rPr>
          <w:rFonts w:cstheme="minorHAnsi"/>
          <w:sz w:val="22"/>
          <w:szCs w:val="22"/>
          <w:lang w:val="en-US"/>
        </w:rPr>
        <w:t xml:space="preserve"> </w:t>
      </w:r>
      <w:r w:rsidR="00846A26" w:rsidRPr="00D224C2">
        <w:rPr>
          <w:rFonts w:cstheme="minorHAnsi"/>
          <w:sz w:val="22"/>
          <w:szCs w:val="22"/>
          <w:lang w:val="en-US"/>
        </w:rPr>
        <w:t>[1</w:t>
      </w:r>
      <w:r w:rsidR="00F62879">
        <w:rPr>
          <w:rFonts w:cstheme="minorHAnsi"/>
          <w:sz w:val="22"/>
          <w:szCs w:val="22"/>
          <w:lang w:val="en-US"/>
        </w:rPr>
        <w:t>7</w:t>
      </w:r>
      <w:r w:rsidR="00846A26" w:rsidRPr="00D224C2">
        <w:rPr>
          <w:rFonts w:cstheme="minorHAnsi"/>
          <w:sz w:val="22"/>
          <w:szCs w:val="22"/>
          <w:lang w:val="en-US"/>
        </w:rPr>
        <w:t xml:space="preserve">] </w:t>
      </w:r>
      <w:r w:rsidR="00C25A47" w:rsidRPr="00D224C2">
        <w:rPr>
          <w:rFonts w:cstheme="minorHAnsi"/>
          <w:sz w:val="22"/>
          <w:szCs w:val="22"/>
          <w:lang w:val="en-GB"/>
        </w:rPr>
        <w:t>(Supplementary Figure S1)</w:t>
      </w:r>
      <w:r w:rsidRPr="00D224C2">
        <w:rPr>
          <w:rFonts w:cstheme="minorHAnsi"/>
          <w:sz w:val="22"/>
          <w:szCs w:val="22"/>
          <w:lang w:val="en-US"/>
        </w:rPr>
        <w:t>.</w:t>
      </w:r>
    </w:p>
    <w:p w:rsidR="00437F94" w:rsidRPr="00D224C2" w:rsidRDefault="00263B7C" w:rsidP="00263B7C">
      <w:pPr>
        <w:spacing w:line="360" w:lineRule="auto"/>
        <w:ind w:firstLine="708"/>
        <w:rPr>
          <w:rFonts w:cstheme="minorHAnsi"/>
          <w:sz w:val="22"/>
          <w:szCs w:val="22"/>
          <w:lang w:val="en-GB"/>
        </w:rPr>
      </w:pPr>
      <w:r w:rsidRPr="00D224C2">
        <w:rPr>
          <w:rFonts w:cstheme="minorHAnsi"/>
          <w:sz w:val="22"/>
          <w:szCs w:val="22"/>
          <w:lang w:val="en-US"/>
        </w:rPr>
        <w:t>We first</w:t>
      </w:r>
      <w:r w:rsidRPr="00D224C2">
        <w:rPr>
          <w:rFonts w:cstheme="minorHAnsi"/>
          <w:sz w:val="22"/>
          <w:szCs w:val="22"/>
          <w:lang w:val="en-GB"/>
        </w:rPr>
        <w:t xml:space="preserve"> ensured that parameters yielded datasets similar to the empirical dataset by conducting initial simulations to refine the values for each prior and to select the summary statistics that were more informative for each molecular marker [</w:t>
      </w:r>
      <w:r w:rsidR="00846A26" w:rsidRPr="00D224C2">
        <w:rPr>
          <w:rFonts w:cstheme="minorHAnsi"/>
          <w:sz w:val="22"/>
          <w:szCs w:val="22"/>
          <w:lang w:val="en-GB"/>
        </w:rPr>
        <w:t>1</w:t>
      </w:r>
      <w:r w:rsidR="00F62879">
        <w:rPr>
          <w:rFonts w:cstheme="minorHAnsi"/>
          <w:sz w:val="22"/>
          <w:szCs w:val="22"/>
          <w:lang w:val="en-GB"/>
        </w:rPr>
        <w:t>8</w:t>
      </w:r>
      <w:r w:rsidR="00846A26" w:rsidRPr="00D224C2">
        <w:rPr>
          <w:rFonts w:cstheme="minorHAnsi"/>
          <w:sz w:val="22"/>
          <w:szCs w:val="22"/>
          <w:lang w:val="en-GB"/>
        </w:rPr>
        <w:t xml:space="preserve"> –</w:t>
      </w:r>
      <w:r w:rsidRPr="00D224C2">
        <w:rPr>
          <w:rFonts w:cstheme="minorHAnsi"/>
          <w:sz w:val="22"/>
          <w:szCs w:val="22"/>
          <w:lang w:val="en-GB"/>
        </w:rPr>
        <w:t xml:space="preserve"> </w:t>
      </w:r>
      <w:r w:rsidR="00AE2446">
        <w:rPr>
          <w:rFonts w:cstheme="minorHAnsi"/>
          <w:sz w:val="22"/>
          <w:szCs w:val="22"/>
          <w:lang w:val="en-GB"/>
        </w:rPr>
        <w:t>20</w:t>
      </w:r>
      <w:r w:rsidRPr="00D224C2">
        <w:rPr>
          <w:rFonts w:cstheme="minorHAnsi"/>
          <w:sz w:val="22"/>
          <w:szCs w:val="22"/>
          <w:lang w:val="en-GB"/>
        </w:rPr>
        <w:t>].</w:t>
      </w:r>
      <w:r w:rsidR="00C25A47" w:rsidRPr="00D224C2">
        <w:rPr>
          <w:rFonts w:cstheme="minorHAnsi"/>
          <w:sz w:val="22"/>
          <w:szCs w:val="22"/>
          <w:lang w:val="en-GB"/>
        </w:rPr>
        <w:t xml:space="preserve"> </w:t>
      </w:r>
      <w:r w:rsidR="00437F94" w:rsidRPr="00D224C2">
        <w:rPr>
          <w:rFonts w:cstheme="minorHAnsi"/>
          <w:sz w:val="22"/>
          <w:szCs w:val="22"/>
          <w:lang w:val="en-GB"/>
        </w:rPr>
        <w:t>Initial priors were based on previously reported data, and broad priors were chosen to account for the absence of information to constrain priors for model parameters [</w:t>
      </w:r>
      <w:r w:rsidR="00AE2446">
        <w:rPr>
          <w:rFonts w:cstheme="minorHAnsi"/>
          <w:sz w:val="22"/>
          <w:szCs w:val="22"/>
          <w:lang w:val="en-GB"/>
        </w:rPr>
        <w:t>21</w:t>
      </w:r>
      <w:r w:rsidR="00437F94" w:rsidRPr="00D224C2">
        <w:rPr>
          <w:rFonts w:cstheme="minorHAnsi"/>
          <w:sz w:val="22"/>
          <w:szCs w:val="22"/>
          <w:lang w:val="en-GB"/>
        </w:rPr>
        <w:t xml:space="preserve">]. </w:t>
      </w:r>
      <w:r w:rsidR="00437F94" w:rsidRPr="00D224C2">
        <w:rPr>
          <w:rFonts w:cstheme="minorHAnsi"/>
          <w:sz w:val="22"/>
          <w:szCs w:val="22"/>
          <w:lang w:val="en-US"/>
        </w:rPr>
        <w:t xml:space="preserve">Estimated date of divergence between </w:t>
      </w:r>
      <w:r w:rsidR="00437F94" w:rsidRPr="00D224C2">
        <w:rPr>
          <w:rFonts w:cstheme="minorHAnsi"/>
          <w:i/>
          <w:sz w:val="22"/>
          <w:szCs w:val="22"/>
          <w:lang w:val="en-US"/>
        </w:rPr>
        <w:t xml:space="preserve">C. pepo </w:t>
      </w:r>
      <w:r w:rsidR="00437F94" w:rsidRPr="00D224C2">
        <w:rPr>
          <w:rFonts w:cstheme="minorHAnsi"/>
          <w:sz w:val="22"/>
          <w:szCs w:val="22"/>
          <w:lang w:val="en-US"/>
        </w:rPr>
        <w:t xml:space="preserve">ssp. </w:t>
      </w:r>
      <w:r w:rsidR="00437F94" w:rsidRPr="00D224C2">
        <w:rPr>
          <w:rFonts w:cstheme="minorHAnsi"/>
          <w:i/>
          <w:sz w:val="22"/>
          <w:szCs w:val="22"/>
          <w:lang w:val="en-US"/>
        </w:rPr>
        <w:t>fraterna</w:t>
      </w:r>
      <w:r w:rsidR="00437F94" w:rsidRPr="00D224C2">
        <w:rPr>
          <w:rFonts w:cstheme="minorHAnsi"/>
          <w:sz w:val="22"/>
          <w:szCs w:val="22"/>
          <w:lang w:val="en-US"/>
        </w:rPr>
        <w:t xml:space="preserve"> and </w:t>
      </w:r>
      <w:r w:rsidR="00437F94" w:rsidRPr="00D224C2">
        <w:rPr>
          <w:rFonts w:cstheme="minorHAnsi"/>
          <w:i/>
          <w:sz w:val="22"/>
          <w:szCs w:val="22"/>
          <w:lang w:val="en-US"/>
        </w:rPr>
        <w:t xml:space="preserve">C. pepo </w:t>
      </w:r>
      <w:r w:rsidR="00437F94" w:rsidRPr="00D224C2">
        <w:rPr>
          <w:rFonts w:cstheme="minorHAnsi"/>
          <w:sz w:val="22"/>
          <w:szCs w:val="22"/>
          <w:lang w:val="en-US"/>
        </w:rPr>
        <w:t xml:space="preserve">ssp. </w:t>
      </w:r>
      <w:r w:rsidR="00437F94" w:rsidRPr="00D224C2">
        <w:rPr>
          <w:rFonts w:cstheme="minorHAnsi"/>
          <w:i/>
          <w:sz w:val="22"/>
          <w:szCs w:val="22"/>
          <w:lang w:val="en-US"/>
        </w:rPr>
        <w:t>ovifera</w:t>
      </w:r>
      <w:r w:rsidR="00437F94" w:rsidRPr="00D224C2">
        <w:rPr>
          <w:rFonts w:cstheme="minorHAnsi"/>
          <w:sz w:val="22"/>
          <w:szCs w:val="22"/>
          <w:lang w:val="en-US"/>
        </w:rPr>
        <w:t xml:space="preserve"> was 1.33 Ma (0.47 – 2.4 HDP 95; [</w:t>
      </w:r>
      <w:r w:rsidR="00846A26" w:rsidRPr="00D224C2">
        <w:rPr>
          <w:rFonts w:cstheme="minorHAnsi"/>
          <w:sz w:val="22"/>
          <w:szCs w:val="22"/>
          <w:lang w:val="en-US"/>
        </w:rPr>
        <w:t>1</w:t>
      </w:r>
      <w:r w:rsidR="00437F94" w:rsidRPr="00D224C2">
        <w:rPr>
          <w:rFonts w:cstheme="minorHAnsi"/>
          <w:sz w:val="22"/>
          <w:szCs w:val="22"/>
          <w:lang w:val="en-US"/>
        </w:rPr>
        <w:t xml:space="preserve">]). Moreover, the reported dates for the oldest archaeological remains from </w:t>
      </w:r>
      <w:r w:rsidR="00437F94" w:rsidRPr="00D224C2">
        <w:rPr>
          <w:rFonts w:cstheme="minorHAnsi"/>
          <w:i/>
          <w:sz w:val="22"/>
          <w:szCs w:val="22"/>
          <w:lang w:val="en-US"/>
        </w:rPr>
        <w:t xml:space="preserve">C. pepo </w:t>
      </w:r>
      <w:r w:rsidR="00437F94" w:rsidRPr="00D224C2">
        <w:rPr>
          <w:rFonts w:cstheme="minorHAnsi"/>
          <w:sz w:val="22"/>
          <w:szCs w:val="22"/>
          <w:lang w:val="en-US"/>
        </w:rPr>
        <w:t xml:space="preserve">ssp. </w:t>
      </w:r>
      <w:r w:rsidR="00437F94" w:rsidRPr="00D224C2">
        <w:rPr>
          <w:rFonts w:cstheme="minorHAnsi"/>
          <w:i/>
          <w:sz w:val="22"/>
          <w:szCs w:val="22"/>
          <w:lang w:val="en-US"/>
        </w:rPr>
        <w:t>pepo</w:t>
      </w:r>
      <w:r w:rsidR="00437F94" w:rsidRPr="00D224C2">
        <w:rPr>
          <w:rFonts w:cstheme="minorHAnsi"/>
          <w:sz w:val="22"/>
          <w:szCs w:val="22"/>
          <w:lang w:val="en-US"/>
        </w:rPr>
        <w:t xml:space="preserve"> from Mexico are 9,000 years before present in Guilá Naquitz [</w:t>
      </w:r>
      <w:r w:rsidR="00AE2446">
        <w:rPr>
          <w:rFonts w:cstheme="minorHAnsi"/>
          <w:sz w:val="22"/>
          <w:szCs w:val="22"/>
          <w:lang w:val="en-US"/>
        </w:rPr>
        <w:t>22</w:t>
      </w:r>
      <w:r w:rsidR="00437F94" w:rsidRPr="00D224C2">
        <w:rPr>
          <w:rFonts w:cstheme="minorHAnsi"/>
          <w:sz w:val="22"/>
          <w:szCs w:val="22"/>
          <w:lang w:val="en-US"/>
        </w:rPr>
        <w:t xml:space="preserve">, </w:t>
      </w:r>
      <w:r w:rsidR="00AE2446">
        <w:rPr>
          <w:rFonts w:cstheme="minorHAnsi"/>
          <w:sz w:val="22"/>
          <w:szCs w:val="22"/>
          <w:lang w:val="en-US"/>
        </w:rPr>
        <w:t>23</w:t>
      </w:r>
      <w:r w:rsidR="00437F94" w:rsidRPr="00D224C2">
        <w:rPr>
          <w:rFonts w:cstheme="minorHAnsi"/>
          <w:sz w:val="22"/>
          <w:szCs w:val="22"/>
          <w:lang w:val="en-US"/>
        </w:rPr>
        <w:t>] and 7,600-9,000 years before present from Infiernillo cave in Ocampo, Tamaulipas, as well 5,200-6,000 years before present in Ocampo’s cave in the same area [</w:t>
      </w:r>
      <w:r w:rsidR="00AE2446">
        <w:rPr>
          <w:rFonts w:cstheme="minorHAnsi"/>
          <w:sz w:val="22"/>
          <w:szCs w:val="22"/>
          <w:lang w:val="en-US"/>
        </w:rPr>
        <w:t>24</w:t>
      </w:r>
      <w:r w:rsidR="00437F94" w:rsidRPr="00D224C2">
        <w:rPr>
          <w:rFonts w:cstheme="minorHAnsi"/>
          <w:sz w:val="22"/>
          <w:szCs w:val="22"/>
          <w:lang w:val="en-US"/>
        </w:rPr>
        <w:t xml:space="preserve">]. As pumpkins are annual plants, we considered generation time to correspond to one year. Accordingly, we set time of coalescence priors as t0 = current time; t1 = domestication period (normal prior from 5,000 to 100,000 years ago with a mean of 52,500 ± 47,500 s.d. by considering that lineage divergence may predate domestication) and t2 = lineage </w:t>
      </w:r>
      <w:r w:rsidR="00437F94" w:rsidRPr="00D224C2">
        <w:rPr>
          <w:rFonts w:cstheme="minorHAnsi"/>
          <w:sz w:val="22"/>
          <w:szCs w:val="22"/>
          <w:lang w:val="en-US"/>
        </w:rPr>
        <w:lastRenderedPageBreak/>
        <w:t>divergence period (normal prior from 100,000 to 2,500,000 years ago with a mean of 1,300,000 ± 1,200,000 s.d.) and restrained the analysis so that t2 &gt; t1.</w:t>
      </w:r>
    </w:p>
    <w:p w:rsidR="00437F94" w:rsidRPr="00D224C2" w:rsidRDefault="00437F94" w:rsidP="00263B7C">
      <w:pPr>
        <w:spacing w:line="360" w:lineRule="auto"/>
        <w:ind w:firstLine="708"/>
        <w:rPr>
          <w:rFonts w:cstheme="minorHAnsi"/>
          <w:sz w:val="22"/>
          <w:szCs w:val="22"/>
          <w:lang w:val="en-US"/>
        </w:rPr>
      </w:pPr>
      <w:r w:rsidRPr="00D224C2">
        <w:rPr>
          <w:rFonts w:cstheme="minorHAnsi"/>
          <w:sz w:val="22"/>
          <w:szCs w:val="22"/>
          <w:lang w:val="en-US"/>
        </w:rPr>
        <w:t xml:space="preserve">We also considered that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 xml:space="preserve">pepo </w:t>
      </w:r>
      <w:r w:rsidRPr="00D224C2">
        <w:rPr>
          <w:rFonts w:cstheme="minorHAnsi"/>
          <w:sz w:val="22"/>
          <w:szCs w:val="22"/>
          <w:lang w:val="en-US"/>
        </w:rPr>
        <w:t xml:space="preserve">and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ovifera</w:t>
      </w:r>
      <w:r w:rsidRPr="00D224C2">
        <w:rPr>
          <w:rFonts w:cstheme="minorHAnsi"/>
          <w:sz w:val="22"/>
          <w:szCs w:val="22"/>
          <w:lang w:val="en-US"/>
        </w:rPr>
        <w:t xml:space="preserve"> might have undergone changes in their effective population sizes (</w:t>
      </w:r>
      <w:r w:rsidRPr="00D224C2">
        <w:rPr>
          <w:rFonts w:cstheme="minorHAnsi"/>
          <w:i/>
          <w:sz w:val="22"/>
          <w:szCs w:val="22"/>
          <w:lang w:val="en-US"/>
        </w:rPr>
        <w:t>N</w:t>
      </w:r>
      <w:r w:rsidRPr="00D224C2">
        <w:rPr>
          <w:rFonts w:cstheme="minorHAnsi"/>
          <w:i/>
          <w:sz w:val="22"/>
          <w:szCs w:val="22"/>
          <w:vertAlign w:val="subscript"/>
          <w:lang w:val="en-US"/>
        </w:rPr>
        <w:t>e</w:t>
      </w:r>
      <w:r w:rsidRPr="00D224C2">
        <w:rPr>
          <w:rFonts w:cstheme="minorHAnsi"/>
          <w:sz w:val="22"/>
          <w:szCs w:val="22"/>
          <w:lang w:val="en-US"/>
        </w:rPr>
        <w:t xml:space="preserve">) after domestication as is suggested by their levels of genetic variation. Therefore, we included in the four scenarios changes in the effective population sizes for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pepo</w:t>
      </w:r>
      <w:r w:rsidRPr="00D224C2">
        <w:rPr>
          <w:rFonts w:cstheme="minorHAnsi"/>
          <w:sz w:val="22"/>
          <w:szCs w:val="22"/>
          <w:lang w:val="en-US"/>
        </w:rPr>
        <w:t>’s ancestral lineage</w:t>
      </w:r>
      <w:r w:rsidRPr="00D224C2">
        <w:rPr>
          <w:rFonts w:cstheme="minorHAnsi"/>
          <w:i/>
          <w:sz w:val="22"/>
          <w:szCs w:val="22"/>
          <w:lang w:val="en-US"/>
        </w:rPr>
        <w:t xml:space="preserve"> </w:t>
      </w:r>
      <w:r w:rsidRPr="00D224C2">
        <w:rPr>
          <w:rFonts w:cstheme="minorHAnsi"/>
          <w:sz w:val="22"/>
          <w:szCs w:val="22"/>
          <w:lang w:val="en-US"/>
        </w:rPr>
        <w:t>(</w:t>
      </w:r>
      <w:r w:rsidRPr="00D224C2">
        <w:rPr>
          <w:rFonts w:cstheme="minorHAnsi"/>
          <w:i/>
          <w:sz w:val="22"/>
          <w:szCs w:val="22"/>
          <w:lang w:val="en-US"/>
        </w:rPr>
        <w:t>N</w:t>
      </w:r>
      <w:r w:rsidRPr="00D224C2">
        <w:rPr>
          <w:rFonts w:cstheme="minorHAnsi"/>
          <w:i/>
          <w:sz w:val="22"/>
          <w:szCs w:val="22"/>
          <w:vertAlign w:val="subscript"/>
          <w:lang w:val="en-US"/>
        </w:rPr>
        <w:t>e</w:t>
      </w:r>
      <w:r w:rsidRPr="00D224C2">
        <w:rPr>
          <w:rFonts w:cstheme="minorHAnsi"/>
          <w:i/>
          <w:sz w:val="22"/>
          <w:szCs w:val="22"/>
          <w:lang w:val="en-US"/>
        </w:rPr>
        <w:t>aP</w:t>
      </w:r>
      <w:r w:rsidRPr="00D224C2">
        <w:rPr>
          <w:rFonts w:cstheme="minorHAnsi"/>
          <w:sz w:val="22"/>
          <w:szCs w:val="22"/>
          <w:lang w:val="en-US"/>
        </w:rPr>
        <w:t xml:space="preserve">) in t1 and for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 xml:space="preserve">ovifera </w:t>
      </w:r>
      <w:r w:rsidRPr="00D224C2">
        <w:rPr>
          <w:rFonts w:cstheme="minorHAnsi"/>
          <w:sz w:val="22"/>
          <w:szCs w:val="22"/>
          <w:lang w:val="en-US"/>
        </w:rPr>
        <w:t>(</w:t>
      </w:r>
      <w:r w:rsidRPr="00D224C2">
        <w:rPr>
          <w:rFonts w:cstheme="minorHAnsi"/>
          <w:i/>
          <w:sz w:val="22"/>
          <w:szCs w:val="22"/>
          <w:lang w:val="en-US"/>
        </w:rPr>
        <w:t>N</w:t>
      </w:r>
      <w:r w:rsidRPr="00D224C2">
        <w:rPr>
          <w:rFonts w:cstheme="minorHAnsi"/>
          <w:i/>
          <w:sz w:val="22"/>
          <w:szCs w:val="22"/>
          <w:vertAlign w:val="subscript"/>
          <w:lang w:val="en-US"/>
        </w:rPr>
        <w:t>e</w:t>
      </w:r>
      <w:r w:rsidRPr="00D224C2">
        <w:rPr>
          <w:rFonts w:cstheme="minorHAnsi"/>
          <w:i/>
          <w:sz w:val="22"/>
          <w:szCs w:val="22"/>
          <w:lang w:val="en-US"/>
        </w:rPr>
        <w:t>aO</w:t>
      </w:r>
      <w:r w:rsidRPr="00D224C2">
        <w:rPr>
          <w:rFonts w:cstheme="minorHAnsi"/>
          <w:sz w:val="22"/>
          <w:szCs w:val="22"/>
          <w:lang w:val="en-US"/>
        </w:rPr>
        <w:t>) in t1-</w:t>
      </w:r>
      <w:r w:rsidRPr="00D224C2">
        <w:rPr>
          <w:rFonts w:cstheme="minorHAnsi"/>
          <w:i/>
          <w:sz w:val="22"/>
          <w:szCs w:val="22"/>
          <w:lang w:val="en-US"/>
        </w:rPr>
        <w:t>a</w:t>
      </w:r>
      <w:r w:rsidRPr="00D224C2">
        <w:rPr>
          <w:rFonts w:cstheme="minorHAnsi"/>
          <w:sz w:val="22"/>
          <w:szCs w:val="22"/>
          <w:lang w:val="en-US"/>
        </w:rPr>
        <w:t xml:space="preserve"> (considering </w:t>
      </w:r>
      <w:r w:rsidRPr="00D224C2">
        <w:rPr>
          <w:rFonts w:cstheme="minorHAnsi"/>
          <w:i/>
          <w:sz w:val="22"/>
          <w:szCs w:val="22"/>
          <w:lang w:val="en-US"/>
        </w:rPr>
        <w:t>a</w:t>
      </w:r>
      <w:r w:rsidRPr="00D224C2">
        <w:rPr>
          <w:rFonts w:cstheme="minorHAnsi"/>
          <w:sz w:val="22"/>
          <w:szCs w:val="22"/>
          <w:lang w:val="en-US"/>
        </w:rPr>
        <w:t xml:space="preserve"> with a normal distribution from 1,000 to 9,000 with a mean of 5,000 ± 4000, because archaeological remains for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 xml:space="preserve">ovifera </w:t>
      </w:r>
      <w:r w:rsidRPr="00D224C2">
        <w:rPr>
          <w:rFonts w:cstheme="minorHAnsi"/>
          <w:sz w:val="22"/>
          <w:szCs w:val="22"/>
          <w:lang w:val="en-US"/>
        </w:rPr>
        <w:t xml:space="preserve">are younger than those for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pepo</w:t>
      </w:r>
      <w:r w:rsidRPr="00D224C2">
        <w:rPr>
          <w:rFonts w:cstheme="minorHAnsi"/>
          <w:sz w:val="22"/>
          <w:szCs w:val="22"/>
          <w:lang w:val="en-US"/>
        </w:rPr>
        <w:t xml:space="preserve">). We set all effective population sizes with a uniform distribution, with past effective population size for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pepo</w:t>
      </w:r>
      <w:r w:rsidRPr="00D224C2">
        <w:rPr>
          <w:rFonts w:cstheme="minorHAnsi"/>
          <w:sz w:val="22"/>
          <w:szCs w:val="22"/>
          <w:lang w:val="en-US"/>
        </w:rPr>
        <w:t>’s ancestral lineage</w:t>
      </w:r>
      <w:r w:rsidRPr="00D224C2">
        <w:rPr>
          <w:rFonts w:cstheme="minorHAnsi"/>
          <w:i/>
          <w:sz w:val="22"/>
          <w:szCs w:val="22"/>
          <w:lang w:val="en-US"/>
        </w:rPr>
        <w:t xml:space="preserve"> </w:t>
      </w:r>
      <w:r w:rsidRPr="00D224C2">
        <w:rPr>
          <w:rFonts w:cstheme="minorHAnsi"/>
          <w:sz w:val="22"/>
          <w:szCs w:val="22"/>
          <w:lang w:val="en-US"/>
        </w:rPr>
        <w:t xml:space="preserve">set as </w:t>
      </w:r>
      <w:r w:rsidRPr="00D224C2">
        <w:rPr>
          <w:rFonts w:cstheme="minorHAnsi"/>
          <w:i/>
          <w:sz w:val="22"/>
          <w:szCs w:val="22"/>
          <w:lang w:val="en-US"/>
        </w:rPr>
        <w:t>N</w:t>
      </w:r>
      <w:r w:rsidRPr="00D224C2">
        <w:rPr>
          <w:rFonts w:cstheme="minorHAnsi"/>
          <w:i/>
          <w:sz w:val="22"/>
          <w:szCs w:val="22"/>
          <w:vertAlign w:val="subscript"/>
          <w:lang w:val="en-US"/>
        </w:rPr>
        <w:t>e</w:t>
      </w:r>
      <w:r w:rsidRPr="00D224C2">
        <w:rPr>
          <w:rFonts w:cstheme="minorHAnsi"/>
          <w:i/>
          <w:sz w:val="22"/>
          <w:szCs w:val="22"/>
          <w:lang w:val="en-US"/>
        </w:rPr>
        <w:t>aP</w:t>
      </w:r>
      <w:r w:rsidRPr="00D224C2">
        <w:rPr>
          <w:rFonts w:cstheme="minorHAnsi"/>
          <w:sz w:val="22"/>
          <w:szCs w:val="22"/>
          <w:lang w:val="en-US"/>
        </w:rPr>
        <w:t xml:space="preserve"> = 1,000 to 80,000 and for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 xml:space="preserve">ovifera </w:t>
      </w:r>
      <w:r w:rsidRPr="00D224C2">
        <w:rPr>
          <w:rFonts w:cstheme="minorHAnsi"/>
          <w:sz w:val="22"/>
          <w:szCs w:val="22"/>
          <w:lang w:val="en-US"/>
        </w:rPr>
        <w:t xml:space="preserve">set as </w:t>
      </w:r>
      <w:r w:rsidRPr="00D224C2">
        <w:rPr>
          <w:rFonts w:cstheme="minorHAnsi"/>
          <w:i/>
          <w:sz w:val="22"/>
          <w:szCs w:val="22"/>
          <w:lang w:val="en-US"/>
        </w:rPr>
        <w:t>N</w:t>
      </w:r>
      <w:r w:rsidRPr="00D224C2">
        <w:rPr>
          <w:rFonts w:cstheme="minorHAnsi"/>
          <w:i/>
          <w:sz w:val="22"/>
          <w:szCs w:val="22"/>
          <w:vertAlign w:val="subscript"/>
          <w:lang w:val="en-US"/>
        </w:rPr>
        <w:t>e</w:t>
      </w:r>
      <w:r w:rsidRPr="00D224C2">
        <w:rPr>
          <w:rFonts w:cstheme="minorHAnsi"/>
          <w:i/>
          <w:sz w:val="22"/>
          <w:szCs w:val="22"/>
          <w:lang w:val="en-US"/>
        </w:rPr>
        <w:t>aO</w:t>
      </w:r>
      <w:r w:rsidRPr="00D224C2">
        <w:rPr>
          <w:rFonts w:cstheme="minorHAnsi"/>
          <w:sz w:val="22"/>
          <w:szCs w:val="22"/>
          <w:lang w:val="en-US"/>
        </w:rPr>
        <w:t xml:space="preserve"> = 100,000 to 1,000,000; and current effective population sizes for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 xml:space="preserve">pepo </w:t>
      </w:r>
      <w:r w:rsidRPr="00D224C2">
        <w:rPr>
          <w:rFonts w:cstheme="minorHAnsi"/>
          <w:sz w:val="22"/>
          <w:szCs w:val="22"/>
          <w:lang w:val="en-US"/>
        </w:rPr>
        <w:t xml:space="preserve">set as </w:t>
      </w:r>
      <w:r w:rsidRPr="00D224C2">
        <w:rPr>
          <w:rFonts w:cstheme="minorHAnsi"/>
          <w:i/>
          <w:sz w:val="22"/>
          <w:szCs w:val="22"/>
          <w:lang w:val="en-US"/>
        </w:rPr>
        <w:t>N</w:t>
      </w:r>
      <w:r w:rsidRPr="00D224C2">
        <w:rPr>
          <w:rFonts w:cstheme="minorHAnsi"/>
          <w:i/>
          <w:sz w:val="22"/>
          <w:szCs w:val="22"/>
          <w:vertAlign w:val="subscript"/>
          <w:lang w:val="en-US"/>
        </w:rPr>
        <w:t>e</w:t>
      </w:r>
      <w:r w:rsidRPr="00D224C2">
        <w:rPr>
          <w:rFonts w:cstheme="minorHAnsi"/>
          <w:i/>
          <w:sz w:val="22"/>
          <w:szCs w:val="22"/>
          <w:lang w:val="en-US"/>
        </w:rPr>
        <w:t>pe</w:t>
      </w:r>
      <w:r w:rsidRPr="00D224C2">
        <w:rPr>
          <w:rFonts w:cstheme="minorHAnsi"/>
          <w:sz w:val="22"/>
          <w:szCs w:val="22"/>
          <w:lang w:val="en-US"/>
        </w:rPr>
        <w:t xml:space="preserve"> = 100 to 200,000, for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 xml:space="preserve">ovifera </w:t>
      </w:r>
      <w:r w:rsidRPr="00D224C2">
        <w:rPr>
          <w:rFonts w:cstheme="minorHAnsi"/>
          <w:sz w:val="22"/>
          <w:szCs w:val="22"/>
          <w:lang w:val="en-US"/>
        </w:rPr>
        <w:t xml:space="preserve">set as </w:t>
      </w:r>
      <w:r w:rsidRPr="00D224C2">
        <w:rPr>
          <w:rFonts w:cstheme="minorHAnsi"/>
          <w:i/>
          <w:sz w:val="22"/>
          <w:szCs w:val="22"/>
          <w:lang w:val="en-US"/>
        </w:rPr>
        <w:t>N</w:t>
      </w:r>
      <w:r w:rsidRPr="00D224C2">
        <w:rPr>
          <w:rFonts w:cstheme="minorHAnsi"/>
          <w:i/>
          <w:sz w:val="22"/>
          <w:szCs w:val="22"/>
          <w:vertAlign w:val="subscript"/>
          <w:lang w:val="en-US"/>
        </w:rPr>
        <w:t>e</w:t>
      </w:r>
      <w:r w:rsidRPr="00D224C2">
        <w:rPr>
          <w:rFonts w:cstheme="minorHAnsi"/>
          <w:i/>
          <w:sz w:val="22"/>
          <w:szCs w:val="22"/>
          <w:lang w:val="en-US"/>
        </w:rPr>
        <w:t>ovi</w:t>
      </w:r>
      <w:r w:rsidRPr="00D224C2">
        <w:rPr>
          <w:rFonts w:cstheme="minorHAnsi"/>
          <w:sz w:val="22"/>
          <w:szCs w:val="22"/>
          <w:lang w:val="en-US"/>
        </w:rPr>
        <w:t xml:space="preserve"> = 100 to 80,000 and for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 xml:space="preserve">fraterna </w:t>
      </w:r>
      <w:r w:rsidRPr="00D224C2">
        <w:rPr>
          <w:rFonts w:cstheme="minorHAnsi"/>
          <w:sz w:val="22"/>
          <w:szCs w:val="22"/>
          <w:lang w:val="en-US"/>
        </w:rPr>
        <w:t xml:space="preserve">set as </w:t>
      </w:r>
      <w:r w:rsidRPr="00D224C2">
        <w:rPr>
          <w:rFonts w:cstheme="minorHAnsi"/>
          <w:i/>
          <w:sz w:val="22"/>
          <w:szCs w:val="22"/>
          <w:lang w:val="en-US"/>
        </w:rPr>
        <w:t>N</w:t>
      </w:r>
      <w:r w:rsidRPr="00D224C2">
        <w:rPr>
          <w:rFonts w:cstheme="minorHAnsi"/>
          <w:i/>
          <w:sz w:val="22"/>
          <w:szCs w:val="22"/>
          <w:vertAlign w:val="subscript"/>
          <w:lang w:val="en-US"/>
        </w:rPr>
        <w:t>e</w:t>
      </w:r>
      <w:r w:rsidRPr="00D224C2">
        <w:rPr>
          <w:rFonts w:cstheme="minorHAnsi"/>
          <w:i/>
          <w:sz w:val="22"/>
          <w:szCs w:val="22"/>
          <w:lang w:val="en-US"/>
        </w:rPr>
        <w:t>fra</w:t>
      </w:r>
      <w:r w:rsidRPr="00D224C2">
        <w:rPr>
          <w:rFonts w:cstheme="minorHAnsi"/>
          <w:sz w:val="22"/>
          <w:szCs w:val="22"/>
          <w:lang w:val="en-US"/>
        </w:rPr>
        <w:t xml:space="preserve"> = 100 to 10,000. For scenario 4 we set migration rate among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 xml:space="preserve">ovifera </w:t>
      </w:r>
      <w:r w:rsidRPr="00D224C2">
        <w:rPr>
          <w:rFonts w:cstheme="minorHAnsi"/>
          <w:sz w:val="22"/>
          <w:szCs w:val="22"/>
          <w:lang w:val="en-US"/>
        </w:rPr>
        <w:t xml:space="preserve">and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 xml:space="preserve">fraterna </w:t>
      </w:r>
      <w:r w:rsidRPr="00D224C2">
        <w:rPr>
          <w:rFonts w:cstheme="minorHAnsi"/>
          <w:sz w:val="22"/>
          <w:szCs w:val="22"/>
          <w:lang w:val="en-US"/>
        </w:rPr>
        <w:t xml:space="preserve">as </w:t>
      </w:r>
      <w:r w:rsidRPr="00D224C2">
        <w:rPr>
          <w:rFonts w:cstheme="minorHAnsi"/>
          <w:i/>
          <w:sz w:val="22"/>
          <w:szCs w:val="22"/>
          <w:lang w:val="en-US"/>
        </w:rPr>
        <w:t xml:space="preserve">ra </w:t>
      </w:r>
      <w:r w:rsidRPr="00D224C2">
        <w:rPr>
          <w:rFonts w:cstheme="minorHAnsi"/>
          <w:sz w:val="22"/>
          <w:szCs w:val="22"/>
          <w:lang w:val="en-US"/>
        </w:rPr>
        <w:t>and 1-</w:t>
      </w:r>
      <w:r w:rsidRPr="00D224C2">
        <w:rPr>
          <w:rFonts w:cstheme="minorHAnsi"/>
          <w:i/>
          <w:sz w:val="22"/>
          <w:szCs w:val="22"/>
          <w:lang w:val="en-US"/>
        </w:rPr>
        <w:t xml:space="preserve">ra </w:t>
      </w:r>
      <w:r w:rsidRPr="00D224C2">
        <w:rPr>
          <w:rFonts w:cstheme="minorHAnsi"/>
          <w:sz w:val="22"/>
          <w:szCs w:val="22"/>
          <w:lang w:val="en-US"/>
        </w:rPr>
        <w:t xml:space="preserve">for </w:t>
      </w:r>
      <w:r w:rsidRPr="00D224C2">
        <w:rPr>
          <w:rFonts w:cstheme="minorHAnsi"/>
          <w:i/>
          <w:sz w:val="22"/>
          <w:szCs w:val="22"/>
          <w:lang w:val="en-US"/>
        </w:rPr>
        <w:t xml:space="preserve">C. pepo </w:t>
      </w:r>
      <w:r w:rsidRPr="00D224C2">
        <w:rPr>
          <w:rFonts w:cstheme="minorHAnsi"/>
          <w:sz w:val="22"/>
          <w:szCs w:val="22"/>
          <w:lang w:val="en-US"/>
        </w:rPr>
        <w:t xml:space="preserve">ssp. </w:t>
      </w:r>
      <w:r w:rsidRPr="00D224C2">
        <w:rPr>
          <w:rFonts w:cstheme="minorHAnsi"/>
          <w:i/>
          <w:sz w:val="22"/>
          <w:szCs w:val="22"/>
          <w:lang w:val="en-US"/>
        </w:rPr>
        <w:t>pepo</w:t>
      </w:r>
      <w:r w:rsidRPr="00D224C2">
        <w:rPr>
          <w:rFonts w:cstheme="minorHAnsi"/>
          <w:sz w:val="22"/>
          <w:szCs w:val="22"/>
          <w:lang w:val="en-US"/>
        </w:rPr>
        <w:t>’s origin,</w:t>
      </w:r>
      <w:r w:rsidRPr="00D224C2">
        <w:rPr>
          <w:rFonts w:cstheme="minorHAnsi"/>
          <w:i/>
          <w:sz w:val="22"/>
          <w:szCs w:val="22"/>
          <w:lang w:val="en-US"/>
        </w:rPr>
        <w:t xml:space="preserve"> </w:t>
      </w:r>
      <w:r w:rsidRPr="00D224C2">
        <w:rPr>
          <w:rFonts w:cstheme="minorHAnsi"/>
          <w:sz w:val="22"/>
          <w:szCs w:val="22"/>
          <w:lang w:val="en-US"/>
        </w:rPr>
        <w:t xml:space="preserve">with </w:t>
      </w:r>
      <w:r w:rsidRPr="00D224C2">
        <w:rPr>
          <w:rFonts w:cstheme="minorHAnsi"/>
          <w:i/>
          <w:sz w:val="22"/>
          <w:szCs w:val="22"/>
          <w:lang w:val="en-US"/>
        </w:rPr>
        <w:t>ra</w:t>
      </w:r>
      <w:r w:rsidRPr="00D224C2">
        <w:rPr>
          <w:rFonts w:cstheme="minorHAnsi"/>
          <w:sz w:val="22"/>
          <w:szCs w:val="22"/>
          <w:lang w:val="en-US"/>
        </w:rPr>
        <w:t xml:space="preserve"> values from 0.001 to 0.999. </w:t>
      </w:r>
    </w:p>
    <w:p w:rsidR="00437F94" w:rsidRPr="00D224C2" w:rsidRDefault="00437F94" w:rsidP="00263B7C">
      <w:pPr>
        <w:spacing w:line="360" w:lineRule="auto"/>
        <w:ind w:firstLine="708"/>
        <w:rPr>
          <w:rFonts w:cstheme="minorHAnsi"/>
          <w:sz w:val="22"/>
          <w:szCs w:val="22"/>
          <w:lang w:val="en-US"/>
        </w:rPr>
      </w:pPr>
      <w:r w:rsidRPr="00D224C2">
        <w:rPr>
          <w:rFonts w:cstheme="minorHAnsi"/>
          <w:sz w:val="22"/>
          <w:szCs w:val="22"/>
          <w:lang w:val="en-US"/>
        </w:rPr>
        <w:t>Mutation model for nuclear microsatellite loci was set as stepwise mutation model (SMM) with a minimum mean mutation rate (per locus per generation) of 1x10</w:t>
      </w:r>
      <w:r w:rsidRPr="00D224C2">
        <w:rPr>
          <w:rFonts w:cstheme="minorHAnsi"/>
          <w:sz w:val="22"/>
          <w:szCs w:val="22"/>
          <w:vertAlign w:val="superscript"/>
          <w:lang w:val="en-US"/>
        </w:rPr>
        <w:t>–7</w:t>
      </w:r>
      <w:r w:rsidRPr="00D224C2">
        <w:rPr>
          <w:rFonts w:cstheme="minorHAnsi"/>
          <w:sz w:val="22"/>
          <w:szCs w:val="22"/>
          <w:lang w:val="en-US"/>
        </w:rPr>
        <w:t xml:space="preserve"> and a maximum of 1x10</w:t>
      </w:r>
      <w:r w:rsidRPr="00D224C2">
        <w:rPr>
          <w:rFonts w:cstheme="minorHAnsi"/>
          <w:sz w:val="22"/>
          <w:szCs w:val="22"/>
          <w:vertAlign w:val="superscript"/>
          <w:lang w:val="en-US"/>
        </w:rPr>
        <w:t>–4</w:t>
      </w:r>
      <w:r w:rsidRPr="00D224C2">
        <w:rPr>
          <w:rFonts w:cstheme="minorHAnsi"/>
          <w:sz w:val="22"/>
          <w:szCs w:val="22"/>
          <w:lang w:val="en-US"/>
        </w:rPr>
        <w:t>, and an individual mutation rate of 1x10</w:t>
      </w:r>
      <w:r w:rsidRPr="00D224C2">
        <w:rPr>
          <w:rFonts w:cstheme="minorHAnsi"/>
          <w:sz w:val="22"/>
          <w:szCs w:val="22"/>
          <w:vertAlign w:val="superscript"/>
          <w:lang w:val="en-US"/>
        </w:rPr>
        <w:t xml:space="preserve">–8 </w:t>
      </w:r>
      <w:r w:rsidRPr="00D224C2">
        <w:rPr>
          <w:rFonts w:cstheme="minorHAnsi"/>
          <w:sz w:val="22"/>
          <w:szCs w:val="22"/>
          <w:lang w:val="en-US"/>
        </w:rPr>
        <w:t>and a maximum of 1x10</w:t>
      </w:r>
      <w:r w:rsidRPr="00D224C2">
        <w:rPr>
          <w:rFonts w:cstheme="minorHAnsi"/>
          <w:sz w:val="22"/>
          <w:szCs w:val="22"/>
          <w:vertAlign w:val="superscript"/>
          <w:lang w:val="en-US"/>
        </w:rPr>
        <w:t>–3</w:t>
      </w:r>
      <w:r w:rsidRPr="00D224C2">
        <w:rPr>
          <w:rFonts w:cstheme="minorHAnsi"/>
          <w:sz w:val="22"/>
          <w:szCs w:val="22"/>
          <w:lang w:val="en-US"/>
        </w:rPr>
        <w:t xml:space="preserve">. For chloroplast region </w:t>
      </w:r>
      <w:r w:rsidRPr="00D224C2">
        <w:rPr>
          <w:rFonts w:cstheme="minorHAnsi"/>
          <w:i/>
          <w:sz w:val="22"/>
          <w:szCs w:val="22"/>
          <w:lang w:val="en-US"/>
        </w:rPr>
        <w:t>petA-psbJ</w:t>
      </w:r>
      <w:r w:rsidRPr="00D224C2">
        <w:rPr>
          <w:rFonts w:cstheme="minorHAnsi"/>
          <w:sz w:val="22"/>
          <w:szCs w:val="22"/>
          <w:lang w:val="en-US"/>
        </w:rPr>
        <w:t xml:space="preserve"> we set the mutation model to HKY with a mean mutation rate (per site per generation) from 1x10</w:t>
      </w:r>
      <w:r w:rsidRPr="00D224C2">
        <w:rPr>
          <w:rFonts w:cstheme="minorHAnsi"/>
          <w:sz w:val="22"/>
          <w:szCs w:val="22"/>
          <w:vertAlign w:val="superscript"/>
          <w:lang w:val="en-US"/>
        </w:rPr>
        <w:t xml:space="preserve">–11 </w:t>
      </w:r>
      <w:r w:rsidRPr="00D224C2">
        <w:rPr>
          <w:rFonts w:cstheme="minorHAnsi"/>
          <w:sz w:val="22"/>
          <w:szCs w:val="22"/>
          <w:lang w:val="en-US"/>
        </w:rPr>
        <w:t>to 1x10</w:t>
      </w:r>
      <w:r w:rsidRPr="00D224C2">
        <w:rPr>
          <w:rFonts w:cstheme="minorHAnsi"/>
          <w:sz w:val="22"/>
          <w:szCs w:val="22"/>
          <w:vertAlign w:val="superscript"/>
          <w:lang w:val="en-US"/>
        </w:rPr>
        <w:t>–8</w:t>
      </w:r>
      <w:r w:rsidRPr="00D224C2">
        <w:rPr>
          <w:rFonts w:cstheme="minorHAnsi"/>
          <w:sz w:val="22"/>
          <w:szCs w:val="22"/>
          <w:lang w:val="en-US"/>
        </w:rPr>
        <w:t xml:space="preserve">, and for </w:t>
      </w:r>
      <w:r w:rsidRPr="00D224C2">
        <w:rPr>
          <w:rFonts w:cstheme="minorHAnsi"/>
          <w:i/>
          <w:sz w:val="22"/>
          <w:szCs w:val="22"/>
          <w:lang w:val="en-US"/>
        </w:rPr>
        <w:t>psbD</w:t>
      </w:r>
      <w:r w:rsidRPr="00D224C2">
        <w:rPr>
          <w:rFonts w:cstheme="minorHAnsi"/>
          <w:sz w:val="22"/>
          <w:szCs w:val="22"/>
          <w:lang w:val="en-US"/>
        </w:rPr>
        <w:t>-</w:t>
      </w:r>
      <w:r w:rsidRPr="00D224C2">
        <w:rPr>
          <w:rFonts w:cstheme="minorHAnsi"/>
          <w:i/>
          <w:sz w:val="22"/>
          <w:szCs w:val="22"/>
          <w:lang w:val="en-US"/>
        </w:rPr>
        <w:t>trnT</w:t>
      </w:r>
      <w:r w:rsidRPr="00D224C2">
        <w:rPr>
          <w:rFonts w:cstheme="minorHAnsi"/>
          <w:sz w:val="22"/>
          <w:szCs w:val="22"/>
          <w:lang w:val="en-US"/>
        </w:rPr>
        <w:t xml:space="preserve"> the mean mutation rate was set to 1x10</w:t>
      </w:r>
      <w:r w:rsidRPr="00D224C2">
        <w:rPr>
          <w:rFonts w:cstheme="minorHAnsi"/>
          <w:sz w:val="22"/>
          <w:szCs w:val="22"/>
          <w:vertAlign w:val="superscript"/>
          <w:lang w:val="en-US"/>
        </w:rPr>
        <w:t>–9</w:t>
      </w:r>
      <w:r w:rsidRPr="00D224C2">
        <w:rPr>
          <w:rFonts w:cstheme="minorHAnsi"/>
          <w:sz w:val="22"/>
          <w:szCs w:val="22"/>
          <w:lang w:val="en-US"/>
        </w:rPr>
        <w:t xml:space="preserve"> to 1x10</w:t>
      </w:r>
      <w:r w:rsidRPr="00D224C2">
        <w:rPr>
          <w:rFonts w:cstheme="minorHAnsi"/>
          <w:sz w:val="22"/>
          <w:szCs w:val="22"/>
          <w:vertAlign w:val="superscript"/>
          <w:lang w:val="en-US"/>
        </w:rPr>
        <w:t>–7</w:t>
      </w:r>
      <w:r w:rsidRPr="00D224C2">
        <w:rPr>
          <w:rFonts w:cstheme="minorHAnsi"/>
          <w:sz w:val="22"/>
          <w:szCs w:val="22"/>
          <w:lang w:val="en-US"/>
        </w:rPr>
        <w:t>.</w:t>
      </w:r>
    </w:p>
    <w:p w:rsidR="00C25A47" w:rsidRPr="00D224C2" w:rsidRDefault="00437F94" w:rsidP="00C25A47">
      <w:pPr>
        <w:spacing w:line="360" w:lineRule="auto"/>
        <w:ind w:firstLine="708"/>
        <w:rPr>
          <w:rFonts w:cstheme="minorHAnsi"/>
          <w:sz w:val="22"/>
          <w:szCs w:val="22"/>
          <w:lang w:val="en-GB"/>
        </w:rPr>
      </w:pPr>
      <w:r w:rsidRPr="00D224C2">
        <w:rPr>
          <w:rFonts w:cstheme="minorHAnsi"/>
          <w:sz w:val="22"/>
          <w:szCs w:val="22"/>
          <w:lang w:val="en-US"/>
        </w:rPr>
        <w:t xml:space="preserve">A total of 51 summary statistics were calculated considering all markers </w:t>
      </w:r>
      <w:r w:rsidR="000D7029" w:rsidRPr="00D224C2">
        <w:rPr>
          <w:rFonts w:cstheme="minorHAnsi"/>
          <w:sz w:val="22"/>
          <w:szCs w:val="22"/>
          <w:lang w:val="en-GB"/>
        </w:rPr>
        <w:t>(nine microsatellite loci and two partitioned chloroplast regions) and three genetic lineages or samples (</w:t>
      </w:r>
      <w:r w:rsidR="000D7029" w:rsidRPr="00D224C2">
        <w:rPr>
          <w:rFonts w:cstheme="minorHAnsi"/>
          <w:i/>
          <w:color w:val="000000" w:themeColor="text1"/>
          <w:sz w:val="22"/>
          <w:szCs w:val="22"/>
          <w:lang w:val="en-GB"/>
        </w:rPr>
        <w:t xml:space="preserve">C. pepo </w:t>
      </w:r>
      <w:r w:rsidR="000D7029" w:rsidRPr="00D224C2">
        <w:rPr>
          <w:rFonts w:cstheme="minorHAnsi"/>
          <w:color w:val="000000" w:themeColor="text1"/>
          <w:sz w:val="22"/>
          <w:szCs w:val="22"/>
          <w:lang w:val="en-GB"/>
        </w:rPr>
        <w:t xml:space="preserve">ssp. </w:t>
      </w:r>
      <w:r w:rsidR="000D7029" w:rsidRPr="00D224C2">
        <w:rPr>
          <w:rFonts w:cstheme="minorHAnsi"/>
          <w:i/>
          <w:sz w:val="22"/>
          <w:szCs w:val="22"/>
          <w:lang w:val="en-GB"/>
        </w:rPr>
        <w:t>ovifera</w:t>
      </w:r>
      <w:r w:rsidR="000D7029" w:rsidRPr="00D224C2">
        <w:rPr>
          <w:rFonts w:cstheme="minorHAnsi"/>
          <w:sz w:val="22"/>
          <w:szCs w:val="22"/>
          <w:lang w:val="en-GB"/>
        </w:rPr>
        <w:t xml:space="preserve">, </w:t>
      </w:r>
      <w:r w:rsidR="000D7029" w:rsidRPr="00D224C2">
        <w:rPr>
          <w:rFonts w:cstheme="minorHAnsi"/>
          <w:i/>
          <w:color w:val="000000" w:themeColor="text1"/>
          <w:sz w:val="22"/>
          <w:szCs w:val="22"/>
          <w:lang w:val="en-GB"/>
        </w:rPr>
        <w:t xml:space="preserve">C. pepo </w:t>
      </w:r>
      <w:r w:rsidR="000D7029" w:rsidRPr="00D224C2">
        <w:rPr>
          <w:rFonts w:cstheme="minorHAnsi"/>
          <w:color w:val="000000" w:themeColor="text1"/>
          <w:sz w:val="22"/>
          <w:szCs w:val="22"/>
          <w:lang w:val="en-GB"/>
        </w:rPr>
        <w:t xml:space="preserve">ssp. </w:t>
      </w:r>
      <w:r w:rsidR="000D7029" w:rsidRPr="00D224C2">
        <w:rPr>
          <w:rFonts w:cstheme="minorHAnsi"/>
          <w:i/>
          <w:sz w:val="22"/>
          <w:szCs w:val="22"/>
          <w:lang w:val="en-GB"/>
        </w:rPr>
        <w:t>fraterna</w:t>
      </w:r>
      <w:r w:rsidR="000D7029" w:rsidRPr="00D224C2">
        <w:rPr>
          <w:rFonts w:cstheme="minorHAnsi"/>
          <w:sz w:val="22"/>
          <w:szCs w:val="22"/>
          <w:lang w:val="en-GB"/>
        </w:rPr>
        <w:t xml:space="preserve"> and Mexican </w:t>
      </w:r>
      <w:r w:rsidR="000D7029" w:rsidRPr="00D224C2">
        <w:rPr>
          <w:rFonts w:cstheme="minorHAnsi"/>
          <w:i/>
          <w:color w:val="000000" w:themeColor="text1"/>
          <w:sz w:val="22"/>
          <w:szCs w:val="22"/>
          <w:lang w:val="en-GB"/>
        </w:rPr>
        <w:t xml:space="preserve">C. pepo </w:t>
      </w:r>
      <w:r w:rsidR="000D7029" w:rsidRPr="00D224C2">
        <w:rPr>
          <w:rFonts w:cstheme="minorHAnsi"/>
          <w:color w:val="000000" w:themeColor="text1"/>
          <w:sz w:val="22"/>
          <w:szCs w:val="22"/>
          <w:lang w:val="en-GB"/>
        </w:rPr>
        <w:t xml:space="preserve">ssp. </w:t>
      </w:r>
      <w:r w:rsidR="000D7029" w:rsidRPr="00D224C2">
        <w:rPr>
          <w:rFonts w:cstheme="minorHAnsi"/>
          <w:i/>
          <w:sz w:val="22"/>
          <w:szCs w:val="22"/>
          <w:lang w:val="en-GB"/>
        </w:rPr>
        <w:t>pepo</w:t>
      </w:r>
      <w:r w:rsidR="000D7029" w:rsidRPr="00D224C2">
        <w:rPr>
          <w:rFonts w:cstheme="minorHAnsi"/>
          <w:sz w:val="22"/>
          <w:szCs w:val="22"/>
          <w:lang w:val="en-GB"/>
        </w:rPr>
        <w:t>) –in accordance to results from clustering analyses described in methods. One sample and two sample summary statistics are provided</w:t>
      </w:r>
      <w:r w:rsidR="00F70AF5">
        <w:rPr>
          <w:rFonts w:cstheme="minorHAnsi"/>
          <w:sz w:val="22"/>
          <w:szCs w:val="22"/>
          <w:lang w:val="en-GB"/>
        </w:rPr>
        <w:t>.</w:t>
      </w:r>
      <w:r w:rsidR="000D7029" w:rsidRPr="00D224C2">
        <w:rPr>
          <w:rFonts w:cstheme="minorHAnsi"/>
          <w:sz w:val="22"/>
          <w:szCs w:val="22"/>
          <w:lang w:val="en-US"/>
        </w:rPr>
        <w:t xml:space="preserve"> </w:t>
      </w:r>
      <w:r w:rsidRPr="00D224C2">
        <w:rPr>
          <w:rFonts w:cstheme="minorHAnsi"/>
          <w:sz w:val="22"/>
          <w:szCs w:val="22"/>
          <w:lang w:val="en-US"/>
        </w:rPr>
        <w:t xml:space="preserve">One sample summary statistics for nine microsatellite loci for each sample were mean number of alleles, mean genetic diversity (6 summary statistics), </w:t>
      </w:r>
      <w:r w:rsidR="00F70AF5">
        <w:rPr>
          <w:rFonts w:cstheme="minorHAnsi"/>
          <w:sz w:val="22"/>
          <w:szCs w:val="22"/>
          <w:lang w:val="en-US"/>
        </w:rPr>
        <w:t>while</w:t>
      </w:r>
      <w:r w:rsidRPr="00D224C2">
        <w:rPr>
          <w:rFonts w:cstheme="minorHAnsi"/>
          <w:sz w:val="22"/>
          <w:szCs w:val="22"/>
          <w:lang w:val="en-US"/>
        </w:rPr>
        <w:t xml:space="preserve"> two sample (pairwise) summary statistics were mean number of alleles, mean genetic diversity and </w:t>
      </w:r>
      <w:r w:rsidRPr="00D224C2">
        <w:rPr>
          <w:rFonts w:cstheme="minorHAnsi"/>
          <w:i/>
          <w:sz w:val="22"/>
          <w:szCs w:val="22"/>
          <w:lang w:val="en-US"/>
        </w:rPr>
        <w:t>F</w:t>
      </w:r>
      <w:r w:rsidRPr="00D224C2">
        <w:rPr>
          <w:rFonts w:cstheme="minorHAnsi"/>
          <w:i/>
          <w:sz w:val="22"/>
          <w:szCs w:val="22"/>
          <w:vertAlign w:val="subscript"/>
          <w:lang w:val="en-US"/>
        </w:rPr>
        <w:t>ST</w:t>
      </w:r>
      <w:r w:rsidRPr="00D224C2">
        <w:rPr>
          <w:rFonts w:cstheme="minorHAnsi"/>
          <w:sz w:val="22"/>
          <w:szCs w:val="22"/>
          <w:lang w:val="en-US"/>
        </w:rPr>
        <w:t xml:space="preserve"> (9 summary statistics). For each chloroplast region, one sample summary statistics were mean number of haplotypes, number of segregating sites, mean of pairwise differences and Tajima’s D (12 summary statistics for each region), and two sample (pairwise) summary statistics were number of segregating sites and </w:t>
      </w:r>
      <w:r w:rsidRPr="00D224C2">
        <w:rPr>
          <w:rFonts w:cstheme="minorHAnsi"/>
          <w:i/>
          <w:sz w:val="22"/>
          <w:szCs w:val="22"/>
          <w:lang w:val="en-US"/>
        </w:rPr>
        <w:t>F</w:t>
      </w:r>
      <w:r w:rsidRPr="00D224C2">
        <w:rPr>
          <w:rFonts w:cstheme="minorHAnsi"/>
          <w:i/>
          <w:sz w:val="22"/>
          <w:szCs w:val="22"/>
          <w:vertAlign w:val="subscript"/>
          <w:lang w:val="en-US"/>
        </w:rPr>
        <w:t>ST</w:t>
      </w:r>
      <w:r w:rsidRPr="00D224C2">
        <w:rPr>
          <w:rFonts w:cstheme="minorHAnsi"/>
          <w:sz w:val="22"/>
          <w:szCs w:val="22"/>
          <w:lang w:val="en-US"/>
        </w:rPr>
        <w:t xml:space="preserve"> (6 summary statistics for each region) (Table </w:t>
      </w:r>
      <w:r w:rsidR="00C25A47" w:rsidRPr="00D224C2">
        <w:rPr>
          <w:rFonts w:cstheme="minorHAnsi"/>
          <w:sz w:val="22"/>
          <w:szCs w:val="22"/>
          <w:lang w:val="en-US"/>
        </w:rPr>
        <w:t>A1</w:t>
      </w:r>
      <w:r w:rsidRPr="00D224C2">
        <w:rPr>
          <w:rFonts w:cstheme="minorHAnsi"/>
          <w:sz w:val="22"/>
          <w:szCs w:val="22"/>
          <w:lang w:val="en-US"/>
        </w:rPr>
        <w:t>)</w:t>
      </w:r>
      <w:r w:rsidRPr="00D224C2">
        <w:rPr>
          <w:rFonts w:cstheme="minorHAnsi"/>
          <w:sz w:val="22"/>
          <w:szCs w:val="22"/>
          <w:lang w:val="en-GB"/>
        </w:rPr>
        <w:t xml:space="preserve">. </w:t>
      </w:r>
    </w:p>
    <w:p w:rsidR="00437F94" w:rsidRPr="00D224C2" w:rsidRDefault="00437F94" w:rsidP="00263B7C">
      <w:pPr>
        <w:spacing w:line="360" w:lineRule="auto"/>
        <w:ind w:firstLine="708"/>
        <w:rPr>
          <w:rFonts w:cstheme="minorHAnsi"/>
          <w:sz w:val="22"/>
          <w:szCs w:val="22"/>
          <w:lang w:val="en-US"/>
        </w:rPr>
      </w:pPr>
      <w:r w:rsidRPr="00D224C2">
        <w:rPr>
          <w:rFonts w:cstheme="minorHAnsi"/>
          <w:sz w:val="22"/>
          <w:szCs w:val="22"/>
          <w:lang w:val="en-US"/>
        </w:rPr>
        <w:t xml:space="preserve">We ran 4,000,000 simulations to evaluate ABC scenarios and parameters. Accordingly, prior fit to the observed data recovered that all microsatellite summary statistics and most summary statistics for </w:t>
      </w:r>
      <w:r w:rsidRPr="00D224C2">
        <w:rPr>
          <w:rFonts w:cstheme="minorHAnsi"/>
          <w:sz w:val="22"/>
          <w:szCs w:val="22"/>
          <w:lang w:val="en-US"/>
        </w:rPr>
        <w:lastRenderedPageBreak/>
        <w:t>chloroplast regions from simulated data were similar to those from observed data. Exceptions were eight summary statistics for scenario 1, seven summary statistics for scenario 2, 11 summary statistics for scenario 3, and five summary statistics for scenario 4 (</w:t>
      </w:r>
      <w:r w:rsidR="00C25A47" w:rsidRPr="00D224C2">
        <w:rPr>
          <w:rFonts w:cstheme="minorHAnsi"/>
          <w:sz w:val="22"/>
          <w:szCs w:val="22"/>
          <w:lang w:val="en-US"/>
        </w:rPr>
        <w:t>Table A1</w:t>
      </w:r>
      <w:r w:rsidRPr="00D224C2">
        <w:rPr>
          <w:rFonts w:cstheme="minorHAnsi"/>
          <w:sz w:val="22"/>
          <w:szCs w:val="22"/>
          <w:lang w:val="en-US"/>
        </w:rPr>
        <w:t>).</w:t>
      </w:r>
    </w:p>
    <w:p w:rsidR="00437F94" w:rsidRPr="00D224C2" w:rsidRDefault="00437F94" w:rsidP="00263B7C">
      <w:pPr>
        <w:spacing w:line="360" w:lineRule="auto"/>
        <w:ind w:firstLine="708"/>
        <w:rPr>
          <w:rFonts w:cstheme="minorHAnsi"/>
          <w:sz w:val="22"/>
          <w:szCs w:val="22"/>
          <w:lang w:val="en-GB"/>
        </w:rPr>
      </w:pPr>
      <w:r w:rsidRPr="00D224C2">
        <w:rPr>
          <w:rFonts w:cstheme="minorHAnsi"/>
          <w:sz w:val="22"/>
          <w:szCs w:val="22"/>
          <w:lang w:val="en-GB"/>
        </w:rPr>
        <w:t xml:space="preserve">To define which scenario has the best adjustment to our observed data, we obtained the posterior probability for each scenario by a direct approach and by the logistic regression approach implemented in DIYABC. </w:t>
      </w:r>
      <w:r w:rsidRPr="00D224C2">
        <w:rPr>
          <w:rFonts w:cstheme="minorHAnsi"/>
          <w:sz w:val="22"/>
          <w:szCs w:val="22"/>
          <w:lang w:val="en-US"/>
        </w:rPr>
        <w:t xml:space="preserve">For the direct approach, the posterior probabilities of each scenario is approximated by the fraction of simulations produced by each scenario closer to the real data; whereas for the logistic approach, a linear regression between a parameter and the vector of summary statistics </w:t>
      </w:r>
      <w:r w:rsidRPr="00D224C2">
        <w:rPr>
          <w:rFonts w:cstheme="minorHAnsi"/>
          <w:color w:val="000000" w:themeColor="text1"/>
          <w:sz w:val="22"/>
          <w:szCs w:val="22"/>
          <w:lang w:val="en-US"/>
        </w:rPr>
        <w:t>of 1% of simulated datasets closest to the observed dataset is obtained, and the intercept condition where observed and simulated summary statistics coincide is used to estimate the posterior probability of each scenario</w:t>
      </w:r>
      <w:r w:rsidRPr="00D224C2">
        <w:rPr>
          <w:rFonts w:cstheme="minorHAnsi"/>
          <w:sz w:val="22"/>
          <w:szCs w:val="22"/>
          <w:lang w:val="en-GB"/>
        </w:rPr>
        <w:t xml:space="preserve"> </w:t>
      </w:r>
      <w:r w:rsidRPr="00D224C2">
        <w:rPr>
          <w:rFonts w:cstheme="minorHAnsi"/>
          <w:color w:val="000000" w:themeColor="text1"/>
          <w:sz w:val="22"/>
          <w:szCs w:val="22"/>
          <w:lang w:val="en-GB"/>
        </w:rPr>
        <w:t>[</w:t>
      </w:r>
      <w:r w:rsidR="00AE2446">
        <w:rPr>
          <w:rFonts w:cstheme="minorHAnsi"/>
          <w:color w:val="000000" w:themeColor="text1"/>
          <w:sz w:val="22"/>
          <w:szCs w:val="22"/>
          <w:lang w:val="en-GB"/>
        </w:rPr>
        <w:t>19</w:t>
      </w:r>
      <w:r w:rsidRPr="00D224C2">
        <w:rPr>
          <w:rFonts w:cstheme="minorHAnsi"/>
          <w:color w:val="000000" w:themeColor="text1"/>
          <w:sz w:val="22"/>
          <w:szCs w:val="22"/>
          <w:lang w:val="en-GB"/>
        </w:rPr>
        <w:t xml:space="preserve">, </w:t>
      </w:r>
      <w:r w:rsidR="00AE2446">
        <w:rPr>
          <w:rFonts w:cstheme="minorHAnsi"/>
          <w:color w:val="000000" w:themeColor="text1"/>
          <w:sz w:val="22"/>
          <w:szCs w:val="22"/>
          <w:lang w:val="en-GB"/>
        </w:rPr>
        <w:t>25</w:t>
      </w:r>
      <w:r w:rsidR="00D224C2" w:rsidRPr="00D224C2">
        <w:rPr>
          <w:rFonts w:cstheme="minorHAnsi"/>
          <w:color w:val="000000" w:themeColor="text1"/>
          <w:sz w:val="22"/>
          <w:szCs w:val="22"/>
          <w:lang w:val="en-GB"/>
        </w:rPr>
        <w:t xml:space="preserve"> – </w:t>
      </w:r>
      <w:r w:rsidR="00AE2446">
        <w:rPr>
          <w:rFonts w:cstheme="minorHAnsi"/>
          <w:color w:val="000000" w:themeColor="text1"/>
          <w:sz w:val="22"/>
          <w:szCs w:val="22"/>
          <w:lang w:val="en-GB"/>
        </w:rPr>
        <w:t>27</w:t>
      </w:r>
      <w:r w:rsidRPr="00D224C2">
        <w:rPr>
          <w:rFonts w:cstheme="minorHAnsi"/>
          <w:color w:val="000000" w:themeColor="text1"/>
          <w:sz w:val="22"/>
          <w:szCs w:val="22"/>
          <w:lang w:val="en-GB"/>
        </w:rPr>
        <w:t>]. DIYABC also provides additional insight into the accuracy and power of model selection by estimating confidence intervals (C.I.) for the posterior probabilities of each scenario, where for adequate resolution in scenario choice we would expect that the C.I. of the model with the highest posterior probability does not overlap with the C.I. of the next supported scenario [</w:t>
      </w:r>
      <w:r w:rsidR="00AE2446">
        <w:rPr>
          <w:rFonts w:cstheme="minorHAnsi"/>
          <w:color w:val="000000" w:themeColor="text1"/>
          <w:sz w:val="22"/>
          <w:szCs w:val="22"/>
          <w:lang w:val="en-GB"/>
        </w:rPr>
        <w:t>19</w:t>
      </w:r>
      <w:r w:rsidRPr="00D224C2">
        <w:rPr>
          <w:rFonts w:cstheme="minorHAnsi"/>
          <w:color w:val="000000" w:themeColor="text1"/>
          <w:sz w:val="22"/>
          <w:szCs w:val="22"/>
          <w:lang w:val="en-GB"/>
        </w:rPr>
        <w:t>].</w:t>
      </w:r>
    </w:p>
    <w:p w:rsidR="00437F94" w:rsidRPr="00D224C2" w:rsidRDefault="00437F94" w:rsidP="00263B7C">
      <w:pPr>
        <w:spacing w:line="360" w:lineRule="auto"/>
        <w:ind w:firstLine="708"/>
        <w:rPr>
          <w:rFonts w:cstheme="minorHAnsi"/>
          <w:sz w:val="22"/>
          <w:szCs w:val="22"/>
          <w:lang w:val="en-GB"/>
        </w:rPr>
      </w:pPr>
      <w:r w:rsidRPr="00D224C2">
        <w:rPr>
          <w:rFonts w:cstheme="minorHAnsi"/>
          <w:sz w:val="22"/>
          <w:szCs w:val="22"/>
          <w:lang w:val="en-GB"/>
        </w:rPr>
        <w:t>For the best-supported scenario, we report the median of each temporal and demographic parameters drawn from the posterior distribution [</w:t>
      </w:r>
      <w:r w:rsidR="00AE2446">
        <w:rPr>
          <w:rFonts w:cstheme="minorHAnsi"/>
          <w:sz w:val="22"/>
          <w:szCs w:val="22"/>
          <w:lang w:val="en-GB"/>
        </w:rPr>
        <w:t>28</w:t>
      </w:r>
      <w:r w:rsidRPr="00D224C2">
        <w:rPr>
          <w:rFonts w:cstheme="minorHAnsi"/>
          <w:sz w:val="22"/>
          <w:szCs w:val="22"/>
          <w:lang w:val="en-GB"/>
        </w:rPr>
        <w:t>] estimated with DIYABC 2.1.0. For this, a local regression on 1% simulations closest to the observed data is obtained, and the bias of the mean parameter estimates is assessed by generating 1,000 simulated datasets after a logit transformation of parameters. The logit transformation is implemented to reduce the inequality of variances among parameters [</w:t>
      </w:r>
      <w:r w:rsidR="00AE2446">
        <w:rPr>
          <w:rFonts w:cstheme="minorHAnsi"/>
          <w:sz w:val="22"/>
          <w:szCs w:val="22"/>
          <w:lang w:val="en-GB"/>
        </w:rPr>
        <w:t>28</w:t>
      </w:r>
      <w:r w:rsidRPr="00D224C2">
        <w:rPr>
          <w:rFonts w:cstheme="minorHAnsi"/>
          <w:sz w:val="22"/>
          <w:szCs w:val="22"/>
          <w:lang w:val="en-GB"/>
        </w:rPr>
        <w:t>]. The average relative bias, estimated by DIYABC, considers the differences between simulated points estimates and the true value, divided by the true value, and averaged over the 1,000 simulated datasets [</w:t>
      </w:r>
      <w:r w:rsidR="00D224C2" w:rsidRPr="00D224C2">
        <w:rPr>
          <w:rFonts w:cstheme="minorHAnsi"/>
          <w:sz w:val="22"/>
          <w:szCs w:val="22"/>
          <w:lang w:val="en-GB"/>
        </w:rPr>
        <w:t>1</w:t>
      </w:r>
      <w:r w:rsidR="00AE2446">
        <w:rPr>
          <w:rFonts w:cstheme="minorHAnsi"/>
          <w:sz w:val="22"/>
          <w:szCs w:val="22"/>
          <w:lang w:val="en-GB"/>
        </w:rPr>
        <w:t>8</w:t>
      </w:r>
      <w:r w:rsidRPr="00D224C2">
        <w:rPr>
          <w:rFonts w:cstheme="minorHAnsi"/>
          <w:sz w:val="22"/>
          <w:szCs w:val="22"/>
          <w:lang w:val="en-GB"/>
        </w:rPr>
        <w:t>].</w:t>
      </w:r>
    </w:p>
    <w:p w:rsidR="00437F94" w:rsidRPr="00D224C2" w:rsidRDefault="00437F94" w:rsidP="00263B7C">
      <w:pPr>
        <w:spacing w:line="360" w:lineRule="auto"/>
        <w:ind w:firstLine="708"/>
        <w:rPr>
          <w:rFonts w:cstheme="minorHAnsi"/>
          <w:sz w:val="22"/>
          <w:szCs w:val="22"/>
          <w:lang w:val="en-GB"/>
        </w:rPr>
      </w:pPr>
      <w:r w:rsidRPr="00D224C2">
        <w:rPr>
          <w:rFonts w:cstheme="minorHAnsi"/>
          <w:sz w:val="22"/>
          <w:szCs w:val="22"/>
          <w:lang w:val="en-GB"/>
        </w:rPr>
        <w:t xml:space="preserve">We evaluated the ability of the ABC analysis to discriminate between scenarios and to estimate type I and type II error rates for the direct and logistic approaches. In order to do so, 1,000 new datasets are simulated with each scenario, using each scenario as the null or alternative hypothesis, and the number of times the </w:t>
      </w:r>
      <w:r w:rsidR="00F70AF5">
        <w:rPr>
          <w:rFonts w:cstheme="minorHAnsi"/>
          <w:sz w:val="22"/>
          <w:szCs w:val="22"/>
          <w:lang w:val="en-GB"/>
        </w:rPr>
        <w:t>correct</w:t>
      </w:r>
      <w:r w:rsidR="00F70AF5" w:rsidRPr="00D224C2">
        <w:rPr>
          <w:rFonts w:cstheme="minorHAnsi"/>
          <w:sz w:val="22"/>
          <w:szCs w:val="22"/>
          <w:lang w:val="en-GB"/>
        </w:rPr>
        <w:t xml:space="preserve"> </w:t>
      </w:r>
      <w:r w:rsidRPr="00D224C2">
        <w:rPr>
          <w:rFonts w:cstheme="minorHAnsi"/>
          <w:sz w:val="22"/>
          <w:szCs w:val="22"/>
          <w:lang w:val="en-GB"/>
        </w:rPr>
        <w:t>scenario has the highest posterior probability is summarized [</w:t>
      </w:r>
      <w:r w:rsidR="00D224C2" w:rsidRPr="00D224C2">
        <w:rPr>
          <w:rFonts w:cstheme="minorHAnsi"/>
          <w:sz w:val="22"/>
          <w:szCs w:val="22"/>
          <w:lang w:val="en-GB"/>
        </w:rPr>
        <w:t>1</w:t>
      </w:r>
      <w:r w:rsidR="00AE2446">
        <w:rPr>
          <w:rFonts w:cstheme="minorHAnsi"/>
          <w:sz w:val="22"/>
          <w:szCs w:val="22"/>
          <w:lang w:val="en-GB"/>
        </w:rPr>
        <w:t>7</w:t>
      </w:r>
      <w:r w:rsidRPr="00D224C2">
        <w:rPr>
          <w:rFonts w:cstheme="minorHAnsi"/>
          <w:sz w:val="22"/>
          <w:szCs w:val="22"/>
          <w:lang w:val="en-GB"/>
        </w:rPr>
        <w:t xml:space="preserve">, </w:t>
      </w:r>
      <w:r w:rsidR="00D224C2" w:rsidRPr="00D224C2">
        <w:rPr>
          <w:rFonts w:cstheme="minorHAnsi"/>
          <w:sz w:val="22"/>
          <w:szCs w:val="22"/>
          <w:lang w:val="en-GB"/>
        </w:rPr>
        <w:t>1</w:t>
      </w:r>
      <w:r w:rsidR="00AE2446">
        <w:rPr>
          <w:rFonts w:cstheme="minorHAnsi"/>
          <w:sz w:val="22"/>
          <w:szCs w:val="22"/>
          <w:lang w:val="en-GB"/>
        </w:rPr>
        <w:t>9</w:t>
      </w:r>
      <w:r w:rsidRPr="00D224C2">
        <w:rPr>
          <w:rFonts w:cstheme="minorHAnsi"/>
          <w:sz w:val="22"/>
          <w:szCs w:val="22"/>
          <w:lang w:val="en-GB"/>
        </w:rPr>
        <w:t xml:space="preserve">, </w:t>
      </w:r>
      <w:r w:rsidR="00D224C2" w:rsidRPr="00D224C2">
        <w:rPr>
          <w:rFonts w:cstheme="minorHAnsi"/>
          <w:sz w:val="22"/>
          <w:szCs w:val="22"/>
          <w:lang w:val="en-GB"/>
        </w:rPr>
        <w:t>2</w:t>
      </w:r>
      <w:r w:rsidR="00AE2446">
        <w:rPr>
          <w:rFonts w:cstheme="minorHAnsi"/>
          <w:sz w:val="22"/>
          <w:szCs w:val="22"/>
          <w:lang w:val="en-GB"/>
        </w:rPr>
        <w:t>6</w:t>
      </w:r>
      <w:r w:rsidRPr="00D224C2">
        <w:rPr>
          <w:rFonts w:cstheme="minorHAnsi"/>
          <w:sz w:val="22"/>
          <w:szCs w:val="22"/>
          <w:lang w:val="en-GB"/>
        </w:rPr>
        <w:t xml:space="preserve">]. Therefore, type I error </w:t>
      </w:r>
      <w:r w:rsidRPr="00D224C2">
        <w:rPr>
          <w:rFonts w:eastAsia="Times New Roman" w:cstheme="minorHAnsi"/>
          <w:color w:val="000000"/>
          <w:sz w:val="22"/>
          <w:szCs w:val="22"/>
          <w:lang w:val="en-GB" w:eastAsia="es-ES_tradnl"/>
        </w:rPr>
        <w:t>is the proportion of pseudo-observed datasets generated under a particular scenario that support a different scenario (false negative), and type II error is the proportion of pseudo-observed datasets generated under alternative scenarios that support the selected scenario (false positive) [</w:t>
      </w:r>
      <w:r w:rsidR="00D224C2" w:rsidRPr="00D224C2">
        <w:rPr>
          <w:rFonts w:eastAsia="Times New Roman" w:cstheme="minorHAnsi"/>
          <w:color w:val="000000"/>
          <w:sz w:val="22"/>
          <w:szCs w:val="22"/>
          <w:lang w:val="en-GB" w:eastAsia="es-ES_tradnl"/>
        </w:rPr>
        <w:t>1</w:t>
      </w:r>
      <w:r w:rsidR="00AE2446">
        <w:rPr>
          <w:rFonts w:eastAsia="Times New Roman" w:cstheme="minorHAnsi"/>
          <w:color w:val="000000"/>
          <w:sz w:val="22"/>
          <w:szCs w:val="22"/>
          <w:lang w:val="en-GB" w:eastAsia="es-ES_tradnl"/>
        </w:rPr>
        <w:t>9</w:t>
      </w:r>
      <w:r w:rsidRPr="00D224C2">
        <w:rPr>
          <w:rFonts w:eastAsia="Times New Roman" w:cstheme="minorHAnsi"/>
          <w:color w:val="000000"/>
          <w:sz w:val="22"/>
          <w:szCs w:val="22"/>
          <w:lang w:val="en-GB" w:eastAsia="es-ES_tradnl"/>
        </w:rPr>
        <w:t xml:space="preserve">]. </w:t>
      </w:r>
      <w:r w:rsidRPr="00D224C2">
        <w:rPr>
          <w:rFonts w:cstheme="minorHAnsi"/>
          <w:sz w:val="22"/>
          <w:szCs w:val="22"/>
          <w:lang w:val="en-GB"/>
        </w:rPr>
        <w:t xml:space="preserve">Then, to evaluate if the best-supported scenario could successfully reproduce the observed data, we simulated 10,000 pseudo-observed datasets from the posterior, and performed </w:t>
      </w:r>
      <w:r w:rsidRPr="00D224C2">
        <w:rPr>
          <w:rFonts w:cstheme="minorHAnsi"/>
          <w:sz w:val="22"/>
          <w:szCs w:val="22"/>
          <w:lang w:val="en-GB"/>
        </w:rPr>
        <w:lastRenderedPageBreak/>
        <w:t xml:space="preserve">model checking implemented in DIYABC using the summary statistics not used during the inference step (Supplementary </w:t>
      </w:r>
      <w:r w:rsidR="00C25A47" w:rsidRPr="00D224C2">
        <w:rPr>
          <w:rFonts w:cstheme="minorHAnsi"/>
          <w:sz w:val="22"/>
          <w:szCs w:val="22"/>
          <w:lang w:val="en-GB"/>
        </w:rPr>
        <w:t>F</w:t>
      </w:r>
      <w:r w:rsidRPr="00D224C2">
        <w:rPr>
          <w:rFonts w:cstheme="minorHAnsi"/>
          <w:sz w:val="22"/>
          <w:szCs w:val="22"/>
          <w:lang w:val="en-GB"/>
        </w:rPr>
        <w:t>igure S2) [</w:t>
      </w:r>
      <w:r w:rsidR="00D224C2" w:rsidRPr="00D224C2">
        <w:rPr>
          <w:rFonts w:cstheme="minorHAnsi"/>
          <w:sz w:val="22"/>
          <w:szCs w:val="22"/>
          <w:lang w:val="en-GB"/>
        </w:rPr>
        <w:t>1</w:t>
      </w:r>
      <w:r w:rsidR="00AE2446">
        <w:rPr>
          <w:rFonts w:cstheme="minorHAnsi"/>
          <w:sz w:val="22"/>
          <w:szCs w:val="22"/>
          <w:lang w:val="en-GB"/>
        </w:rPr>
        <w:t>8</w:t>
      </w:r>
      <w:r w:rsidRPr="00D224C2">
        <w:rPr>
          <w:rFonts w:cstheme="minorHAnsi"/>
          <w:sz w:val="22"/>
          <w:szCs w:val="22"/>
          <w:lang w:val="en-GB"/>
        </w:rPr>
        <w:t>].</w:t>
      </w:r>
    </w:p>
    <w:p w:rsidR="00252A10" w:rsidRPr="00D224C2" w:rsidRDefault="00BC4F57" w:rsidP="00263B7C">
      <w:pPr>
        <w:spacing w:line="360" w:lineRule="auto"/>
        <w:rPr>
          <w:rFonts w:cstheme="minorHAnsi"/>
          <w:sz w:val="22"/>
          <w:szCs w:val="22"/>
        </w:rPr>
      </w:pPr>
    </w:p>
    <w:p w:rsidR="003005A0" w:rsidRPr="00D224C2" w:rsidRDefault="003005A0" w:rsidP="00263B7C">
      <w:pPr>
        <w:spacing w:line="360" w:lineRule="auto"/>
        <w:rPr>
          <w:rFonts w:cstheme="minorHAnsi"/>
          <w:b/>
          <w:sz w:val="22"/>
          <w:szCs w:val="22"/>
          <w:lang w:val="en-US"/>
        </w:rPr>
      </w:pPr>
      <w:r w:rsidRPr="00D224C2">
        <w:rPr>
          <w:rFonts w:cstheme="minorHAnsi"/>
          <w:b/>
          <w:sz w:val="22"/>
          <w:szCs w:val="22"/>
          <w:lang w:val="en-US"/>
        </w:rPr>
        <w:t xml:space="preserve">Table </w:t>
      </w:r>
      <w:r w:rsidR="00263B7C" w:rsidRPr="00D224C2">
        <w:rPr>
          <w:rFonts w:cstheme="minorHAnsi"/>
          <w:b/>
          <w:sz w:val="22"/>
          <w:szCs w:val="22"/>
          <w:lang w:val="en-US"/>
        </w:rPr>
        <w:t>A1</w:t>
      </w:r>
      <w:r w:rsidRPr="00D224C2">
        <w:rPr>
          <w:rFonts w:cstheme="minorHAnsi"/>
          <w:b/>
          <w:sz w:val="22"/>
          <w:szCs w:val="22"/>
          <w:lang w:val="en-US"/>
        </w:rPr>
        <w:t xml:space="preserve">. </w:t>
      </w:r>
      <w:r w:rsidRPr="00D224C2">
        <w:rPr>
          <w:rFonts w:cstheme="minorHAnsi"/>
          <w:sz w:val="22"/>
          <w:szCs w:val="22"/>
          <w:lang w:val="en-US"/>
        </w:rPr>
        <w:t xml:space="preserve">Prior checking of summary statistics used to test scenarios in ABC analyses. </w:t>
      </w:r>
      <w:r w:rsidRPr="00D224C2">
        <w:rPr>
          <w:rFonts w:cstheme="minorHAnsi"/>
          <w:sz w:val="22"/>
          <w:szCs w:val="22"/>
          <w:lang w:val="en-GB"/>
        </w:rPr>
        <w:t xml:space="preserve">One sample summary statistics for nine microsatellite loci for each sample were mean number of alleles, mean genetic diversity (6 summary statistics), and two sample (pairwise) summary statistics were mean number of alleles, mean genetic diversity and </w:t>
      </w:r>
      <w:r w:rsidRPr="00D224C2">
        <w:rPr>
          <w:rFonts w:cstheme="minorHAnsi"/>
          <w:i/>
          <w:sz w:val="22"/>
          <w:szCs w:val="22"/>
          <w:lang w:val="en-GB"/>
        </w:rPr>
        <w:t>F</w:t>
      </w:r>
      <w:r w:rsidRPr="00D224C2">
        <w:rPr>
          <w:rFonts w:cstheme="minorHAnsi"/>
          <w:i/>
          <w:sz w:val="22"/>
          <w:szCs w:val="22"/>
          <w:vertAlign w:val="subscript"/>
          <w:lang w:val="en-GB"/>
        </w:rPr>
        <w:t>ST</w:t>
      </w:r>
      <w:r w:rsidRPr="00D224C2">
        <w:rPr>
          <w:rFonts w:cstheme="minorHAnsi"/>
          <w:sz w:val="22"/>
          <w:szCs w:val="22"/>
          <w:lang w:val="en-GB"/>
        </w:rPr>
        <w:t xml:space="preserve"> (9 summary statistics). For each chloroplast region, one sample summary statistics were mean number of haplotypes, number of segregating sites, mean of pairwise differences and Tajima’s D (12 summary statistics for each region), and two sample (pairwise) summary statistics were number of segregating sites and </w:t>
      </w:r>
      <w:r w:rsidRPr="00D224C2">
        <w:rPr>
          <w:rFonts w:cstheme="minorHAnsi"/>
          <w:i/>
          <w:sz w:val="22"/>
          <w:szCs w:val="22"/>
          <w:lang w:val="en-GB"/>
        </w:rPr>
        <w:t>F</w:t>
      </w:r>
      <w:r w:rsidRPr="00D224C2">
        <w:rPr>
          <w:rFonts w:cstheme="minorHAnsi"/>
          <w:i/>
          <w:sz w:val="22"/>
          <w:szCs w:val="22"/>
          <w:vertAlign w:val="subscript"/>
          <w:lang w:val="en-GB"/>
        </w:rPr>
        <w:t>ST</w:t>
      </w:r>
      <w:r w:rsidRPr="00D224C2">
        <w:rPr>
          <w:rFonts w:cstheme="minorHAnsi"/>
          <w:sz w:val="22"/>
          <w:szCs w:val="22"/>
          <w:lang w:val="en-GB"/>
        </w:rPr>
        <w:t xml:space="preserve"> (6 summary statistics for each region). </w:t>
      </w:r>
      <w:r w:rsidRPr="00D224C2">
        <w:rPr>
          <w:rFonts w:cstheme="minorHAnsi"/>
          <w:sz w:val="22"/>
          <w:szCs w:val="22"/>
          <w:lang w:val="en-US"/>
        </w:rPr>
        <w:t xml:space="preserve">Asterisks denote those summary statistics in each scenario that showed statistical differences from the values estimated from observed data. </w:t>
      </w:r>
      <w:r w:rsidRPr="00D224C2">
        <w:rPr>
          <w:rFonts w:cstheme="minorHAnsi"/>
          <w:sz w:val="22"/>
          <w:szCs w:val="22"/>
          <w:lang w:val="en-GB"/>
        </w:rPr>
        <w:t>Exceptions were eight summary statistics for scenario 1, seven summary statistics for scenario 2, 11 summary statistics for scenario 3, and five summary statistics for scenario 4.</w:t>
      </w:r>
      <w:r w:rsidRPr="00D224C2">
        <w:rPr>
          <w:rFonts w:cstheme="minorHAnsi"/>
          <w:sz w:val="22"/>
          <w:szCs w:val="22"/>
          <w:lang w:val="en-US"/>
        </w:rPr>
        <w:t xml:space="preserve"> </w:t>
      </w:r>
    </w:p>
    <w:p w:rsidR="003005A0" w:rsidRPr="00D224C2" w:rsidRDefault="003005A0" w:rsidP="00263B7C">
      <w:pPr>
        <w:spacing w:line="360" w:lineRule="auto"/>
        <w:rPr>
          <w:rFonts w:cstheme="minorHAnsi"/>
          <w:sz w:val="22"/>
          <w:szCs w:val="22"/>
          <w:lang w:val="en-US"/>
        </w:rPr>
      </w:pPr>
    </w:p>
    <w:p w:rsidR="003005A0" w:rsidRPr="00D224C2" w:rsidRDefault="003005A0" w:rsidP="00263B7C">
      <w:pPr>
        <w:spacing w:line="360" w:lineRule="auto"/>
        <w:rPr>
          <w:rFonts w:cstheme="minorHAnsi"/>
          <w:b/>
          <w:sz w:val="22"/>
          <w:szCs w:val="22"/>
          <w:lang w:val="en-US"/>
        </w:rPr>
      </w:pPr>
    </w:p>
    <w:tbl>
      <w:tblPr>
        <w:tblW w:w="7000" w:type="dxa"/>
        <w:jc w:val="center"/>
        <w:tblCellMar>
          <w:left w:w="70" w:type="dxa"/>
          <w:right w:w="70" w:type="dxa"/>
        </w:tblCellMar>
        <w:tblLook w:val="04A0" w:firstRow="1" w:lastRow="0" w:firstColumn="1" w:lastColumn="0" w:noHBand="0" w:noVBand="1"/>
      </w:tblPr>
      <w:tblGrid>
        <w:gridCol w:w="1300"/>
        <w:gridCol w:w="1060"/>
        <w:gridCol w:w="1160"/>
        <w:gridCol w:w="1160"/>
        <w:gridCol w:w="1160"/>
        <w:gridCol w:w="1160"/>
      </w:tblGrid>
      <w:tr w:rsidR="003005A0" w:rsidRPr="00D224C2" w:rsidTr="002A6088">
        <w:trPr>
          <w:trHeight w:val="680"/>
          <w:tblHeader/>
          <w:jc w:val="center"/>
        </w:trPr>
        <w:tc>
          <w:tcPr>
            <w:tcW w:w="1300" w:type="dxa"/>
            <w:tcBorders>
              <w:top w:val="single" w:sz="4" w:space="0" w:color="auto"/>
              <w:left w:val="nil"/>
              <w:bottom w:val="single" w:sz="4" w:space="0" w:color="auto"/>
              <w:right w:val="nil"/>
            </w:tcBorders>
            <w:shd w:val="clear" w:color="auto" w:fill="auto"/>
            <w:vAlign w:val="center"/>
            <w:hideMark/>
          </w:tcPr>
          <w:p w:rsidR="003005A0" w:rsidRPr="00D224C2" w:rsidRDefault="003005A0" w:rsidP="00263B7C">
            <w:pPr>
              <w:spacing w:line="360" w:lineRule="auto"/>
              <w:jc w:val="center"/>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Summary statistic</w:t>
            </w:r>
          </w:p>
        </w:tc>
        <w:tc>
          <w:tcPr>
            <w:tcW w:w="1060" w:type="dxa"/>
            <w:tcBorders>
              <w:top w:val="single" w:sz="4" w:space="0" w:color="auto"/>
              <w:left w:val="nil"/>
              <w:bottom w:val="single" w:sz="4" w:space="0" w:color="auto"/>
              <w:right w:val="nil"/>
            </w:tcBorders>
            <w:shd w:val="clear" w:color="auto" w:fill="auto"/>
            <w:vAlign w:val="center"/>
            <w:hideMark/>
          </w:tcPr>
          <w:p w:rsidR="003005A0" w:rsidRPr="00D224C2" w:rsidRDefault="003005A0" w:rsidP="00263B7C">
            <w:pPr>
              <w:spacing w:line="360" w:lineRule="auto"/>
              <w:jc w:val="center"/>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Observed value</w:t>
            </w:r>
          </w:p>
        </w:tc>
        <w:tc>
          <w:tcPr>
            <w:tcW w:w="1160" w:type="dxa"/>
            <w:tcBorders>
              <w:top w:val="single" w:sz="4" w:space="0" w:color="auto"/>
              <w:left w:val="nil"/>
              <w:bottom w:val="single" w:sz="4" w:space="0" w:color="auto"/>
              <w:right w:val="nil"/>
            </w:tcBorders>
            <w:shd w:val="clear" w:color="auto" w:fill="auto"/>
            <w:vAlign w:val="center"/>
            <w:hideMark/>
          </w:tcPr>
          <w:p w:rsidR="003005A0" w:rsidRPr="00D224C2" w:rsidRDefault="003005A0" w:rsidP="00263B7C">
            <w:pPr>
              <w:spacing w:line="360" w:lineRule="auto"/>
              <w:jc w:val="center"/>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Scenario 1</w:t>
            </w:r>
          </w:p>
        </w:tc>
        <w:tc>
          <w:tcPr>
            <w:tcW w:w="1160" w:type="dxa"/>
            <w:tcBorders>
              <w:top w:val="single" w:sz="4" w:space="0" w:color="auto"/>
              <w:left w:val="nil"/>
              <w:bottom w:val="single" w:sz="4" w:space="0" w:color="auto"/>
              <w:right w:val="nil"/>
            </w:tcBorders>
            <w:shd w:val="clear" w:color="auto" w:fill="auto"/>
            <w:vAlign w:val="center"/>
            <w:hideMark/>
          </w:tcPr>
          <w:p w:rsidR="003005A0" w:rsidRPr="00D224C2" w:rsidRDefault="003005A0" w:rsidP="00263B7C">
            <w:pPr>
              <w:spacing w:line="360" w:lineRule="auto"/>
              <w:jc w:val="center"/>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Scenario 2</w:t>
            </w:r>
          </w:p>
        </w:tc>
        <w:tc>
          <w:tcPr>
            <w:tcW w:w="1160" w:type="dxa"/>
            <w:tcBorders>
              <w:top w:val="single" w:sz="4" w:space="0" w:color="auto"/>
              <w:left w:val="nil"/>
              <w:bottom w:val="single" w:sz="4" w:space="0" w:color="auto"/>
              <w:right w:val="nil"/>
            </w:tcBorders>
            <w:shd w:val="clear" w:color="auto" w:fill="auto"/>
            <w:vAlign w:val="center"/>
            <w:hideMark/>
          </w:tcPr>
          <w:p w:rsidR="003005A0" w:rsidRPr="00D224C2" w:rsidRDefault="003005A0" w:rsidP="00263B7C">
            <w:pPr>
              <w:spacing w:line="360" w:lineRule="auto"/>
              <w:jc w:val="center"/>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Scenario 3</w:t>
            </w:r>
          </w:p>
        </w:tc>
        <w:tc>
          <w:tcPr>
            <w:tcW w:w="1160" w:type="dxa"/>
            <w:tcBorders>
              <w:top w:val="single" w:sz="4" w:space="0" w:color="auto"/>
              <w:left w:val="nil"/>
              <w:bottom w:val="single" w:sz="4" w:space="0" w:color="auto"/>
              <w:right w:val="nil"/>
            </w:tcBorders>
            <w:shd w:val="clear" w:color="auto" w:fill="auto"/>
            <w:vAlign w:val="center"/>
            <w:hideMark/>
          </w:tcPr>
          <w:p w:rsidR="003005A0" w:rsidRPr="00D224C2" w:rsidRDefault="003005A0" w:rsidP="00263B7C">
            <w:pPr>
              <w:spacing w:line="360" w:lineRule="auto"/>
              <w:jc w:val="center"/>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Scenario 4</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NAL_1_1</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10.778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0.3633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0.8523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0.6872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0.4405</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NAL_1_2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3.889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0.1884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0.1888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0.1842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0.189</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NAL_1_3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2.556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0.4459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0.4468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0.4501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0.447</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HET_1_1</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0.579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0.0969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0.2206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0.1594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0.1254</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HET_1_2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0.566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0.1862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0.1866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0.1829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0.1866</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HET_1_3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0.268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0.3478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0.3476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0.3495</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0.3484</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N2P_1_1&amp;2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11.222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0.266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0.3782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0.2722</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N2P_1_1&amp;3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11.000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0.3062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0.8537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0.5033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0.4235</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N2P_1_2&amp;3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5.222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0.1522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0.1522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0.1402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0.1523</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H2P_1_1&amp;2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0.601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0.0929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0.2022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0.1449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0.1171</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H2P_1_1&amp;3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0.623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0.0928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0.2502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0.1484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0.1383</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H2P_1_2&amp;3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0.585</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0.1426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0.1425</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0.1262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0.1427</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FST_1_1&amp;2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0.258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0.8126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0.5863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0.643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0.7429</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FST_1_1&amp;3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0.439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0.8578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0.9247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0.751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0.914</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lastRenderedPageBreak/>
              <w:t>FST_1_2&amp;3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0.521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0.6576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0.6579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0.6461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0.6572</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NHA_2_1</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0.1161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0.1547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0.1472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0.1142</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NHA_2_2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2.000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0.668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0.6676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0.6654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0.6685</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NHA_2_3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0.4622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0.4621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0.4621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0.462</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NSS_2_1</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0.1161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0.1547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0.1472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0.1142</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NSS_2_2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12.000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0.9783*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0.9782*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0.973*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0.9784*</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NSS_2_3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0.4622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0.4621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0.4621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0.462</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MPD_2_1</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0.1161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0.1547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0.1472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0.1142</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MPD_2_2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1.500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0.8904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0.8909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0.8848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0.8912</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MPD_2_3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0.4622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0.4621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0.4621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0.462</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DTA_2_1</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0.432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0.6594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0.6223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0.4324</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DTA_2_2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-2.236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0.0007***</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DTA_2_3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0.5035</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0.5034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0.5033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0.5033</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NS2_2_1&amp;2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12.000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0.8333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0.5035</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0.4319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0.6037</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NS2_2_1&amp;3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0.0213*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0.124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0.019*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0.0583</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NS2_2_2&amp;3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12.000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0.5683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0.568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0.4908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0.5683</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HST_2_1&amp;2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0.997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0.8904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0.6476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0.6519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0.819</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HST_2_1&amp;3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0.0502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0.5809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0.0303*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0.3609</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HST_2_2&amp;3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0.684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0.0705</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0.0701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0.053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0.0702</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NHA_3_1</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5.000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0.1797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0.2026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0.1963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0.1842</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NHA_3_2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0.0759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0.0757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0.0752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0.0756</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NHA_3_3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2.000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0.6973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0.6969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0.6971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0.6963</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NSS_3_1</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9.000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0.2606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0.3481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0.3293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0.2582</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NSS_3_2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0.0759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0.0757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0.0752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0.0756</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NSS_3_3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0.6849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0.6847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0.6849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0.684</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MPD_3_1</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1.477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0.2738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0.4567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0.3954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0.2876</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MPD_3_2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0.0759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0.0757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0.0752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0.0756</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MPD_3_3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0.520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0.8571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0.8569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0.8579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0.8564</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DTA_3_1</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0.4192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0.7925</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0.7225</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0.4673</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DTA_3_2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0.4661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0.465</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0.4647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0.4648</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lastRenderedPageBreak/>
              <w:t>DTA_3_3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1.554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0.9729*</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0.973*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0.973*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0.9728*</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NS2_3_1&amp;2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11.000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0.1204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0.0451*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0.0346*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0.0731</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NS2_3_1&amp;3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9.000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0.035*</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0.2694</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0.0298*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0.1214</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NS2_3_2&amp;3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3.000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0.0126*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0.0126*</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0.0124*</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HST_3_1&amp;2</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0.590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0.5042</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0.0048**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0.0027**</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0.3859</w:t>
            </w:r>
          </w:p>
        </w:tc>
      </w:tr>
      <w:tr w:rsidR="003005A0" w:rsidRPr="00D224C2" w:rsidTr="002A6088">
        <w:trPr>
          <w:trHeight w:val="320"/>
          <w:jc w:val="center"/>
        </w:trPr>
        <w:tc>
          <w:tcPr>
            <w:tcW w:w="130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HST_3_1&amp;3</w:t>
            </w:r>
          </w:p>
        </w:tc>
        <w:tc>
          <w:tcPr>
            <w:tcW w:w="10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-0.180</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0.0021**</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0.1803</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0.0008***</w:t>
            </w:r>
          </w:p>
        </w:tc>
        <w:tc>
          <w:tcPr>
            <w:tcW w:w="1160" w:type="dxa"/>
            <w:tcBorders>
              <w:top w:val="nil"/>
              <w:left w:val="nil"/>
              <w:bottom w:val="nil"/>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0.1625</w:t>
            </w:r>
          </w:p>
        </w:tc>
      </w:tr>
      <w:tr w:rsidR="003005A0" w:rsidRPr="00D224C2" w:rsidTr="002A6088">
        <w:trPr>
          <w:trHeight w:val="320"/>
          <w:jc w:val="center"/>
        </w:trPr>
        <w:tc>
          <w:tcPr>
            <w:tcW w:w="1300" w:type="dxa"/>
            <w:tcBorders>
              <w:top w:val="nil"/>
              <w:left w:val="nil"/>
              <w:bottom w:val="single" w:sz="4" w:space="0" w:color="auto"/>
              <w:right w:val="nil"/>
            </w:tcBorders>
            <w:shd w:val="clear" w:color="auto" w:fill="auto"/>
            <w:noWrap/>
            <w:vAlign w:val="bottom"/>
            <w:hideMark/>
          </w:tcPr>
          <w:p w:rsidR="003005A0" w:rsidRPr="00D224C2" w:rsidRDefault="003005A0" w:rsidP="00263B7C">
            <w:pPr>
              <w:spacing w:line="360" w:lineRule="auto"/>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HST_3_2&amp;3</w:t>
            </w:r>
          </w:p>
        </w:tc>
        <w:tc>
          <w:tcPr>
            <w:tcW w:w="1060" w:type="dxa"/>
            <w:tcBorders>
              <w:top w:val="nil"/>
              <w:left w:val="nil"/>
              <w:bottom w:val="single" w:sz="4" w:space="0" w:color="auto"/>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0.861</w:t>
            </w:r>
          </w:p>
        </w:tc>
        <w:tc>
          <w:tcPr>
            <w:tcW w:w="1160" w:type="dxa"/>
            <w:tcBorders>
              <w:top w:val="nil"/>
              <w:left w:val="nil"/>
              <w:bottom w:val="single" w:sz="4" w:space="0" w:color="auto"/>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0.04*</w:t>
            </w:r>
          </w:p>
        </w:tc>
        <w:tc>
          <w:tcPr>
            <w:tcW w:w="1160" w:type="dxa"/>
            <w:tcBorders>
              <w:top w:val="nil"/>
              <w:left w:val="nil"/>
              <w:bottom w:val="single" w:sz="4" w:space="0" w:color="auto"/>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0.0401*</w:t>
            </w:r>
          </w:p>
        </w:tc>
        <w:tc>
          <w:tcPr>
            <w:tcW w:w="1160" w:type="dxa"/>
            <w:tcBorders>
              <w:top w:val="nil"/>
              <w:left w:val="nil"/>
              <w:bottom w:val="single" w:sz="4" w:space="0" w:color="auto"/>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0.0284*</w:t>
            </w:r>
          </w:p>
        </w:tc>
        <w:tc>
          <w:tcPr>
            <w:tcW w:w="1160" w:type="dxa"/>
            <w:tcBorders>
              <w:top w:val="nil"/>
              <w:left w:val="nil"/>
              <w:bottom w:val="single" w:sz="4" w:space="0" w:color="auto"/>
              <w:right w:val="nil"/>
            </w:tcBorders>
            <w:shd w:val="clear" w:color="auto" w:fill="auto"/>
            <w:noWrap/>
            <w:vAlign w:val="bottom"/>
            <w:hideMark/>
          </w:tcPr>
          <w:p w:rsidR="003005A0" w:rsidRPr="00D224C2" w:rsidRDefault="003005A0" w:rsidP="00263B7C">
            <w:pPr>
              <w:spacing w:line="360" w:lineRule="auto"/>
              <w:jc w:val="right"/>
              <w:rPr>
                <w:rFonts w:eastAsia="Times New Roman" w:cstheme="minorHAnsi"/>
                <w:color w:val="000000"/>
                <w:sz w:val="22"/>
                <w:szCs w:val="22"/>
                <w:lang w:eastAsia="es-ES_tradnl"/>
              </w:rPr>
            </w:pPr>
            <w:r w:rsidRPr="00D224C2">
              <w:rPr>
                <w:rFonts w:eastAsia="Times New Roman" w:cstheme="minorHAnsi"/>
                <w:color w:val="000000"/>
                <w:sz w:val="22"/>
                <w:szCs w:val="22"/>
                <w:lang w:eastAsia="es-ES_tradnl"/>
              </w:rPr>
              <w:t>0.0399*</w:t>
            </w:r>
          </w:p>
        </w:tc>
      </w:tr>
    </w:tbl>
    <w:p w:rsidR="003005A0" w:rsidRPr="00D224C2" w:rsidRDefault="003005A0" w:rsidP="00263B7C">
      <w:pPr>
        <w:spacing w:line="360" w:lineRule="auto"/>
        <w:rPr>
          <w:rFonts w:cstheme="minorHAnsi"/>
          <w:b/>
          <w:sz w:val="22"/>
          <w:szCs w:val="22"/>
          <w:lang w:val="en-US"/>
        </w:rPr>
      </w:pPr>
    </w:p>
    <w:p w:rsidR="003005A0" w:rsidRPr="00D224C2" w:rsidRDefault="00D224C2" w:rsidP="00263B7C">
      <w:pPr>
        <w:spacing w:line="360" w:lineRule="auto"/>
        <w:rPr>
          <w:rFonts w:cstheme="minorHAnsi"/>
          <w:b/>
          <w:sz w:val="22"/>
          <w:szCs w:val="22"/>
          <w:lang w:val="en-US"/>
        </w:rPr>
      </w:pPr>
      <w:r w:rsidRPr="00D224C2">
        <w:rPr>
          <w:rFonts w:cstheme="minorHAnsi"/>
          <w:b/>
          <w:sz w:val="22"/>
          <w:szCs w:val="22"/>
          <w:lang w:val="en-US"/>
        </w:rPr>
        <w:t>References</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Castellanos-Morales G, Paredes-Torres LM, Gámez N, Hernández-Rosales HS, Sánchez-de la Vega G, Barrera-Redondo J, Aguirre-Planter E, Vázquez-Lobo A, Montes-Hernández S, Lira-Saade R, et al. 2018. Historical biogeography and phylogeny of </w:t>
      </w:r>
      <w:r w:rsidRPr="00D224C2">
        <w:rPr>
          <w:rFonts w:cstheme="minorHAnsi"/>
          <w:i/>
          <w:sz w:val="22"/>
          <w:szCs w:val="22"/>
          <w:lang w:val="en-GB"/>
        </w:rPr>
        <w:t>Cucurbita</w:t>
      </w:r>
      <w:r w:rsidRPr="00D224C2">
        <w:rPr>
          <w:rFonts w:cstheme="minorHAnsi"/>
          <w:sz w:val="22"/>
          <w:szCs w:val="22"/>
          <w:lang w:val="en-GB"/>
        </w:rPr>
        <w:t xml:space="preserve">: insights from ancestral area reconstruction and niche evolution. </w:t>
      </w:r>
      <w:r w:rsidRPr="00D224C2">
        <w:rPr>
          <w:rFonts w:cstheme="minorHAnsi"/>
          <w:i/>
          <w:sz w:val="22"/>
          <w:szCs w:val="22"/>
          <w:lang w:val="en-GB"/>
        </w:rPr>
        <w:t>Molecular Phylogenetics and Evolution</w:t>
      </w:r>
      <w:r w:rsidRPr="00D224C2">
        <w:rPr>
          <w:rFonts w:cstheme="minorHAnsi"/>
          <w:sz w:val="22"/>
          <w:szCs w:val="22"/>
          <w:lang w:val="en-GB"/>
        </w:rPr>
        <w:t xml:space="preserve"> 128: 38-54. doi: 10.1016/j.ympev.2018.07.016.</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Gordon D, Abajian C, Green P. 1998. Consed: a graphical tool for sequence finishing. </w:t>
      </w:r>
      <w:r w:rsidRPr="00D224C2">
        <w:rPr>
          <w:rFonts w:cstheme="minorHAnsi"/>
          <w:i/>
          <w:sz w:val="22"/>
          <w:szCs w:val="22"/>
          <w:lang w:val="en-GB"/>
        </w:rPr>
        <w:t>Genome Research</w:t>
      </w:r>
      <w:r w:rsidRPr="00D224C2">
        <w:rPr>
          <w:rFonts w:cstheme="minorHAnsi"/>
          <w:sz w:val="22"/>
          <w:szCs w:val="22"/>
          <w:lang w:val="en-GB"/>
        </w:rPr>
        <w:t xml:space="preserve"> 8: 195-202. doi: 10.1101/gr.8.3.195.</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Kistler L, Newsom LA, Ryan TM, Clarke AC, Smith BD, Perry GH. 2015. Gourds and squashes (</w:t>
      </w:r>
      <w:r w:rsidRPr="00D224C2">
        <w:rPr>
          <w:rFonts w:cstheme="minorHAnsi"/>
          <w:i/>
          <w:sz w:val="22"/>
          <w:szCs w:val="22"/>
          <w:lang w:val="en-GB"/>
        </w:rPr>
        <w:t xml:space="preserve">Cucurbita </w:t>
      </w:r>
      <w:r w:rsidRPr="00D224C2">
        <w:rPr>
          <w:rFonts w:cstheme="minorHAnsi"/>
          <w:sz w:val="22"/>
          <w:szCs w:val="22"/>
          <w:lang w:val="en-GB"/>
        </w:rPr>
        <w:t xml:space="preserve">spp.) adapted to megafaunal extinction and ecological anachronism through domestication. </w:t>
      </w:r>
      <w:r w:rsidRPr="00D224C2">
        <w:rPr>
          <w:rFonts w:cstheme="minorHAnsi"/>
          <w:i/>
          <w:sz w:val="22"/>
          <w:szCs w:val="22"/>
          <w:lang w:val="en-GB"/>
        </w:rPr>
        <w:t>Proceedings of the National Academy of Science of the United States of America</w:t>
      </w:r>
      <w:r w:rsidRPr="00D224C2">
        <w:rPr>
          <w:rFonts w:cstheme="minorHAnsi"/>
          <w:sz w:val="22"/>
          <w:szCs w:val="22"/>
          <w:lang w:val="en-GB"/>
        </w:rPr>
        <w:t xml:space="preserve"> 112(49): 15107-15112. doi: 10.1073/pnas.1516109112.</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Camacho C, Coulouris G, Avagyan V, Ma N, Papadopoulos J, Bealer K, Madden TL. 2009. BLAST+: architecture and applications. </w:t>
      </w:r>
      <w:r w:rsidRPr="00D224C2">
        <w:rPr>
          <w:rFonts w:cstheme="minorHAnsi"/>
          <w:i/>
          <w:sz w:val="22"/>
          <w:szCs w:val="22"/>
          <w:lang w:val="en-GB"/>
        </w:rPr>
        <w:t>BMC Bioinformatics</w:t>
      </w:r>
      <w:r w:rsidRPr="00D224C2">
        <w:rPr>
          <w:rFonts w:cstheme="minorHAnsi"/>
          <w:sz w:val="22"/>
          <w:szCs w:val="22"/>
          <w:lang w:val="en-GB"/>
        </w:rPr>
        <w:t xml:space="preserve"> 10: 421. doi: 10.1186/1471-2105-10-421.</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Rice P, Longden I, Bleasby A. 2000. EMBOSS: the European Molecular Biology Open Software Suite. </w:t>
      </w:r>
      <w:r w:rsidRPr="00D224C2">
        <w:rPr>
          <w:rFonts w:cstheme="minorHAnsi"/>
          <w:i/>
          <w:sz w:val="22"/>
          <w:szCs w:val="22"/>
          <w:lang w:val="en-GB"/>
        </w:rPr>
        <w:t>Trends in Genetics</w:t>
      </w:r>
      <w:r w:rsidRPr="00D224C2">
        <w:rPr>
          <w:rFonts w:cstheme="minorHAnsi"/>
          <w:sz w:val="22"/>
          <w:szCs w:val="22"/>
          <w:lang w:val="en-GB"/>
        </w:rPr>
        <w:t xml:space="preserve"> 16(6): 276-277. doi: 10.1016/S0168-9525(00)02024-2.</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Larkin MA, Blackshields G, Brown NP, Chenna R, McGettingan PA, McWilliam H, Valentin F, Wallace IM, Wilm A, Lopez R, Thompson JD, Gibson TJ, Higgins DG. 2007. Clustal W and Clustal X version 2.0. </w:t>
      </w:r>
      <w:r w:rsidRPr="00D224C2">
        <w:rPr>
          <w:rFonts w:cstheme="minorHAnsi"/>
          <w:i/>
          <w:sz w:val="22"/>
          <w:szCs w:val="22"/>
          <w:lang w:val="en-GB"/>
        </w:rPr>
        <w:t>Bioinformatics</w:t>
      </w:r>
      <w:r w:rsidRPr="00D224C2">
        <w:rPr>
          <w:rFonts w:cstheme="minorHAnsi"/>
          <w:sz w:val="22"/>
          <w:szCs w:val="22"/>
          <w:lang w:val="en-GB"/>
        </w:rPr>
        <w:t xml:space="preserve"> 23: 2947-2948. doi: 10.1093/bioinformatics/btm404.</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Librado P, Rozas J. 2009. DnaSP v5: a software for comprehensive analysis of DNA polymorphism data. </w:t>
      </w:r>
      <w:r w:rsidRPr="00D224C2">
        <w:rPr>
          <w:rFonts w:cstheme="minorHAnsi"/>
          <w:i/>
          <w:sz w:val="22"/>
          <w:szCs w:val="22"/>
          <w:lang w:val="en-GB"/>
        </w:rPr>
        <w:t>Bioinformatics</w:t>
      </w:r>
      <w:r w:rsidRPr="00D224C2">
        <w:rPr>
          <w:rFonts w:cstheme="minorHAnsi"/>
          <w:sz w:val="22"/>
          <w:szCs w:val="22"/>
          <w:lang w:val="en-GB"/>
        </w:rPr>
        <w:t xml:space="preserve"> 25: 1451-1452. doi: 10.1093/bioinformatics/btp187.</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Jombart T, Pontier D, Dufour A-B. 2009. Genetic markers in the playground of multivariate analysis. </w:t>
      </w:r>
      <w:r w:rsidRPr="00D224C2">
        <w:rPr>
          <w:rFonts w:cstheme="minorHAnsi"/>
          <w:i/>
          <w:sz w:val="22"/>
          <w:szCs w:val="22"/>
          <w:lang w:val="en-GB"/>
        </w:rPr>
        <w:t>Heredity</w:t>
      </w:r>
      <w:r w:rsidRPr="00D224C2">
        <w:rPr>
          <w:rFonts w:cstheme="minorHAnsi"/>
          <w:sz w:val="22"/>
          <w:szCs w:val="22"/>
          <w:lang w:val="en-GB"/>
        </w:rPr>
        <w:t xml:space="preserve"> 102: 330-341. doi: 10.1038/hdy.2008.130.</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lastRenderedPageBreak/>
        <w:t xml:space="preserve">Jombart T, Devillard S, Balloux F. 2010. Discriminant analysis of principal components: a new method for the analysis of genetically structured populations. </w:t>
      </w:r>
      <w:r w:rsidRPr="00D224C2">
        <w:rPr>
          <w:rFonts w:cstheme="minorHAnsi"/>
          <w:i/>
          <w:sz w:val="22"/>
          <w:szCs w:val="22"/>
          <w:lang w:val="en-GB"/>
        </w:rPr>
        <w:t>BMC Genetics</w:t>
      </w:r>
      <w:r w:rsidRPr="00D224C2">
        <w:rPr>
          <w:rFonts w:cstheme="minorHAnsi"/>
          <w:sz w:val="22"/>
          <w:szCs w:val="22"/>
          <w:lang w:val="en-GB"/>
        </w:rPr>
        <w:t xml:space="preserve"> 11: 94. doi: 10.1186/1471-2156-11-94.</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Goudet J. 2004. Hierfstat, a package for R to compute and test hierarchical </w:t>
      </w:r>
      <w:r w:rsidRPr="00D224C2">
        <w:rPr>
          <w:rFonts w:cstheme="minorHAnsi"/>
          <w:i/>
          <w:sz w:val="22"/>
          <w:szCs w:val="22"/>
          <w:lang w:val="en-GB"/>
        </w:rPr>
        <w:t>F</w:t>
      </w:r>
      <w:r w:rsidRPr="00D224C2">
        <w:rPr>
          <w:rFonts w:cstheme="minorHAnsi"/>
          <w:sz w:val="22"/>
          <w:szCs w:val="22"/>
          <w:lang w:val="en-GB"/>
        </w:rPr>
        <w:t xml:space="preserve">-statistics. </w:t>
      </w:r>
      <w:r w:rsidRPr="00D224C2">
        <w:rPr>
          <w:rFonts w:cstheme="minorHAnsi"/>
          <w:i/>
          <w:sz w:val="22"/>
          <w:szCs w:val="22"/>
          <w:lang w:val="en-GB"/>
        </w:rPr>
        <w:t>Molecular Ecology Notes</w:t>
      </w:r>
      <w:r w:rsidRPr="00D224C2">
        <w:rPr>
          <w:rFonts w:cstheme="minorHAnsi"/>
          <w:sz w:val="22"/>
          <w:szCs w:val="22"/>
          <w:lang w:val="en-GB"/>
        </w:rPr>
        <w:t xml:space="preserve"> 5(1): 184-186. doi: 10.1111/j.1471-8286.2004.00828.x.</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Dixon P. 2009. VEGAN, a package of R functions for community ecology. </w:t>
      </w:r>
      <w:r w:rsidRPr="00D224C2">
        <w:rPr>
          <w:rFonts w:cstheme="minorHAnsi"/>
          <w:i/>
          <w:sz w:val="22"/>
          <w:szCs w:val="22"/>
          <w:lang w:val="en-GB"/>
        </w:rPr>
        <w:t>Journal of Vegetation Science</w:t>
      </w:r>
      <w:r w:rsidRPr="00D224C2">
        <w:rPr>
          <w:rFonts w:cstheme="minorHAnsi"/>
          <w:sz w:val="22"/>
          <w:szCs w:val="22"/>
          <w:lang w:val="en-GB"/>
        </w:rPr>
        <w:t xml:space="preserve"> 14(6): 927-930. doi: 10.1111/j.1654-1103.2003.tb02228.x.</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Sánchez-de la Vega G, Castellanos-Morales G, Gámez N, Hernández-Rosales HS, Vázquez-Lobo A, Aguirre-Planter E, Jaramillo-Correa JP, Montes-Hernández S, Lira-Saade R, Eguiarte LE. 2018. Genetic resources in the “calabaza pipiana” squash (</w:t>
      </w:r>
      <w:r w:rsidRPr="00D224C2">
        <w:rPr>
          <w:rFonts w:cstheme="minorHAnsi"/>
          <w:i/>
          <w:sz w:val="22"/>
          <w:szCs w:val="22"/>
          <w:lang w:val="en-GB"/>
        </w:rPr>
        <w:t>Cucurbita argyrosperma</w:t>
      </w:r>
      <w:r w:rsidRPr="00D224C2">
        <w:rPr>
          <w:rFonts w:cstheme="minorHAnsi"/>
          <w:sz w:val="22"/>
          <w:szCs w:val="22"/>
          <w:lang w:val="en-GB"/>
        </w:rPr>
        <w:t xml:space="preserve">) in Mexico: genetic diversity, genetic differentiation and distribution models. </w:t>
      </w:r>
      <w:r w:rsidRPr="00D224C2">
        <w:rPr>
          <w:rFonts w:cstheme="minorHAnsi"/>
          <w:i/>
          <w:sz w:val="22"/>
          <w:szCs w:val="22"/>
          <w:lang w:val="en-GB"/>
        </w:rPr>
        <w:t>Frontiers in Plant Science</w:t>
      </w:r>
      <w:r w:rsidRPr="00D224C2">
        <w:rPr>
          <w:rFonts w:cstheme="minorHAnsi"/>
          <w:sz w:val="22"/>
          <w:szCs w:val="22"/>
          <w:lang w:val="en-GB"/>
        </w:rPr>
        <w:t xml:space="preserve"> 9: 400. doi: 10.3389/fpls.2018.00400.</w:t>
      </w:r>
    </w:p>
    <w:p w:rsid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Pritchard JK, Stephens M, Donnelly P. 2000. Inference of population structure using multiloci genotype data. </w:t>
      </w:r>
      <w:r w:rsidRPr="00D224C2">
        <w:rPr>
          <w:rFonts w:cstheme="minorHAnsi"/>
          <w:i/>
          <w:sz w:val="22"/>
          <w:szCs w:val="22"/>
          <w:lang w:val="en-GB"/>
        </w:rPr>
        <w:t>Genetics</w:t>
      </w:r>
      <w:r w:rsidRPr="00D224C2">
        <w:rPr>
          <w:rFonts w:cstheme="minorHAnsi"/>
          <w:sz w:val="22"/>
          <w:szCs w:val="22"/>
          <w:lang w:val="en-GB"/>
        </w:rPr>
        <w:t xml:space="preserve"> 155(2): 945-959.</w:t>
      </w:r>
    </w:p>
    <w:p w:rsidR="00201658" w:rsidRDefault="00201658" w:rsidP="00D224C2">
      <w:pPr>
        <w:pStyle w:val="Prrafodelista"/>
        <w:numPr>
          <w:ilvl w:val="0"/>
          <w:numId w:val="1"/>
        </w:numPr>
        <w:spacing w:line="360" w:lineRule="auto"/>
        <w:ind w:left="142"/>
        <w:rPr>
          <w:rFonts w:cstheme="minorHAnsi"/>
          <w:sz w:val="22"/>
          <w:szCs w:val="22"/>
          <w:lang w:val="en-GB"/>
        </w:rPr>
      </w:pPr>
      <w:r>
        <w:rPr>
          <w:rFonts w:cstheme="minorHAnsi"/>
          <w:sz w:val="22"/>
          <w:szCs w:val="22"/>
          <w:lang w:val="en-GB"/>
        </w:rPr>
        <w:t>Evanno</w:t>
      </w:r>
      <w:r w:rsidR="00E637E4">
        <w:rPr>
          <w:rFonts w:cstheme="minorHAnsi"/>
          <w:sz w:val="22"/>
          <w:szCs w:val="22"/>
          <w:lang w:val="en-GB"/>
        </w:rPr>
        <w:t xml:space="preserve"> G, Regnaut S, Goudet J. 2005. Detecting the number of clusters of individuals using the software STRUCTURE: a simulation study. </w:t>
      </w:r>
      <w:r w:rsidR="00E637E4">
        <w:rPr>
          <w:rFonts w:cstheme="minorHAnsi"/>
          <w:i/>
          <w:iCs/>
          <w:sz w:val="22"/>
          <w:szCs w:val="22"/>
          <w:lang w:val="en-GB"/>
        </w:rPr>
        <w:t xml:space="preserve">Molecular Ecology </w:t>
      </w:r>
      <w:r w:rsidR="00E637E4">
        <w:rPr>
          <w:rFonts w:cstheme="minorHAnsi"/>
          <w:sz w:val="22"/>
          <w:szCs w:val="22"/>
          <w:lang w:val="en-GB"/>
        </w:rPr>
        <w:t>14</w:t>
      </w:r>
      <w:r w:rsidR="007F0A32">
        <w:rPr>
          <w:rFonts w:cstheme="minorHAnsi"/>
          <w:sz w:val="22"/>
          <w:szCs w:val="22"/>
          <w:lang w:val="en-GB"/>
        </w:rPr>
        <w:t>(8)</w:t>
      </w:r>
      <w:r w:rsidR="00E637E4">
        <w:rPr>
          <w:rFonts w:cstheme="minorHAnsi"/>
          <w:sz w:val="22"/>
          <w:szCs w:val="22"/>
          <w:lang w:val="en-GB"/>
        </w:rPr>
        <w:t>: 2611-2620.</w:t>
      </w:r>
    </w:p>
    <w:p w:rsidR="00201658" w:rsidRDefault="00E637E4" w:rsidP="00D224C2">
      <w:pPr>
        <w:pStyle w:val="Prrafodelista"/>
        <w:numPr>
          <w:ilvl w:val="0"/>
          <w:numId w:val="1"/>
        </w:numPr>
        <w:spacing w:line="360" w:lineRule="auto"/>
        <w:ind w:left="142"/>
        <w:rPr>
          <w:rFonts w:cstheme="minorHAnsi"/>
          <w:sz w:val="22"/>
          <w:szCs w:val="22"/>
          <w:lang w:val="en-GB"/>
        </w:rPr>
      </w:pPr>
      <w:r>
        <w:rPr>
          <w:rFonts w:cstheme="minorHAnsi"/>
          <w:sz w:val="22"/>
          <w:szCs w:val="22"/>
          <w:lang w:val="en-GB"/>
        </w:rPr>
        <w:t xml:space="preserve">Earl DA, vonHoldt BM. 2012. STRUCTURE HARVESTER: a website and program for visualizing STRUCTURE output and implementing the Evanno method. </w:t>
      </w:r>
      <w:r>
        <w:rPr>
          <w:rFonts w:cstheme="minorHAnsi"/>
          <w:i/>
          <w:iCs/>
          <w:sz w:val="22"/>
          <w:szCs w:val="22"/>
          <w:lang w:val="en-GB"/>
        </w:rPr>
        <w:t xml:space="preserve">Conservation Genetics Resources </w:t>
      </w:r>
      <w:r>
        <w:rPr>
          <w:rFonts w:cstheme="minorHAnsi"/>
          <w:sz w:val="22"/>
          <w:szCs w:val="22"/>
          <w:lang w:val="en-GB"/>
        </w:rPr>
        <w:t>4</w:t>
      </w:r>
      <w:r w:rsidR="007F0A32">
        <w:rPr>
          <w:rFonts w:cstheme="minorHAnsi"/>
          <w:sz w:val="22"/>
          <w:szCs w:val="22"/>
          <w:lang w:val="en-GB"/>
        </w:rPr>
        <w:t>(2)</w:t>
      </w:r>
      <w:r>
        <w:rPr>
          <w:rFonts w:cstheme="minorHAnsi"/>
          <w:sz w:val="22"/>
          <w:szCs w:val="22"/>
          <w:lang w:val="en-GB"/>
        </w:rPr>
        <w:t>: 359-361.</w:t>
      </w:r>
    </w:p>
    <w:p w:rsidR="00201658" w:rsidRPr="00E637E4" w:rsidRDefault="00B64987" w:rsidP="00D224C2">
      <w:pPr>
        <w:pStyle w:val="Prrafodelista"/>
        <w:numPr>
          <w:ilvl w:val="0"/>
          <w:numId w:val="1"/>
        </w:numPr>
        <w:spacing w:line="360" w:lineRule="auto"/>
        <w:ind w:left="142"/>
        <w:rPr>
          <w:rFonts w:cstheme="minorHAnsi"/>
          <w:bCs/>
          <w:iCs/>
          <w:sz w:val="22"/>
          <w:szCs w:val="22"/>
          <w:lang w:val="en-GB"/>
        </w:rPr>
      </w:pPr>
      <w:r w:rsidRPr="00E637E4">
        <w:rPr>
          <w:rFonts w:eastAsia="Times New Roman" w:cs="Times New Roman"/>
          <w:bCs/>
          <w:iCs/>
          <w:color w:val="1C2126"/>
          <w:sz w:val="22"/>
          <w:szCs w:val="22"/>
          <w:lang w:val="en-GB" w:eastAsia="es-ES_tradnl"/>
        </w:rPr>
        <w:t xml:space="preserve">Janes JK, Miller JM, Dupuis JR, Malefant RM, Gorrell JC, Cullingham CI, Andrew RL. (2017) The K2 conundrum. </w:t>
      </w:r>
      <w:r w:rsidRPr="00E637E4">
        <w:rPr>
          <w:rFonts w:eastAsia="Times New Roman" w:cs="Times New Roman"/>
          <w:bCs/>
          <w:i/>
          <w:color w:val="1C2126"/>
          <w:sz w:val="22"/>
          <w:szCs w:val="22"/>
          <w:lang w:val="en-GB" w:eastAsia="es-ES_tradnl"/>
        </w:rPr>
        <w:t xml:space="preserve">Molecular Ecology </w:t>
      </w:r>
      <w:r w:rsidRPr="00E637E4">
        <w:rPr>
          <w:rFonts w:eastAsia="Times New Roman" w:cs="Times New Roman"/>
          <w:bCs/>
          <w:iCs/>
          <w:color w:val="1C2126"/>
          <w:sz w:val="22"/>
          <w:szCs w:val="22"/>
          <w:lang w:val="en-GB" w:eastAsia="es-ES_tradnl"/>
        </w:rPr>
        <w:t>26: 3594-3602.</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Cornuet JM, Pudlo P, Veyssier J, Dehne-Garcia A, Gautier M, Leblois R, Marin JM, Estoup A. 2014. DIYABC v2.0: a software to make approximate Bayesian computation inferences about population history using single nucleotide polymorphisms, DNA sequences and microsatellite data. </w:t>
      </w:r>
      <w:r w:rsidRPr="00D224C2">
        <w:rPr>
          <w:rFonts w:cstheme="minorHAnsi"/>
          <w:i/>
          <w:sz w:val="22"/>
          <w:szCs w:val="22"/>
          <w:lang w:val="en-GB"/>
        </w:rPr>
        <w:t>Bioinformatics</w:t>
      </w:r>
      <w:r w:rsidRPr="00D224C2">
        <w:rPr>
          <w:rFonts w:cstheme="minorHAnsi"/>
          <w:sz w:val="22"/>
          <w:szCs w:val="22"/>
          <w:lang w:val="en-GB"/>
        </w:rPr>
        <w:t xml:space="preserve"> 30: 1187-1189. doi: 10.1093/bioinformatics/btt763.</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Cornuet JM, Ravigne V, Estoup A. 2010. Inference on population history and model checking using DNA sequence and microsatellite data with the software DIYABC (v1.0). </w:t>
      </w:r>
      <w:r w:rsidRPr="00D224C2">
        <w:rPr>
          <w:rFonts w:cstheme="minorHAnsi"/>
          <w:i/>
          <w:sz w:val="22"/>
          <w:szCs w:val="22"/>
          <w:lang w:val="en-GB"/>
        </w:rPr>
        <w:t>BMC Bioinformatics</w:t>
      </w:r>
      <w:r w:rsidRPr="00D224C2">
        <w:rPr>
          <w:rFonts w:cstheme="minorHAnsi"/>
          <w:sz w:val="22"/>
          <w:szCs w:val="22"/>
          <w:lang w:val="en-GB"/>
        </w:rPr>
        <w:t xml:space="preserve"> 11: 401. doi: 10.1186/1471-2105-11-401.</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Bertorelle G, Benazzo A, Mona S. 2010. ABC as a flexible framework to estimate demography over space and time: some cons, many pros. </w:t>
      </w:r>
      <w:r w:rsidRPr="00D224C2">
        <w:rPr>
          <w:rFonts w:cstheme="minorHAnsi"/>
          <w:i/>
          <w:sz w:val="22"/>
          <w:szCs w:val="22"/>
          <w:lang w:val="en-GB"/>
        </w:rPr>
        <w:t>Molecular Ecology</w:t>
      </w:r>
      <w:r w:rsidRPr="00D224C2">
        <w:rPr>
          <w:rFonts w:cstheme="minorHAnsi"/>
          <w:sz w:val="22"/>
          <w:szCs w:val="22"/>
          <w:lang w:val="en-GB"/>
        </w:rPr>
        <w:t xml:space="preserve"> 19: 2609-2625.</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lastRenderedPageBreak/>
        <w:t xml:space="preserve">Chan LM, Brown JL, Yoder AD. 2011. Integrating statistical genetic and geospatial methods to bring new power to phylogeography. </w:t>
      </w:r>
      <w:r w:rsidRPr="00D224C2">
        <w:rPr>
          <w:rFonts w:cstheme="minorHAnsi"/>
          <w:i/>
          <w:sz w:val="22"/>
          <w:szCs w:val="22"/>
          <w:lang w:val="en-GB"/>
        </w:rPr>
        <w:t>Molecular Phylogenetics and Evolution</w:t>
      </w:r>
      <w:r w:rsidRPr="00D224C2">
        <w:rPr>
          <w:rFonts w:cstheme="minorHAnsi"/>
          <w:sz w:val="22"/>
          <w:szCs w:val="22"/>
          <w:lang w:val="en-GB"/>
        </w:rPr>
        <w:t xml:space="preserve"> 59: 523-537. doi: 10.1016/j.ympev.2011.01.020.</w:t>
      </w:r>
    </w:p>
    <w:p w:rsidR="00D224C2" w:rsidRPr="00D224C2" w:rsidRDefault="00D224C2" w:rsidP="00D224C2">
      <w:pPr>
        <w:pStyle w:val="Prrafodelista"/>
        <w:numPr>
          <w:ilvl w:val="0"/>
          <w:numId w:val="1"/>
        </w:numPr>
        <w:tabs>
          <w:tab w:val="left" w:pos="3969"/>
        </w:tabs>
        <w:spacing w:line="360" w:lineRule="auto"/>
        <w:ind w:left="142"/>
        <w:rPr>
          <w:rFonts w:cstheme="minorHAnsi"/>
          <w:sz w:val="22"/>
          <w:szCs w:val="22"/>
          <w:lang w:val="en-GB"/>
        </w:rPr>
      </w:pPr>
      <w:r w:rsidRPr="00D224C2">
        <w:rPr>
          <w:rFonts w:cstheme="minorHAnsi"/>
          <w:sz w:val="22"/>
          <w:szCs w:val="22"/>
          <w:lang w:val="en-GB"/>
        </w:rPr>
        <w:t xml:space="preserve">Knowles LL, Alvarado-Serrano DF. 2010. Exploring the population genetic consequences of the colonization process with spatio-temporally explicit models: insights from coupled ecological, demographic and genetic models in montane grasshoppers. </w:t>
      </w:r>
      <w:r w:rsidRPr="00D224C2">
        <w:rPr>
          <w:rFonts w:cstheme="minorHAnsi"/>
          <w:i/>
          <w:sz w:val="22"/>
          <w:szCs w:val="22"/>
          <w:lang w:val="en-GB"/>
        </w:rPr>
        <w:t>Molecular Ecology</w:t>
      </w:r>
      <w:r w:rsidRPr="00D224C2">
        <w:rPr>
          <w:rFonts w:cstheme="minorHAnsi"/>
          <w:sz w:val="22"/>
          <w:szCs w:val="22"/>
          <w:lang w:val="en-GB"/>
        </w:rPr>
        <w:t xml:space="preserve"> 19: 3727-3745.</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Smith BD. 1997. The initial domestication of </w:t>
      </w:r>
      <w:r w:rsidRPr="00D224C2">
        <w:rPr>
          <w:rFonts w:cstheme="minorHAnsi"/>
          <w:i/>
          <w:sz w:val="22"/>
          <w:szCs w:val="22"/>
          <w:lang w:val="en-GB"/>
        </w:rPr>
        <w:t xml:space="preserve">Cucurbita pepo </w:t>
      </w:r>
      <w:r w:rsidRPr="00D224C2">
        <w:rPr>
          <w:rFonts w:cstheme="minorHAnsi"/>
          <w:sz w:val="22"/>
          <w:szCs w:val="22"/>
          <w:lang w:val="en-GB"/>
        </w:rPr>
        <w:t xml:space="preserve">in the Americas 10,000 years ago. </w:t>
      </w:r>
      <w:r w:rsidRPr="00D224C2">
        <w:rPr>
          <w:rFonts w:cstheme="minorHAnsi"/>
          <w:i/>
          <w:sz w:val="22"/>
          <w:szCs w:val="22"/>
          <w:lang w:val="en-GB"/>
        </w:rPr>
        <w:t>Science</w:t>
      </w:r>
      <w:r w:rsidRPr="00D224C2">
        <w:rPr>
          <w:rFonts w:cstheme="minorHAnsi"/>
          <w:sz w:val="22"/>
          <w:szCs w:val="22"/>
          <w:lang w:val="en-GB"/>
        </w:rPr>
        <w:t xml:space="preserve"> 276: 932-934. doi: 10.1126/science.276.5314.932.</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Flannery KV. 1986. </w:t>
      </w:r>
      <w:r w:rsidRPr="00D224C2">
        <w:rPr>
          <w:rFonts w:cstheme="minorHAnsi"/>
          <w:i/>
          <w:sz w:val="22"/>
          <w:szCs w:val="22"/>
          <w:lang w:val="en-GB"/>
        </w:rPr>
        <w:t>Guila Naquitz: archaic foraging and early agriculture in Oaxaca, Mexico</w:t>
      </w:r>
      <w:r w:rsidRPr="00D224C2">
        <w:rPr>
          <w:rFonts w:cstheme="minorHAnsi"/>
          <w:sz w:val="22"/>
          <w:szCs w:val="22"/>
          <w:lang w:val="en-GB"/>
        </w:rPr>
        <w:t>. Orlando, FL, USA: Academic Press.</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Hanselka JK. 2017. Revisiting the archaeobotanical record of Romero’s cave in the Ocampo region of Tamaulipas, Mexico. </w:t>
      </w:r>
      <w:r w:rsidRPr="00D224C2">
        <w:rPr>
          <w:rFonts w:cstheme="minorHAnsi"/>
          <w:i/>
          <w:sz w:val="22"/>
          <w:szCs w:val="22"/>
          <w:lang w:val="en-GB"/>
        </w:rPr>
        <w:t>Journal of Ethnobotany</w:t>
      </w:r>
      <w:r w:rsidRPr="00D224C2">
        <w:rPr>
          <w:rFonts w:cstheme="minorHAnsi"/>
          <w:sz w:val="22"/>
          <w:szCs w:val="22"/>
          <w:lang w:val="en-GB"/>
        </w:rPr>
        <w:t xml:space="preserve"> 37(1): 38-59. https://doi.org/10.2993/0278-0771-37.1.37.</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Beaumont MA. 2008. Joint determination of topology, divergence time and immigration in population trees. In: Matsamura S, Forster P, Rrenfrew C, eds. </w:t>
      </w:r>
      <w:r w:rsidRPr="00D224C2">
        <w:rPr>
          <w:rFonts w:cstheme="minorHAnsi"/>
          <w:i/>
          <w:sz w:val="22"/>
          <w:szCs w:val="22"/>
          <w:lang w:val="en-GB"/>
        </w:rPr>
        <w:t>Simulation, Genetics and Human Prehistory</w:t>
      </w:r>
      <w:r w:rsidRPr="00D224C2">
        <w:rPr>
          <w:rFonts w:cstheme="minorHAnsi"/>
          <w:sz w:val="22"/>
          <w:szCs w:val="22"/>
          <w:lang w:val="en-GB"/>
        </w:rPr>
        <w:t xml:space="preserve"> (pp. 135-154). Cambridge, UK: McDonald Institute for Archaeological Research.</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Guillemaud T, Beaumont MA, Ciosi M, Cornuet J-M, Estoup A. 2010. Inferring introduction routes of invasive species using approximate Bayesian computation on microsatellite data. </w:t>
      </w:r>
      <w:r w:rsidRPr="00D224C2">
        <w:rPr>
          <w:rFonts w:cstheme="minorHAnsi"/>
          <w:i/>
          <w:sz w:val="22"/>
          <w:szCs w:val="22"/>
          <w:lang w:val="en-GB"/>
        </w:rPr>
        <w:t>Heredity</w:t>
      </w:r>
      <w:r w:rsidRPr="00D224C2">
        <w:rPr>
          <w:rFonts w:cstheme="minorHAnsi"/>
          <w:sz w:val="22"/>
          <w:szCs w:val="22"/>
          <w:lang w:val="en-GB"/>
        </w:rPr>
        <w:t xml:space="preserve"> 104: 88-99.</w:t>
      </w:r>
    </w:p>
    <w:p w:rsidR="00D224C2" w:rsidRPr="00D224C2" w:rsidRDefault="00D224C2" w:rsidP="00D224C2">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Robert CP, Cornuet J-M, Marin J-M, Pillai NS. 2011. Lack of confidence in approximate Bayesian computation model choice. </w:t>
      </w:r>
      <w:r w:rsidRPr="00D224C2">
        <w:rPr>
          <w:rFonts w:cstheme="minorHAnsi"/>
          <w:i/>
          <w:sz w:val="22"/>
          <w:szCs w:val="22"/>
          <w:lang w:val="en-GB"/>
        </w:rPr>
        <w:t>Proceedings of the National Academy of Science of the United States of America</w:t>
      </w:r>
      <w:r w:rsidRPr="00D224C2">
        <w:rPr>
          <w:rFonts w:cstheme="minorHAnsi"/>
          <w:sz w:val="22"/>
          <w:szCs w:val="22"/>
          <w:lang w:val="en-GB"/>
        </w:rPr>
        <w:t xml:space="preserve"> 108: 15112-15117. doi: 10.1073/pnas.110200108.</w:t>
      </w:r>
    </w:p>
    <w:p w:rsidR="00D224C2" w:rsidRPr="006F7DE4" w:rsidRDefault="00D224C2" w:rsidP="006F7DE4">
      <w:pPr>
        <w:pStyle w:val="Prrafodelista"/>
        <w:numPr>
          <w:ilvl w:val="0"/>
          <w:numId w:val="1"/>
        </w:numPr>
        <w:spacing w:line="360" w:lineRule="auto"/>
        <w:ind w:left="142"/>
        <w:rPr>
          <w:rFonts w:cstheme="minorHAnsi"/>
          <w:sz w:val="22"/>
          <w:szCs w:val="22"/>
          <w:lang w:val="en-GB"/>
        </w:rPr>
      </w:pPr>
      <w:r w:rsidRPr="00D224C2">
        <w:rPr>
          <w:rFonts w:cstheme="minorHAnsi"/>
          <w:sz w:val="22"/>
          <w:szCs w:val="22"/>
          <w:lang w:val="en-GB"/>
        </w:rPr>
        <w:t xml:space="preserve">Estoup A, Beaumont M, Sennedot F, Moritz C, Cornuet J-M. 2004. Genetic analysis of complex demographic scenarios: spatially expanding populations of the cane toad, </w:t>
      </w:r>
      <w:r w:rsidRPr="00D224C2">
        <w:rPr>
          <w:rFonts w:cstheme="minorHAnsi"/>
          <w:i/>
          <w:sz w:val="22"/>
          <w:szCs w:val="22"/>
          <w:lang w:val="en-GB"/>
        </w:rPr>
        <w:t>Bufo marinus</w:t>
      </w:r>
      <w:r w:rsidRPr="00D224C2">
        <w:rPr>
          <w:rFonts w:cstheme="minorHAnsi"/>
          <w:sz w:val="22"/>
          <w:szCs w:val="22"/>
          <w:lang w:val="en-GB"/>
        </w:rPr>
        <w:t xml:space="preserve">. </w:t>
      </w:r>
      <w:r w:rsidRPr="00D224C2">
        <w:rPr>
          <w:rFonts w:cstheme="minorHAnsi"/>
          <w:i/>
          <w:sz w:val="22"/>
          <w:szCs w:val="22"/>
          <w:lang w:val="en-GB"/>
        </w:rPr>
        <w:t>Evolution</w:t>
      </w:r>
      <w:r w:rsidRPr="00D224C2">
        <w:rPr>
          <w:rFonts w:cstheme="minorHAnsi"/>
          <w:sz w:val="22"/>
          <w:szCs w:val="22"/>
          <w:lang w:val="en-GB"/>
        </w:rPr>
        <w:t xml:space="preserve"> 58: 2021-2036.</w:t>
      </w:r>
    </w:p>
    <w:sectPr w:rsidR="00D224C2" w:rsidRPr="006F7DE4" w:rsidSect="00437F94">
      <w:footerReference w:type="even" r:id="rId7"/>
      <w:foot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F57" w:rsidRDefault="00BC4F57">
      <w:r>
        <w:separator/>
      </w:r>
    </w:p>
  </w:endnote>
  <w:endnote w:type="continuationSeparator" w:id="0">
    <w:p w:rsidR="00BC4F57" w:rsidRDefault="00BC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2858470"/>
      <w:docPartObj>
        <w:docPartGallery w:val="Page Numbers (Bottom of Page)"/>
        <w:docPartUnique/>
      </w:docPartObj>
    </w:sdtPr>
    <w:sdtEndPr>
      <w:rPr>
        <w:rStyle w:val="Nmerodepgina"/>
      </w:rPr>
    </w:sdtEndPr>
    <w:sdtContent>
      <w:p w:rsidR="0060230E" w:rsidRDefault="00CE1592" w:rsidP="00AB2A5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60230E" w:rsidRDefault="00BC4F57" w:rsidP="00EB08E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28640274"/>
      <w:docPartObj>
        <w:docPartGallery w:val="Page Numbers (Bottom of Page)"/>
        <w:docPartUnique/>
      </w:docPartObj>
    </w:sdtPr>
    <w:sdtEndPr>
      <w:rPr>
        <w:rStyle w:val="Nmerodepgina"/>
      </w:rPr>
    </w:sdtEndPr>
    <w:sdtContent>
      <w:p w:rsidR="0060230E" w:rsidRDefault="00CE1592" w:rsidP="00AB2A5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sdtContent>
  </w:sdt>
  <w:p w:rsidR="0060230E" w:rsidRDefault="00BC4F57" w:rsidP="00EB08E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F57" w:rsidRDefault="00BC4F57">
      <w:r>
        <w:separator/>
      </w:r>
    </w:p>
  </w:footnote>
  <w:footnote w:type="continuationSeparator" w:id="0">
    <w:p w:rsidR="00BC4F57" w:rsidRDefault="00BC4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D5246"/>
    <w:multiLevelType w:val="hybridMultilevel"/>
    <w:tmpl w:val="48C87D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94"/>
    <w:rsid w:val="000D7029"/>
    <w:rsid w:val="00201658"/>
    <w:rsid w:val="00263B7C"/>
    <w:rsid w:val="00295F28"/>
    <w:rsid w:val="003005A0"/>
    <w:rsid w:val="00392130"/>
    <w:rsid w:val="00437F94"/>
    <w:rsid w:val="00602BB4"/>
    <w:rsid w:val="006E6CCB"/>
    <w:rsid w:val="006F7DE4"/>
    <w:rsid w:val="00702CF2"/>
    <w:rsid w:val="007F0A32"/>
    <w:rsid w:val="00845047"/>
    <w:rsid w:val="00846A26"/>
    <w:rsid w:val="00AD1D71"/>
    <w:rsid w:val="00AE2446"/>
    <w:rsid w:val="00AF3EE5"/>
    <w:rsid w:val="00B64987"/>
    <w:rsid w:val="00BC4F57"/>
    <w:rsid w:val="00BF087D"/>
    <w:rsid w:val="00C25A47"/>
    <w:rsid w:val="00C44334"/>
    <w:rsid w:val="00C837F6"/>
    <w:rsid w:val="00CE1592"/>
    <w:rsid w:val="00CE4A05"/>
    <w:rsid w:val="00D224C2"/>
    <w:rsid w:val="00D33A80"/>
    <w:rsid w:val="00D80029"/>
    <w:rsid w:val="00DA0699"/>
    <w:rsid w:val="00E637E4"/>
    <w:rsid w:val="00F37500"/>
    <w:rsid w:val="00F62879"/>
    <w:rsid w:val="00F70A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2A631-9C2A-9443-B1F3-AA51D1C3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F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05A0"/>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BF087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F087D"/>
    <w:rPr>
      <w:rFonts w:ascii="Times New Roman" w:hAnsi="Times New Roman" w:cs="Times New Roman"/>
      <w:sz w:val="18"/>
      <w:szCs w:val="18"/>
    </w:rPr>
  </w:style>
  <w:style w:type="paragraph" w:styleId="Prrafodelista">
    <w:name w:val="List Paragraph"/>
    <w:basedOn w:val="Normal"/>
    <w:uiPriority w:val="34"/>
    <w:qFormat/>
    <w:rsid w:val="00D224C2"/>
    <w:pPr>
      <w:ind w:left="720"/>
      <w:contextualSpacing/>
    </w:pPr>
    <w:rPr>
      <w:lang w:val="es-ES_tradnl"/>
    </w:rPr>
  </w:style>
  <w:style w:type="paragraph" w:styleId="Piedepgina">
    <w:name w:val="footer"/>
    <w:basedOn w:val="Normal"/>
    <w:link w:val="PiedepginaCar"/>
    <w:uiPriority w:val="99"/>
    <w:unhideWhenUsed/>
    <w:rsid w:val="00CE1592"/>
    <w:pPr>
      <w:tabs>
        <w:tab w:val="center" w:pos="4419"/>
        <w:tab w:val="right" w:pos="8838"/>
      </w:tabs>
    </w:pPr>
    <w:rPr>
      <w:lang w:val="es-ES_tradnl"/>
    </w:rPr>
  </w:style>
  <w:style w:type="character" w:customStyle="1" w:styleId="PiedepginaCar">
    <w:name w:val="Pie de página Car"/>
    <w:basedOn w:val="Fuentedeprrafopredeter"/>
    <w:link w:val="Piedepgina"/>
    <w:uiPriority w:val="99"/>
    <w:rsid w:val="00CE1592"/>
    <w:rPr>
      <w:lang w:val="es-ES_tradnl"/>
    </w:rPr>
  </w:style>
  <w:style w:type="character" w:styleId="Nmerodepgina">
    <w:name w:val="page number"/>
    <w:basedOn w:val="Fuentedeprrafopredeter"/>
    <w:uiPriority w:val="99"/>
    <w:semiHidden/>
    <w:unhideWhenUsed/>
    <w:rsid w:val="00CE1592"/>
  </w:style>
  <w:style w:type="character" w:styleId="Nmerodelnea">
    <w:name w:val="line number"/>
    <w:basedOn w:val="Fuentedeprrafopredeter"/>
    <w:uiPriority w:val="99"/>
    <w:semiHidden/>
    <w:unhideWhenUsed/>
    <w:rsid w:val="00CE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3171</Words>
  <Characters>17445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Gabriela Castellanos</cp:lastModifiedBy>
  <cp:revision>5</cp:revision>
  <dcterms:created xsi:type="dcterms:W3CDTF">2019-06-12T20:22:00Z</dcterms:created>
  <dcterms:modified xsi:type="dcterms:W3CDTF">2019-07-21T21:05:00Z</dcterms:modified>
</cp:coreProperties>
</file>