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D645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DE5C0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B4C0A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AB575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DEFC7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9C892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06BF2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5449C" w14:textId="77777777" w:rsidR="00AB75EE" w:rsidRDefault="00AB75EE" w:rsidP="00AB7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20209" w14:textId="68E3DB26" w:rsidR="00AB75EE" w:rsidRDefault="00AB75EE" w:rsidP="00AB75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5EE">
        <w:rPr>
          <w:rFonts w:ascii="Times New Roman" w:hAnsi="Times New Roman" w:cs="Times New Roman"/>
          <w:b/>
          <w:sz w:val="32"/>
          <w:szCs w:val="32"/>
        </w:rPr>
        <w:t>Supplementary Material to:</w:t>
      </w:r>
    </w:p>
    <w:p w14:paraId="085B2A62" w14:textId="77777777" w:rsidR="00AB75EE" w:rsidRPr="00AB75EE" w:rsidRDefault="00AB75EE" w:rsidP="00AB75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49525C" w14:textId="3EF63729" w:rsidR="00641FFD" w:rsidRDefault="00641FFD" w:rsidP="00AB75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Redshaw J. 2019</w:t>
      </w:r>
      <w:r w:rsidR="00AB75EE" w:rsidRPr="00AB75EE">
        <w:rPr>
          <w:rFonts w:ascii="Times New Roman" w:hAnsi="Times New Roman" w:cs="Times New Roman"/>
          <w:b/>
          <w:sz w:val="32"/>
          <w:szCs w:val="32"/>
        </w:rPr>
        <w:t xml:space="preserve"> Re-analysis of data reveals no evidence for neonatal imitation in rhesus macaques. </w:t>
      </w:r>
      <w:r w:rsidR="00AB75EE" w:rsidRPr="00AB75EE">
        <w:rPr>
          <w:rFonts w:ascii="Times New Roman" w:hAnsi="Times New Roman" w:cs="Times New Roman"/>
          <w:b/>
          <w:i/>
          <w:sz w:val="32"/>
          <w:szCs w:val="32"/>
        </w:rPr>
        <w:t>Biology Letters</w:t>
      </w:r>
      <w:r>
        <w:rPr>
          <w:rFonts w:ascii="Times New Roman" w:hAnsi="Times New Roman" w:cs="Times New Roman"/>
          <w:b/>
          <w:sz w:val="32"/>
          <w:szCs w:val="32"/>
        </w:rPr>
        <w:t>, 20190342</w:t>
      </w:r>
      <w:r w:rsidR="00AB75EE" w:rsidRPr="00AB75E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8" w:history="1">
        <w:r w:rsidRPr="005039F1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http://dx.doi.org/10.1098/rsbl.2019.0342</w:t>
        </w:r>
      </w:hyperlink>
    </w:p>
    <w:p w14:paraId="3F80628B" w14:textId="77777777" w:rsidR="00641FFD" w:rsidRDefault="00641FFD" w:rsidP="00AB75EE">
      <w:pPr>
        <w:rPr>
          <w:rFonts w:ascii="Times New Roman" w:hAnsi="Times New Roman" w:cs="Times New Roman"/>
          <w:b/>
          <w:sz w:val="32"/>
          <w:szCs w:val="32"/>
        </w:rPr>
      </w:pPr>
    </w:p>
    <w:p w14:paraId="10396863" w14:textId="77777777" w:rsidR="00641FFD" w:rsidRPr="00AB75EE" w:rsidRDefault="00641FFD" w:rsidP="00AB75EE">
      <w:pPr>
        <w:rPr>
          <w:rFonts w:ascii="Times New Roman" w:hAnsi="Times New Roman" w:cs="Times New Roman"/>
          <w:b/>
          <w:sz w:val="32"/>
          <w:szCs w:val="32"/>
        </w:rPr>
        <w:sectPr w:rsidR="00641FFD" w:rsidRPr="00AB75EE" w:rsidSect="00AB75EE">
          <w:pgSz w:w="11906" w:h="16838" w:code="9"/>
          <w:pgMar w:top="1276" w:right="1558" w:bottom="1134" w:left="1418" w:header="709" w:footer="709" w:gutter="0"/>
          <w:cols w:space="708"/>
          <w:docGrid w:linePitch="360"/>
        </w:sectPr>
      </w:pPr>
    </w:p>
    <w:p w14:paraId="76D6C26E" w14:textId="14206AB9" w:rsidR="000031F9" w:rsidRDefault="00906B59" w:rsidP="0000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F2E4" wp14:editId="1ACA4225">
                <wp:simplePos x="0" y="0"/>
                <wp:positionH relativeFrom="column">
                  <wp:posOffset>-781685</wp:posOffset>
                </wp:positionH>
                <wp:positionV relativeFrom="paragraph">
                  <wp:posOffset>-69850</wp:posOffset>
                </wp:positionV>
                <wp:extent cx="371475" cy="7210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21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0E11411" id="Rectangle 2" o:spid="_x0000_s1026" style="position:absolute;margin-left:-61.55pt;margin-top:-5.5pt;width:29.25pt;height:56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4442D3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55178">
        <w:rPr>
          <w:rFonts w:ascii="Times New Roman" w:hAnsi="Times New Roman" w:cs="Times New Roman"/>
          <w:sz w:val="24"/>
          <w:szCs w:val="24"/>
        </w:rPr>
        <w:t>Table 1</w:t>
      </w:r>
    </w:p>
    <w:p w14:paraId="27EDF27E" w14:textId="21BD6D3E" w:rsidR="000031F9" w:rsidRPr="007670F3" w:rsidRDefault="000031F9" w:rsidP="0000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Summary of Methods for Classifying </w:t>
      </w:r>
      <w:r w:rsidR="00233980">
        <w:rPr>
          <w:rFonts w:ascii="Times New Roman" w:hAnsi="Times New Roman" w:cs="Times New Roman"/>
          <w:i/>
          <w:sz w:val="24"/>
          <w:szCs w:val="24"/>
        </w:rPr>
        <w:t>‘</w:t>
      </w:r>
      <w:r>
        <w:rPr>
          <w:rFonts w:ascii="Times New Roman" w:hAnsi="Times New Roman" w:cs="Times New Roman"/>
          <w:i/>
          <w:sz w:val="24"/>
          <w:szCs w:val="24"/>
        </w:rPr>
        <w:t>Imitators</w:t>
      </w:r>
      <w:r w:rsidR="00233980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i/>
          <w:sz w:val="24"/>
          <w:szCs w:val="24"/>
        </w:rPr>
        <w:t xml:space="preserve"> in Studies of Macaque Neonatal Imitation</w:t>
      </w:r>
    </w:p>
    <w:tbl>
      <w:tblPr>
        <w:tblStyle w:val="TableGrid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662"/>
        <w:gridCol w:w="5812"/>
      </w:tblGrid>
      <w:tr w:rsidR="000031F9" w14:paraId="03BA540F" w14:textId="77777777" w:rsidTr="00EC678A">
        <w:trPr>
          <w:trHeight w:val="227"/>
        </w:trPr>
        <w:tc>
          <w:tcPr>
            <w:tcW w:w="2122" w:type="dxa"/>
          </w:tcPr>
          <w:p w14:paraId="6E7CA16A" w14:textId="77777777" w:rsidR="000031F9" w:rsidRPr="0082047F" w:rsidRDefault="000031F9" w:rsidP="00EC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sub-sample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62" w:type="dxa"/>
          </w:tcPr>
          <w:p w14:paraId="3E4950F3" w14:textId="17F9575E" w:rsidR="000031F9" w:rsidRPr="007C2BCA" w:rsidRDefault="000031F9" w:rsidP="00233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Authors’ 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imitator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criteria</w:t>
            </w:r>
          </w:p>
        </w:tc>
        <w:tc>
          <w:tcPr>
            <w:tcW w:w="5812" w:type="dxa"/>
          </w:tcPr>
          <w:p w14:paraId="1DB3546B" w14:textId="4C252D4D" w:rsidR="000031F9" w:rsidRPr="007C2BCA" w:rsidRDefault="000031F9" w:rsidP="00233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Authors’ c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>lassification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imitators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</w:tr>
      <w:tr w:rsidR="000031F9" w14:paraId="35B33B90" w14:textId="77777777" w:rsidTr="00EC678A">
        <w:trPr>
          <w:trHeight w:val="227"/>
        </w:trPr>
        <w:tc>
          <w:tcPr>
            <w:tcW w:w="2122" w:type="dxa"/>
          </w:tcPr>
          <w:p w14:paraId="3A641386" w14:textId="34273E5D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Ferrari et al.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[22]</w:t>
            </w:r>
          </w:p>
          <w:p w14:paraId="44592FE1" w14:textId="103693B9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21</w:t>
            </w:r>
          </w:p>
        </w:tc>
        <w:tc>
          <w:tcPr>
            <w:tcW w:w="6662" w:type="dxa"/>
          </w:tcPr>
          <w:p w14:paraId="2C8EA315" w14:textId="64768D00" w:rsidR="000031F9" w:rsidRPr="000031F9" w:rsidRDefault="000031F9" w:rsidP="00233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N/A (this study did not differentiate between 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imitators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non-imitators</w:t>
            </w:r>
            <w:r w:rsidR="0023398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812" w:type="dxa"/>
          </w:tcPr>
          <w:p w14:paraId="77132D06" w14:textId="04245288" w:rsidR="000031F9" w:rsidRP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031F9" w14:paraId="081FD31F" w14:textId="77777777" w:rsidTr="00EC678A">
        <w:trPr>
          <w:trHeight w:val="227"/>
        </w:trPr>
        <w:tc>
          <w:tcPr>
            <w:tcW w:w="2122" w:type="dxa"/>
          </w:tcPr>
          <w:p w14:paraId="1E3765FE" w14:textId="1CF739EE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>Ferrari 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[23]</w:t>
            </w:r>
          </w:p>
          <w:p w14:paraId="4E5090FF" w14:textId="77777777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36</w:t>
            </w:r>
          </w:p>
          <w:p w14:paraId="03D76AAC" w14:textId="77777777" w:rsidR="000031F9" w:rsidRPr="00FB029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A23E867" w14:textId="3749F8B8" w:rsidR="000031F9" w:rsidRPr="006B758C" w:rsidRDefault="000031F9" w:rsidP="00EC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Method </w:t>
            </w:r>
            <w:r w:rsidR="0079095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B75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979FCB" w14:textId="197873E0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Displayed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gesture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the matching condition stimulus period more than during the baseline period for &gt;50% </w:t>
            </w:r>
            <w:r w:rsidR="001A438F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testing sessions (up to four sessions total)</w:t>
            </w:r>
          </w:p>
        </w:tc>
        <w:tc>
          <w:tcPr>
            <w:tcW w:w="5812" w:type="dxa"/>
          </w:tcPr>
          <w:p w14:paraId="29DA09A3" w14:textId="77777777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imitators, 15 non-imitators</w:t>
            </w:r>
          </w:p>
          <w:p w14:paraId="2CB0725B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LPS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imitators, 16 non-imitators</w:t>
            </w:r>
          </w:p>
        </w:tc>
      </w:tr>
      <w:tr w:rsidR="000031F9" w14:paraId="3DA4C4A6" w14:textId="77777777" w:rsidTr="00EC678A">
        <w:trPr>
          <w:trHeight w:val="227"/>
        </w:trPr>
        <w:tc>
          <w:tcPr>
            <w:tcW w:w="2122" w:type="dxa"/>
          </w:tcPr>
          <w:p w14:paraId="47F2F95E" w14:textId="63D68A08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>Paukner 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[24]</w:t>
            </w:r>
          </w:p>
          <w:p w14:paraId="4F557253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60</w:t>
            </w:r>
          </w:p>
        </w:tc>
        <w:tc>
          <w:tcPr>
            <w:tcW w:w="6662" w:type="dxa"/>
          </w:tcPr>
          <w:p w14:paraId="1C0FB891" w14:textId="77777777" w:rsidR="000031F9" w:rsidRPr="006B758C" w:rsidRDefault="000031F9" w:rsidP="00EC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C">
              <w:rPr>
                <w:rFonts w:ascii="Times New Roman" w:hAnsi="Times New Roman" w:cs="Times New Roman"/>
                <w:b/>
                <w:sz w:val="20"/>
                <w:szCs w:val="20"/>
              </w:rPr>
              <w:t>Method B:</w:t>
            </w:r>
          </w:p>
          <w:p w14:paraId="2228410F" w14:textId="027E2D22" w:rsidR="000031F9" w:rsidRPr="007C2BCA" w:rsidRDefault="000031F9" w:rsidP="001A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Displayed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LPS 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>in the match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 condition more than during the baseline,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increase in </w:t>
            </w:r>
            <w:r w:rsidR="001A438F">
              <w:rPr>
                <w:rFonts w:ascii="Times New Roman" w:hAnsi="Times New Roman" w:cs="Times New Roman"/>
                <w:sz w:val="20"/>
                <w:szCs w:val="20"/>
              </w:rPr>
              <w:t>LPS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baseline to stimulus period was greater for the matching condition than the control condition (rotating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7D54A0A1" w14:textId="77777777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TP: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reported</w:t>
            </w:r>
          </w:p>
          <w:p w14:paraId="32A34BEE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LPS: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 imitators, 27 non-imitators</w:t>
            </w:r>
          </w:p>
        </w:tc>
      </w:tr>
      <w:tr w:rsidR="000031F9" w14:paraId="5D6C6502" w14:textId="77777777" w:rsidTr="00EC678A">
        <w:trPr>
          <w:trHeight w:val="227"/>
        </w:trPr>
        <w:tc>
          <w:tcPr>
            <w:tcW w:w="2122" w:type="dxa"/>
          </w:tcPr>
          <w:p w14:paraId="7518F050" w14:textId="6C64B890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>Simpson 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[25]</w:t>
            </w:r>
          </w:p>
          <w:p w14:paraId="58C82F5D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90</w:t>
            </w:r>
          </w:p>
        </w:tc>
        <w:tc>
          <w:tcPr>
            <w:tcW w:w="6662" w:type="dxa"/>
          </w:tcPr>
          <w:p w14:paraId="12CDD7D5" w14:textId="066BBADA" w:rsidR="000031F9" w:rsidRDefault="000031F9" w:rsidP="00EC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Method </w:t>
            </w:r>
            <w:r w:rsidR="0079095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DDDC012" w14:textId="4188E7CA" w:rsidR="000031F9" w:rsidRPr="007C2BCA" w:rsidRDefault="000031F9" w:rsidP="001A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Positive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Imitation 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A438F">
              <w:rPr>
                <w:rFonts w:ascii="Times New Roman" w:hAnsi="Times New Roman" w:cs="Times New Roman"/>
                <w:sz w:val="20"/>
                <w:szCs w:val="20"/>
              </w:rPr>
              <w:t xml:space="preserve">i.e., positive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difference </w:t>
            </w:r>
            <w:r w:rsidR="001A438F">
              <w:rPr>
                <w:rFonts w:ascii="Times New Roman" w:hAnsi="Times New Roman" w:cs="Times New Roman"/>
                <w:sz w:val="20"/>
                <w:szCs w:val="20"/>
              </w:rPr>
              <w:t>between (i) increase in gesture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baseline to stimulus period in the matching condition, and (ii) increase in gesture from baseline to stimulus period in the control condition (rotating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3F1E6D7F" w14:textId="77777777" w:rsidR="000031F9" w:rsidRPr="002A31C0" w:rsidRDefault="000031F9" w:rsidP="00EC67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Numbers of infants with positive and negative Imitation Index scores not reported, but these can be obtained from inspection of </w:t>
            </w:r>
            <w:r w:rsidRPr="002A31C0">
              <w:rPr>
                <w:rFonts w:ascii="Times New Roman" w:hAnsi="Times New Roman" w:cs="Times New Roman"/>
                <w:i/>
                <w:sz w:val="20"/>
                <w:szCs w:val="20"/>
              </w:rPr>
              <w:t>Figure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5B7DD4" w14:textId="77777777" w:rsidR="000031F9" w:rsidRPr="002A31C0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 imitators, 44 non-imitators</w:t>
            </w:r>
          </w:p>
          <w:p w14:paraId="09F6D595" w14:textId="77777777" w:rsidR="000031F9" w:rsidRPr="002A31C0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 imitators, 38 non-imitators</w:t>
            </w:r>
          </w:p>
        </w:tc>
      </w:tr>
      <w:tr w:rsidR="00AC122A" w14:paraId="73105A25" w14:textId="77777777" w:rsidTr="00EC678A">
        <w:trPr>
          <w:trHeight w:val="227"/>
        </w:trPr>
        <w:tc>
          <w:tcPr>
            <w:tcW w:w="2122" w:type="dxa"/>
          </w:tcPr>
          <w:p w14:paraId="382A2AEE" w14:textId="791D3300" w:rsidR="00AC122A" w:rsidRDefault="00AC122A" w:rsidP="00AC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Paukner et al.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[26]</w:t>
            </w:r>
          </w:p>
          <w:p w14:paraId="359C1CEE" w14:textId="44BDCDCB" w:rsidR="00AC122A" w:rsidRPr="007C2BCA" w:rsidRDefault="00AC122A" w:rsidP="00AC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37</w:t>
            </w:r>
          </w:p>
        </w:tc>
        <w:tc>
          <w:tcPr>
            <w:tcW w:w="6662" w:type="dxa"/>
          </w:tcPr>
          <w:p w14:paraId="408CBCB6" w14:textId="77777777" w:rsidR="00AC122A" w:rsidRPr="006B758C" w:rsidRDefault="00AC122A" w:rsidP="00AC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C">
              <w:rPr>
                <w:rFonts w:ascii="Times New Roman" w:hAnsi="Times New Roman" w:cs="Times New Roman"/>
                <w:b/>
                <w:sz w:val="20"/>
                <w:szCs w:val="20"/>
              </w:rPr>
              <w:t>Method B:</w:t>
            </w:r>
          </w:p>
          <w:p w14:paraId="410E9CAC" w14:textId="3EFD8E6A" w:rsidR="00AC122A" w:rsidRDefault="00AC122A" w:rsidP="00AC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Displayed gesture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(TP/LPS) 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>in the match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 condition more than during the baseline,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increase in gesture from baseline to stimulus period was greater for the matching condition than the control condition (rotating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48149761" w14:textId="77777777" w:rsidR="00AC122A" w:rsidRDefault="00AC122A" w:rsidP="00AC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imitators, 22 non-imitators </w:t>
            </w:r>
          </w:p>
          <w:p w14:paraId="689D3BE9" w14:textId="59004F76" w:rsidR="00AC122A" w:rsidRDefault="00AC122A" w:rsidP="00AC12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imitators, 21 non-imitators</w:t>
            </w:r>
          </w:p>
        </w:tc>
      </w:tr>
      <w:tr w:rsidR="000031F9" w14:paraId="05AC2AD1" w14:textId="77777777" w:rsidTr="00EC678A">
        <w:trPr>
          <w:trHeight w:val="227"/>
        </w:trPr>
        <w:tc>
          <w:tcPr>
            <w:tcW w:w="2122" w:type="dxa"/>
          </w:tcPr>
          <w:p w14:paraId="226BDA31" w14:textId="289893CF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>Simpson 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[27]</w:t>
            </w:r>
          </w:p>
          <w:p w14:paraId="1E9E42D3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49</w:t>
            </w:r>
          </w:p>
        </w:tc>
        <w:tc>
          <w:tcPr>
            <w:tcW w:w="6662" w:type="dxa"/>
          </w:tcPr>
          <w:p w14:paraId="387654E5" w14:textId="116B31EA" w:rsidR="000031F9" w:rsidRDefault="000031F9" w:rsidP="00EC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Method </w:t>
            </w:r>
            <w:r w:rsidR="0079095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2EA3B088" w14:textId="53231D92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Positive Imitation Index for LPS (with 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control)</w:t>
            </w:r>
          </w:p>
        </w:tc>
        <w:tc>
          <w:tcPr>
            <w:tcW w:w="5812" w:type="dxa"/>
          </w:tcPr>
          <w:p w14:paraId="58B814FE" w14:textId="77777777" w:rsidR="000031F9" w:rsidRPr="00542D8C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  <w:p w14:paraId="290A27F8" w14:textId="77777777" w:rsidR="000031F9" w:rsidRPr="00810BC0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imitators, 22 non-imitators</w:t>
            </w:r>
          </w:p>
        </w:tc>
      </w:tr>
      <w:tr w:rsidR="000031F9" w14:paraId="3F45643F" w14:textId="77777777" w:rsidTr="00EC678A">
        <w:trPr>
          <w:trHeight w:val="227"/>
        </w:trPr>
        <w:tc>
          <w:tcPr>
            <w:tcW w:w="2122" w:type="dxa"/>
          </w:tcPr>
          <w:p w14:paraId="4D0F91DA" w14:textId="444BA21A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Simpson et al.</w:t>
            </w:r>
            <w:r w:rsidRPr="007C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[28]</w:t>
            </w:r>
          </w:p>
          <w:p w14:paraId="695B393A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119</w:t>
            </w:r>
          </w:p>
        </w:tc>
        <w:tc>
          <w:tcPr>
            <w:tcW w:w="6662" w:type="dxa"/>
          </w:tcPr>
          <w:p w14:paraId="6BAF4886" w14:textId="74DEF193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Method </w:t>
            </w:r>
            <w:r w:rsidR="0079095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E7E3072" w14:textId="7479DF5F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Positive Imitation Index for LPS (with 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control)</w:t>
            </w:r>
          </w:p>
        </w:tc>
        <w:tc>
          <w:tcPr>
            <w:tcW w:w="5812" w:type="dxa"/>
          </w:tcPr>
          <w:p w14:paraId="0A155152" w14:textId="77777777" w:rsidR="000031F9" w:rsidRPr="0049628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  <w:p w14:paraId="6EDD6A56" w14:textId="77777777" w:rsidR="000031F9" w:rsidRPr="00D41E31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 imitators, 58 non-imitators</w:t>
            </w:r>
          </w:p>
        </w:tc>
      </w:tr>
      <w:tr w:rsidR="000031F9" w14:paraId="3A099F25" w14:textId="77777777" w:rsidTr="00EC678A">
        <w:trPr>
          <w:trHeight w:val="227"/>
        </w:trPr>
        <w:tc>
          <w:tcPr>
            <w:tcW w:w="2122" w:type="dxa"/>
          </w:tcPr>
          <w:p w14:paraId="64239A3A" w14:textId="76783715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Kaburu et al.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[29]</w:t>
            </w:r>
          </w:p>
          <w:p w14:paraId="44E09F00" w14:textId="77777777" w:rsidR="000031F9" w:rsidRPr="00D21644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126</w:t>
            </w:r>
          </w:p>
        </w:tc>
        <w:tc>
          <w:tcPr>
            <w:tcW w:w="6662" w:type="dxa"/>
          </w:tcPr>
          <w:p w14:paraId="7840AD78" w14:textId="77777777" w:rsidR="000031F9" w:rsidRPr="006B758C" w:rsidRDefault="000031F9" w:rsidP="00EC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C">
              <w:rPr>
                <w:rFonts w:ascii="Times New Roman" w:hAnsi="Times New Roman" w:cs="Times New Roman"/>
                <w:b/>
                <w:sz w:val="20"/>
                <w:szCs w:val="20"/>
              </w:rPr>
              <w:t>Method B:</w:t>
            </w:r>
          </w:p>
          <w:p w14:paraId="644BD911" w14:textId="4E05D8B1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Displayed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LPS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 in the matched condition more than during the baseline,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increase in LPS from baseline to stimulus period was greater for the LPS condition than the control condition (rotating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4CD34069" w14:textId="77777777" w:rsidR="000031F9" w:rsidRPr="0049628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TP: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  <w:p w14:paraId="5F5AD0D0" w14:textId="77777777" w:rsidR="000031F9" w:rsidRPr="00031B27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imitators, 68 non-imitators</w:t>
            </w:r>
          </w:p>
        </w:tc>
      </w:tr>
      <w:tr w:rsidR="000031F9" w14:paraId="68E2A843" w14:textId="77777777" w:rsidTr="00EC678A">
        <w:trPr>
          <w:trHeight w:val="227"/>
        </w:trPr>
        <w:tc>
          <w:tcPr>
            <w:tcW w:w="2122" w:type="dxa"/>
          </w:tcPr>
          <w:p w14:paraId="1E2B1148" w14:textId="3EC3141A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Paukner et al.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[30]</w:t>
            </w:r>
          </w:p>
          <w:p w14:paraId="7542AB87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163</w:t>
            </w:r>
          </w:p>
        </w:tc>
        <w:tc>
          <w:tcPr>
            <w:tcW w:w="6662" w:type="dxa"/>
          </w:tcPr>
          <w:p w14:paraId="19BB58F9" w14:textId="77777777" w:rsidR="000031F9" w:rsidRPr="006B758C" w:rsidRDefault="000031F9" w:rsidP="00EC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8C">
              <w:rPr>
                <w:rFonts w:ascii="Times New Roman" w:hAnsi="Times New Roman" w:cs="Times New Roman"/>
                <w:b/>
                <w:sz w:val="20"/>
                <w:szCs w:val="20"/>
              </w:rPr>
              <w:t>Method B:</w:t>
            </w:r>
          </w:p>
          <w:p w14:paraId="435116E8" w14:textId="0C24A074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Displayed gesture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(TP/LPS) 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>in the match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0938DA">
              <w:rPr>
                <w:rFonts w:ascii="Times New Roman" w:hAnsi="Times New Roman" w:cs="Times New Roman"/>
                <w:sz w:val="20"/>
                <w:szCs w:val="20"/>
              </w:rPr>
              <w:t xml:space="preserve"> condition more than during the baseline,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increase in gesture from baseline to stimulus period was greater for the matching condition than the control condition (rotating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18E8A2F1" w14:textId="77777777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TP: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imitators, 87 non-imitators</w:t>
            </w:r>
          </w:p>
          <w:p w14:paraId="2FBFB72B" w14:textId="77777777" w:rsidR="000031F9" w:rsidRPr="007C2BCA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A4F">
              <w:rPr>
                <w:rFonts w:ascii="Times New Roman" w:hAnsi="Times New Roman" w:cs="Times New Roman"/>
                <w:b/>
                <w:sz w:val="20"/>
                <w:szCs w:val="20"/>
              </w:rPr>
              <w:t>LPS: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 imitators, 84 non-imitators</w:t>
            </w:r>
          </w:p>
        </w:tc>
      </w:tr>
      <w:tr w:rsidR="000031F9" w14:paraId="2AE5641D" w14:textId="77777777" w:rsidTr="00EC678A">
        <w:trPr>
          <w:trHeight w:val="227"/>
        </w:trPr>
        <w:tc>
          <w:tcPr>
            <w:tcW w:w="2122" w:type="dxa"/>
          </w:tcPr>
          <w:p w14:paraId="5A5E02A8" w14:textId="6122E215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Wooddell et al. </w:t>
            </w:r>
            <w:r w:rsidR="00AC122A">
              <w:rPr>
                <w:rFonts w:ascii="Times New Roman" w:hAnsi="Times New Roman" w:cs="Times New Roman"/>
                <w:sz w:val="20"/>
                <w:szCs w:val="20"/>
              </w:rPr>
              <w:t>[31]</w:t>
            </w:r>
          </w:p>
          <w:p w14:paraId="6398CB95" w14:textId="77777777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= 19 </w:t>
            </w:r>
          </w:p>
          <w:p w14:paraId="77C70A30" w14:textId="77777777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9DEC555" w14:textId="51BDA8A0" w:rsidR="000031F9" w:rsidRDefault="000031F9" w:rsidP="00EC6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Method </w:t>
            </w:r>
            <w:r w:rsidR="0079095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4504F3" w14:textId="6111690C" w:rsidR="000031F9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Positive Imitation Index for TP/LPS (with rotating </w:t>
            </w:r>
            <w:r w:rsidR="00C41463">
              <w:rPr>
                <w:rFonts w:ascii="Times New Roman" w:hAnsi="Times New Roman" w:cs="Times New Roman"/>
                <w:sz w:val="20"/>
                <w:szCs w:val="20"/>
              </w:rPr>
              <w:t>disc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control)</w:t>
            </w:r>
          </w:p>
        </w:tc>
        <w:tc>
          <w:tcPr>
            <w:tcW w:w="5812" w:type="dxa"/>
          </w:tcPr>
          <w:p w14:paraId="0CDBCB87" w14:textId="77777777" w:rsidR="000031F9" w:rsidRPr="002A31C0" w:rsidRDefault="000031F9" w:rsidP="00EC67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Numbers of infants with positive and negative Imitation Index scores not reported, but these can be obtained from inspection of </w:t>
            </w:r>
            <w:r w:rsidRPr="002A31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Figure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71BA713" w14:textId="77777777" w:rsidR="000031F9" w:rsidRPr="00092BAB" w:rsidRDefault="000031F9" w:rsidP="00EC6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Unclear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imitators, 8 non-imitators</w:t>
            </w:r>
          </w:p>
        </w:tc>
      </w:tr>
    </w:tbl>
    <w:p w14:paraId="3D3E68B4" w14:textId="77777777" w:rsidR="000031F9" w:rsidRPr="003652AA" w:rsidRDefault="000031F9" w:rsidP="000031F9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1E4395C3" w14:textId="2A4899D1" w:rsidR="000031F9" w:rsidRPr="00CA0576" w:rsidRDefault="000031F9" w:rsidP="000031F9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CA057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CA0576">
        <w:rPr>
          <w:rFonts w:ascii="Times New Roman" w:hAnsi="Times New Roman" w:cs="Times New Roman"/>
          <w:sz w:val="18"/>
          <w:szCs w:val="18"/>
        </w:rPr>
        <w:t xml:space="preserve">According to Paukner et al. </w:t>
      </w:r>
      <w:r w:rsidR="00AC122A">
        <w:rPr>
          <w:rFonts w:ascii="Times New Roman" w:hAnsi="Times New Roman" w:cs="Times New Roman"/>
          <w:sz w:val="18"/>
          <w:szCs w:val="18"/>
        </w:rPr>
        <w:t>[30]</w:t>
      </w:r>
      <w:r w:rsidR="00622FBC">
        <w:rPr>
          <w:rFonts w:ascii="Times New Roman" w:hAnsi="Times New Roman" w:cs="Times New Roman"/>
          <w:sz w:val="18"/>
          <w:szCs w:val="18"/>
        </w:rPr>
        <w:t xml:space="preserve"> (and correspondence with the authors)</w:t>
      </w:r>
      <w:r w:rsidRPr="00CA0576">
        <w:rPr>
          <w:rFonts w:ascii="Times New Roman" w:hAnsi="Times New Roman" w:cs="Times New Roman"/>
          <w:sz w:val="18"/>
          <w:szCs w:val="18"/>
        </w:rPr>
        <w:t>, all of these sub-samples were in fact part of a single full sample of 163 infants.</w:t>
      </w:r>
      <w:r>
        <w:rPr>
          <w:rFonts w:ascii="Times New Roman" w:hAnsi="Times New Roman" w:cs="Times New Roman"/>
          <w:sz w:val="18"/>
          <w:szCs w:val="18"/>
        </w:rPr>
        <w:t xml:space="preserve"> This </w:t>
      </w:r>
      <w:r w:rsidR="001A2EEC">
        <w:rPr>
          <w:rFonts w:ascii="Times New Roman" w:hAnsi="Times New Roman" w:cs="Times New Roman"/>
          <w:sz w:val="18"/>
          <w:szCs w:val="18"/>
        </w:rPr>
        <w:t>appears to include</w:t>
      </w:r>
      <w:r>
        <w:rPr>
          <w:rFonts w:ascii="Times New Roman" w:hAnsi="Times New Roman" w:cs="Times New Roman"/>
          <w:sz w:val="18"/>
          <w:szCs w:val="18"/>
        </w:rPr>
        <w:t xml:space="preserve"> the original sample from Ferrari et al. </w:t>
      </w:r>
      <w:r w:rsidR="00AC122A">
        <w:rPr>
          <w:rFonts w:ascii="Times New Roman" w:hAnsi="Times New Roman" w:cs="Times New Roman"/>
          <w:sz w:val="18"/>
          <w:szCs w:val="18"/>
        </w:rPr>
        <w:t>[22]</w:t>
      </w:r>
      <w:r>
        <w:rPr>
          <w:rFonts w:ascii="Times New Roman" w:hAnsi="Times New Roman" w:cs="Times New Roman"/>
          <w:sz w:val="18"/>
          <w:szCs w:val="18"/>
        </w:rPr>
        <w:t xml:space="preserve">, whose data were </w:t>
      </w:r>
      <w:r w:rsidR="00AC122A">
        <w:rPr>
          <w:rFonts w:ascii="Times New Roman" w:hAnsi="Times New Roman" w:cs="Times New Roman"/>
          <w:sz w:val="18"/>
          <w:szCs w:val="18"/>
        </w:rPr>
        <w:t>incorporated</w:t>
      </w:r>
      <w:r>
        <w:rPr>
          <w:rFonts w:ascii="Times New Roman" w:hAnsi="Times New Roman" w:cs="Times New Roman"/>
          <w:sz w:val="18"/>
          <w:szCs w:val="18"/>
        </w:rPr>
        <w:t xml:space="preserve"> in</w:t>
      </w:r>
      <w:r w:rsidR="00AC122A"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z w:val="18"/>
          <w:szCs w:val="18"/>
        </w:rPr>
        <w:t xml:space="preserve"> Ferrari et al.’s </w:t>
      </w:r>
      <w:r w:rsidR="00AC122A">
        <w:rPr>
          <w:rFonts w:ascii="Times New Roman" w:hAnsi="Times New Roman" w:cs="Times New Roman"/>
          <w:sz w:val="18"/>
          <w:szCs w:val="18"/>
        </w:rPr>
        <w:t>[23]</w:t>
      </w:r>
      <w:r>
        <w:rPr>
          <w:rFonts w:ascii="Times New Roman" w:hAnsi="Times New Roman" w:cs="Times New Roman"/>
          <w:sz w:val="18"/>
          <w:szCs w:val="18"/>
        </w:rPr>
        <w:t xml:space="preserve"> sample.</w:t>
      </w:r>
    </w:p>
    <w:p w14:paraId="21D5218C" w14:textId="77777777" w:rsidR="000031F9" w:rsidRPr="00CA0576" w:rsidRDefault="000031F9" w:rsidP="000031F9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CA0576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CA0576">
        <w:rPr>
          <w:rFonts w:ascii="Times New Roman" w:hAnsi="Times New Roman" w:cs="Times New Roman"/>
          <w:sz w:val="18"/>
          <w:szCs w:val="18"/>
        </w:rPr>
        <w:t xml:space="preserve">TP = tongue protrusion. </w:t>
      </w:r>
      <w:r w:rsidRPr="00CA0576"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CA0576">
        <w:rPr>
          <w:rFonts w:ascii="Times New Roman" w:hAnsi="Times New Roman" w:cs="Times New Roman"/>
          <w:sz w:val="18"/>
          <w:szCs w:val="18"/>
        </w:rPr>
        <w:t>LPS = lipsmacking.</w:t>
      </w:r>
    </w:p>
    <w:p w14:paraId="11D8C657" w14:textId="3AE9B0CD" w:rsidR="00B128D5" w:rsidRDefault="000031F9" w:rsidP="003255DF">
      <w:pPr>
        <w:spacing w:after="0" w:line="463" w:lineRule="auto"/>
        <w:ind w:leftChars="64" w:left="142" w:hanging="1"/>
        <w:rPr>
          <w:rFonts w:ascii="Times New Roman" w:hAnsi="Times New Roman" w:cs="Times New Roman"/>
          <w:sz w:val="18"/>
          <w:szCs w:val="18"/>
        </w:rPr>
      </w:pPr>
      <w:r w:rsidRPr="00CA0576"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 w:rsidRPr="00CA0576">
        <w:rPr>
          <w:rFonts w:ascii="Times New Roman" w:hAnsi="Times New Roman" w:cs="Times New Roman"/>
          <w:sz w:val="18"/>
          <w:szCs w:val="18"/>
        </w:rPr>
        <w:t xml:space="preserve">This study does not </w:t>
      </w:r>
      <w:r w:rsidR="00344FAB">
        <w:rPr>
          <w:rFonts w:ascii="Times New Roman" w:hAnsi="Times New Roman" w:cs="Times New Roman"/>
          <w:sz w:val="18"/>
          <w:szCs w:val="18"/>
        </w:rPr>
        <w:t xml:space="preserve">appear to </w:t>
      </w:r>
      <w:r w:rsidRPr="00CA0576">
        <w:rPr>
          <w:rFonts w:ascii="Times New Roman" w:hAnsi="Times New Roman" w:cs="Times New Roman"/>
          <w:sz w:val="18"/>
          <w:szCs w:val="18"/>
        </w:rPr>
        <w:t xml:space="preserve">indicate whether the </w:t>
      </w:r>
      <w:r w:rsidR="00233980">
        <w:rPr>
          <w:rFonts w:ascii="Times New Roman" w:hAnsi="Times New Roman" w:cs="Times New Roman"/>
          <w:sz w:val="18"/>
          <w:szCs w:val="18"/>
        </w:rPr>
        <w:t>‘</w:t>
      </w:r>
      <w:r w:rsidRPr="00CA0576">
        <w:rPr>
          <w:rFonts w:ascii="Times New Roman" w:hAnsi="Times New Roman" w:cs="Times New Roman"/>
          <w:sz w:val="18"/>
          <w:szCs w:val="18"/>
        </w:rPr>
        <w:t>imitators</w:t>
      </w:r>
      <w:r w:rsidR="00233980">
        <w:rPr>
          <w:rFonts w:ascii="Times New Roman" w:hAnsi="Times New Roman" w:cs="Times New Roman"/>
          <w:sz w:val="18"/>
          <w:szCs w:val="18"/>
        </w:rPr>
        <w:t>’</w:t>
      </w:r>
      <w:r w:rsidRPr="00CA0576">
        <w:rPr>
          <w:rFonts w:ascii="Times New Roman" w:hAnsi="Times New Roman" w:cs="Times New Roman"/>
          <w:sz w:val="18"/>
          <w:szCs w:val="18"/>
        </w:rPr>
        <w:t xml:space="preserve"> were for the TP or LPS action.</w:t>
      </w:r>
    </w:p>
    <w:p w14:paraId="34E12C00" w14:textId="77777777" w:rsidR="00B128D5" w:rsidRDefault="00B128D5">
      <w:pPr>
        <w:rPr>
          <w:rFonts w:ascii="Times New Roman" w:hAnsi="Times New Roman" w:cs="Times New Roman"/>
          <w:sz w:val="18"/>
          <w:szCs w:val="18"/>
        </w:rPr>
        <w:sectPr w:rsidR="00B128D5" w:rsidSect="00AB75EE">
          <w:pgSz w:w="16838" w:h="11906" w:orient="landscape" w:code="9"/>
          <w:pgMar w:top="567" w:right="1276" w:bottom="425" w:left="1134" w:header="709" w:footer="709" w:gutter="0"/>
          <w:cols w:space="708"/>
          <w:docGrid w:linePitch="360"/>
        </w:sectPr>
      </w:pPr>
    </w:p>
    <w:p w14:paraId="3D61C5A8" w14:textId="1E43F98B" w:rsidR="00B128D5" w:rsidRDefault="00B128D5" w:rsidP="00B12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2</w:t>
      </w:r>
    </w:p>
    <w:p w14:paraId="6AE886B6" w14:textId="77777777" w:rsidR="00B128D5" w:rsidRDefault="00B128D5" w:rsidP="00B128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Intra-Individual Consistency Correlations for the Tongue Protrusion Imitation Index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48"/>
        <w:gridCol w:w="1948"/>
        <w:gridCol w:w="1948"/>
        <w:gridCol w:w="1948"/>
      </w:tblGrid>
      <w:tr w:rsidR="00B128D5" w:rsidRPr="00D158B0" w14:paraId="2327513A" w14:textId="77777777" w:rsidTr="0071694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84D54C" w14:textId="77777777" w:rsidR="00B128D5" w:rsidRPr="00B6652F" w:rsidRDefault="00B128D5" w:rsidP="00B128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03F7B515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1-2 days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50EA8C78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3-4 days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511BA704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5-6 days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2CE332F9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7-8 days</w:t>
            </w:r>
          </w:p>
        </w:tc>
      </w:tr>
      <w:tr w:rsidR="00B128D5" w:rsidRPr="00D158B0" w14:paraId="34513D56" w14:textId="77777777" w:rsidTr="0071694B">
        <w:tc>
          <w:tcPr>
            <w:tcW w:w="1134" w:type="dxa"/>
            <w:tcBorders>
              <w:top w:val="single" w:sz="4" w:space="0" w:color="auto"/>
            </w:tcBorders>
          </w:tcPr>
          <w:p w14:paraId="3663DE96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1-2 days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5EE308" w14:textId="77777777" w:rsidR="00B128D5" w:rsidRPr="00B6652F" w:rsidRDefault="00B128D5" w:rsidP="00B128D5">
            <w:pPr>
              <w:tabs>
                <w:tab w:val="decimal" w:pos="88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3868C5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18369D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41833" w14:textId="77777777" w:rsidR="00B128D5" w:rsidRPr="00B6652F" w:rsidRDefault="00B128D5" w:rsidP="00B128D5">
            <w:pPr>
              <w:tabs>
                <w:tab w:val="decimal" w:pos="71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B128D5" w:rsidRPr="00D158B0" w14:paraId="214D85CB" w14:textId="77777777" w:rsidTr="0071694B">
        <w:tc>
          <w:tcPr>
            <w:tcW w:w="1134" w:type="dxa"/>
          </w:tcPr>
          <w:p w14:paraId="2BAAD9CB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3-4 days</w:t>
            </w:r>
          </w:p>
        </w:tc>
        <w:tc>
          <w:tcPr>
            <w:tcW w:w="1948" w:type="dxa"/>
            <w:shd w:val="clear" w:color="auto" w:fill="FFFFFF" w:themeFill="background1"/>
          </w:tcPr>
          <w:p w14:paraId="54721A82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6FDE4B" w14:textId="77777777" w:rsidR="00B128D5" w:rsidRPr="00B6652F" w:rsidRDefault="00B128D5" w:rsidP="00B128D5">
            <w:pPr>
              <w:tabs>
                <w:tab w:val="decimal" w:pos="91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AFC0C2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82A055" w14:textId="77777777" w:rsidR="00B128D5" w:rsidRPr="00B6652F" w:rsidRDefault="00B128D5" w:rsidP="00B128D5">
            <w:pPr>
              <w:tabs>
                <w:tab w:val="decimal" w:pos="71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B128D5" w:rsidRPr="00D158B0" w14:paraId="18CFA53F" w14:textId="77777777" w:rsidTr="0071694B">
        <w:tc>
          <w:tcPr>
            <w:tcW w:w="1134" w:type="dxa"/>
          </w:tcPr>
          <w:p w14:paraId="361276F7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5-6 days</w:t>
            </w:r>
          </w:p>
        </w:tc>
        <w:tc>
          <w:tcPr>
            <w:tcW w:w="1948" w:type="dxa"/>
            <w:shd w:val="clear" w:color="auto" w:fill="FFFFFF" w:themeFill="background1"/>
          </w:tcPr>
          <w:p w14:paraId="7D6AC0BC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0F8CB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05270A" w14:textId="77777777" w:rsidR="00B128D5" w:rsidRPr="00B6652F" w:rsidRDefault="00B128D5" w:rsidP="00B128D5">
            <w:pPr>
              <w:tabs>
                <w:tab w:val="decimal" w:pos="9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B77351" w14:textId="77777777" w:rsidR="00B128D5" w:rsidRPr="00B6652F" w:rsidRDefault="00B128D5" w:rsidP="00B128D5">
            <w:pPr>
              <w:tabs>
                <w:tab w:val="decimal" w:pos="717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</w:tr>
      <w:tr w:rsidR="00B128D5" w:rsidRPr="00D158B0" w14:paraId="41BD4E76" w14:textId="77777777" w:rsidTr="0071694B">
        <w:tc>
          <w:tcPr>
            <w:tcW w:w="1134" w:type="dxa"/>
            <w:tcBorders>
              <w:bottom w:val="single" w:sz="4" w:space="0" w:color="auto"/>
            </w:tcBorders>
          </w:tcPr>
          <w:p w14:paraId="71032BEA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7-8 days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8A709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ECB93E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B6978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5A1AA7" w14:textId="77777777" w:rsidR="00B128D5" w:rsidRPr="00B6652F" w:rsidRDefault="00B128D5" w:rsidP="00B128D5">
            <w:pPr>
              <w:tabs>
                <w:tab w:val="decimal" w:pos="85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677DDE3" w14:textId="77777777" w:rsidR="00B128D5" w:rsidRDefault="00B128D5" w:rsidP="00B128D5">
      <w:pPr>
        <w:spacing w:before="80"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Note. </w:t>
      </w:r>
      <w:r>
        <w:rPr>
          <w:rFonts w:ascii="Times New Roman" w:hAnsi="Times New Roman" w:cs="Times New Roman"/>
          <w:sz w:val="20"/>
          <w:szCs w:val="20"/>
        </w:rPr>
        <w:t>The average correlation is not significantly different from zero, mean</w:t>
      </w:r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 xml:space="preserve"> = .02,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(5) = 1.18, </w:t>
      </w:r>
      <w:r>
        <w:rPr>
          <w:rFonts w:ascii="Times New Roman" w:hAnsi="Times New Roman" w:cs="Times New Roman"/>
          <w:i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</w:rPr>
        <w:t>= .291.</w:t>
      </w:r>
    </w:p>
    <w:p w14:paraId="0F87F8DA" w14:textId="77777777" w:rsidR="00B128D5" w:rsidRDefault="00B128D5" w:rsidP="00B128D5">
      <w:pPr>
        <w:spacing w:before="8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27D30" w14:textId="77777777" w:rsidR="00B128D5" w:rsidRDefault="00B128D5" w:rsidP="00B128D5">
      <w:pPr>
        <w:spacing w:before="8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698AE7" w14:textId="77777777" w:rsidR="00B128D5" w:rsidRDefault="00B128D5" w:rsidP="00B128D5">
      <w:pPr>
        <w:spacing w:before="8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2B27D" w14:textId="2B07DDD6" w:rsidR="00B128D5" w:rsidRPr="003C5669" w:rsidRDefault="00B128D5" w:rsidP="00B12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3</w:t>
      </w:r>
    </w:p>
    <w:p w14:paraId="69860E78" w14:textId="77777777" w:rsidR="00B128D5" w:rsidRDefault="00B128D5" w:rsidP="00B128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Intra-Individual Consistency Correlations for the Lipsmacking Imitation Index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48"/>
        <w:gridCol w:w="1948"/>
        <w:gridCol w:w="1948"/>
        <w:gridCol w:w="1948"/>
      </w:tblGrid>
      <w:tr w:rsidR="00B128D5" w:rsidRPr="00D158B0" w14:paraId="6BCE9104" w14:textId="77777777" w:rsidTr="0071694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E6001D" w14:textId="77777777" w:rsidR="00B128D5" w:rsidRPr="00B6652F" w:rsidRDefault="00B128D5" w:rsidP="00B128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509F2F4D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1-2 days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05E683DA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3-4 days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775D04BB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5-6 days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468B5F29" w14:textId="77777777" w:rsidR="00B128D5" w:rsidRPr="00B6652F" w:rsidRDefault="00B128D5" w:rsidP="00B128D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7-8 days</w:t>
            </w:r>
          </w:p>
        </w:tc>
      </w:tr>
      <w:tr w:rsidR="00B128D5" w:rsidRPr="00D158B0" w14:paraId="5829920E" w14:textId="77777777" w:rsidTr="0071694B">
        <w:tc>
          <w:tcPr>
            <w:tcW w:w="1134" w:type="dxa"/>
            <w:tcBorders>
              <w:top w:val="single" w:sz="4" w:space="0" w:color="auto"/>
            </w:tcBorders>
          </w:tcPr>
          <w:p w14:paraId="6E9E4095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1-2 days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209754" w14:textId="77777777" w:rsidR="00B128D5" w:rsidRPr="00B6652F" w:rsidRDefault="00B128D5" w:rsidP="00B128D5">
            <w:pPr>
              <w:tabs>
                <w:tab w:val="decimal" w:pos="88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5A4D74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A301D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F47B43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-.05</w:t>
            </w:r>
          </w:p>
        </w:tc>
      </w:tr>
      <w:tr w:rsidR="00B128D5" w:rsidRPr="00D158B0" w14:paraId="666CEF4F" w14:textId="77777777" w:rsidTr="0071694B">
        <w:tc>
          <w:tcPr>
            <w:tcW w:w="1134" w:type="dxa"/>
          </w:tcPr>
          <w:p w14:paraId="4DD4FF52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3-4 days</w:t>
            </w:r>
          </w:p>
        </w:tc>
        <w:tc>
          <w:tcPr>
            <w:tcW w:w="1948" w:type="dxa"/>
            <w:shd w:val="clear" w:color="auto" w:fill="FFFFFF" w:themeFill="background1"/>
          </w:tcPr>
          <w:p w14:paraId="7F53DDA1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6A5875" w14:textId="77777777" w:rsidR="00B128D5" w:rsidRPr="00B6652F" w:rsidRDefault="00B128D5" w:rsidP="00B128D5">
            <w:pPr>
              <w:tabs>
                <w:tab w:val="decimal" w:pos="91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05ACB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37F2DC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</w:tr>
      <w:tr w:rsidR="00B128D5" w:rsidRPr="00D158B0" w14:paraId="0C17DBB0" w14:textId="77777777" w:rsidTr="0071694B">
        <w:tc>
          <w:tcPr>
            <w:tcW w:w="1134" w:type="dxa"/>
          </w:tcPr>
          <w:p w14:paraId="7C25A09B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5-6 days</w:t>
            </w:r>
          </w:p>
        </w:tc>
        <w:tc>
          <w:tcPr>
            <w:tcW w:w="1948" w:type="dxa"/>
            <w:shd w:val="clear" w:color="auto" w:fill="FFFFFF" w:themeFill="background1"/>
          </w:tcPr>
          <w:p w14:paraId="4A8F64A0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433F3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9EBB5" w14:textId="77777777" w:rsidR="00B128D5" w:rsidRPr="00B6652F" w:rsidRDefault="00B128D5" w:rsidP="00B128D5">
            <w:pPr>
              <w:tabs>
                <w:tab w:val="decimal" w:pos="9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747777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-.21</w:t>
            </w:r>
          </w:p>
        </w:tc>
      </w:tr>
      <w:tr w:rsidR="00B128D5" w:rsidRPr="00D158B0" w14:paraId="6C216658" w14:textId="77777777" w:rsidTr="0071694B">
        <w:tc>
          <w:tcPr>
            <w:tcW w:w="1134" w:type="dxa"/>
            <w:tcBorders>
              <w:bottom w:val="single" w:sz="4" w:space="0" w:color="auto"/>
            </w:tcBorders>
          </w:tcPr>
          <w:p w14:paraId="0A539F0C" w14:textId="77777777" w:rsidR="00B128D5" w:rsidRPr="00B6652F" w:rsidRDefault="00B128D5" w:rsidP="00B128D5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7-8 days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93400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1CB706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A61E8C" w14:textId="77777777" w:rsidR="00B128D5" w:rsidRPr="00B6652F" w:rsidRDefault="00B128D5" w:rsidP="00B128D5">
            <w:pPr>
              <w:tabs>
                <w:tab w:val="decimal" w:pos="743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EEB1A1" w14:textId="77777777" w:rsidR="00B128D5" w:rsidRPr="00B6652F" w:rsidRDefault="00B128D5" w:rsidP="00B128D5">
            <w:pPr>
              <w:tabs>
                <w:tab w:val="decimal" w:pos="858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3A121F6" w14:textId="775F33C4" w:rsidR="009354BB" w:rsidRPr="009354BB" w:rsidRDefault="00B128D5" w:rsidP="009354BB">
      <w:pPr>
        <w:spacing w:before="80"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Note. </w:t>
      </w:r>
      <w:r>
        <w:rPr>
          <w:rFonts w:ascii="Times New Roman" w:hAnsi="Times New Roman" w:cs="Times New Roman"/>
          <w:sz w:val="20"/>
          <w:szCs w:val="20"/>
        </w:rPr>
        <w:t>The average correlation is not significantly different from zero, mean</w:t>
      </w:r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 xml:space="preserve"> = .03,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(5) = 0.41, </w:t>
      </w:r>
      <w:r>
        <w:rPr>
          <w:rFonts w:ascii="Times New Roman" w:hAnsi="Times New Roman" w:cs="Times New Roman"/>
          <w:i/>
          <w:sz w:val="20"/>
          <w:szCs w:val="20"/>
        </w:rPr>
        <w:t xml:space="preserve">p </w:t>
      </w:r>
      <w:r>
        <w:rPr>
          <w:rFonts w:ascii="Times New Roman" w:hAnsi="Times New Roman" w:cs="Times New Roman"/>
          <w:sz w:val="20"/>
          <w:szCs w:val="20"/>
        </w:rPr>
        <w:t>= .699.</w:t>
      </w:r>
      <w:bookmarkStart w:id="0" w:name="_GoBack"/>
      <w:bookmarkEnd w:id="0"/>
    </w:p>
    <w:sectPr w:rsidR="009354BB" w:rsidRPr="009354BB" w:rsidSect="00B128D5">
      <w:pgSz w:w="11906" w:h="16838" w:code="9"/>
      <w:pgMar w:top="1276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644F3" w14:textId="77777777" w:rsidR="008C6EAA" w:rsidRDefault="008C6EAA" w:rsidP="00552D17">
      <w:pPr>
        <w:spacing w:after="0" w:line="240" w:lineRule="auto"/>
      </w:pPr>
      <w:r>
        <w:separator/>
      </w:r>
    </w:p>
  </w:endnote>
  <w:endnote w:type="continuationSeparator" w:id="0">
    <w:p w14:paraId="5B2A9EAB" w14:textId="77777777" w:rsidR="008C6EAA" w:rsidRDefault="008C6EAA" w:rsidP="0055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C9CB" w14:textId="77777777" w:rsidR="008C6EAA" w:rsidRDefault="008C6EAA" w:rsidP="00552D17">
      <w:pPr>
        <w:spacing w:after="0" w:line="240" w:lineRule="auto"/>
      </w:pPr>
      <w:r>
        <w:separator/>
      </w:r>
    </w:p>
  </w:footnote>
  <w:footnote w:type="continuationSeparator" w:id="0">
    <w:p w14:paraId="23663FC1" w14:textId="77777777" w:rsidR="008C6EAA" w:rsidRDefault="008C6EAA" w:rsidP="0055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348"/>
    <w:multiLevelType w:val="hybridMultilevel"/>
    <w:tmpl w:val="0610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5B1B"/>
    <w:multiLevelType w:val="hybridMultilevel"/>
    <w:tmpl w:val="621C50D6"/>
    <w:lvl w:ilvl="0" w:tplc="22F0C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CC4"/>
    <w:multiLevelType w:val="hybridMultilevel"/>
    <w:tmpl w:val="D054AE1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2B40"/>
    <w:multiLevelType w:val="hybridMultilevel"/>
    <w:tmpl w:val="115435DE"/>
    <w:lvl w:ilvl="0" w:tplc="DF42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5997"/>
    <w:multiLevelType w:val="hybridMultilevel"/>
    <w:tmpl w:val="65EC7E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A3C87"/>
    <w:multiLevelType w:val="hybridMultilevel"/>
    <w:tmpl w:val="0E1A50E2"/>
    <w:lvl w:ilvl="0" w:tplc="B02E4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949EF"/>
    <w:multiLevelType w:val="hybridMultilevel"/>
    <w:tmpl w:val="BCE67114"/>
    <w:lvl w:ilvl="0" w:tplc="F118AB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E0A"/>
    <w:multiLevelType w:val="hybridMultilevel"/>
    <w:tmpl w:val="EE643828"/>
    <w:lvl w:ilvl="0" w:tplc="AD9A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0639B"/>
    <w:multiLevelType w:val="hybridMultilevel"/>
    <w:tmpl w:val="74F670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56AE8"/>
    <w:multiLevelType w:val="hybridMultilevel"/>
    <w:tmpl w:val="0944D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2D75"/>
    <w:multiLevelType w:val="hybridMultilevel"/>
    <w:tmpl w:val="0C382464"/>
    <w:lvl w:ilvl="0" w:tplc="29E6E8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93F3B"/>
    <w:multiLevelType w:val="hybridMultilevel"/>
    <w:tmpl w:val="28F81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75C01"/>
    <w:multiLevelType w:val="hybridMultilevel"/>
    <w:tmpl w:val="DB3AEA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0F16"/>
    <w:multiLevelType w:val="hybridMultilevel"/>
    <w:tmpl w:val="C14ADA90"/>
    <w:lvl w:ilvl="0" w:tplc="4D9CB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3D1A"/>
    <w:multiLevelType w:val="hybridMultilevel"/>
    <w:tmpl w:val="789C99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0201B"/>
    <w:rsid w:val="000031F9"/>
    <w:rsid w:val="000119CF"/>
    <w:rsid w:val="0001738D"/>
    <w:rsid w:val="00017718"/>
    <w:rsid w:val="00031B27"/>
    <w:rsid w:val="00033D0C"/>
    <w:rsid w:val="0005317A"/>
    <w:rsid w:val="000726C7"/>
    <w:rsid w:val="00073DE6"/>
    <w:rsid w:val="000833EE"/>
    <w:rsid w:val="000861CD"/>
    <w:rsid w:val="00086CF7"/>
    <w:rsid w:val="0008730C"/>
    <w:rsid w:val="00092BAB"/>
    <w:rsid w:val="000938DA"/>
    <w:rsid w:val="00096276"/>
    <w:rsid w:val="00096F4E"/>
    <w:rsid w:val="0009741F"/>
    <w:rsid w:val="00097EDE"/>
    <w:rsid w:val="000A0A4F"/>
    <w:rsid w:val="000A55B3"/>
    <w:rsid w:val="000B550E"/>
    <w:rsid w:val="000B635F"/>
    <w:rsid w:val="000B63A0"/>
    <w:rsid w:val="000B7E81"/>
    <w:rsid w:val="000C200B"/>
    <w:rsid w:val="000C5C9B"/>
    <w:rsid w:val="000F0DD3"/>
    <w:rsid w:val="000F158C"/>
    <w:rsid w:val="000F1AA2"/>
    <w:rsid w:val="000F2031"/>
    <w:rsid w:val="000F3C72"/>
    <w:rsid w:val="000F41B8"/>
    <w:rsid w:val="00101EE2"/>
    <w:rsid w:val="001037B3"/>
    <w:rsid w:val="00111EFE"/>
    <w:rsid w:val="00115B12"/>
    <w:rsid w:val="00120241"/>
    <w:rsid w:val="0012382A"/>
    <w:rsid w:val="00131FD4"/>
    <w:rsid w:val="00132350"/>
    <w:rsid w:val="00134EBD"/>
    <w:rsid w:val="001361AD"/>
    <w:rsid w:val="00141C47"/>
    <w:rsid w:val="00145751"/>
    <w:rsid w:val="0015498F"/>
    <w:rsid w:val="00154A81"/>
    <w:rsid w:val="001715A9"/>
    <w:rsid w:val="001723E8"/>
    <w:rsid w:val="0017618C"/>
    <w:rsid w:val="0018580D"/>
    <w:rsid w:val="00190938"/>
    <w:rsid w:val="0019146F"/>
    <w:rsid w:val="001A2DAA"/>
    <w:rsid w:val="001A2EEC"/>
    <w:rsid w:val="001A438F"/>
    <w:rsid w:val="001B098D"/>
    <w:rsid w:val="001B4D14"/>
    <w:rsid w:val="001C26C7"/>
    <w:rsid w:val="001C2CE0"/>
    <w:rsid w:val="001C4394"/>
    <w:rsid w:val="001C5480"/>
    <w:rsid w:val="001D0AC8"/>
    <w:rsid w:val="001D3214"/>
    <w:rsid w:val="001D7996"/>
    <w:rsid w:val="001E6ABD"/>
    <w:rsid w:val="001F1DE4"/>
    <w:rsid w:val="001F6DEA"/>
    <w:rsid w:val="0020046E"/>
    <w:rsid w:val="0020521B"/>
    <w:rsid w:val="0020586B"/>
    <w:rsid w:val="002115BB"/>
    <w:rsid w:val="002136C9"/>
    <w:rsid w:val="002305F1"/>
    <w:rsid w:val="00233980"/>
    <w:rsid w:val="002347BD"/>
    <w:rsid w:val="002406A5"/>
    <w:rsid w:val="00256111"/>
    <w:rsid w:val="002576E6"/>
    <w:rsid w:val="00260135"/>
    <w:rsid w:val="002606E8"/>
    <w:rsid w:val="00265E4E"/>
    <w:rsid w:val="00272234"/>
    <w:rsid w:val="002746DB"/>
    <w:rsid w:val="00274D96"/>
    <w:rsid w:val="00276176"/>
    <w:rsid w:val="00280C59"/>
    <w:rsid w:val="00282A8D"/>
    <w:rsid w:val="00290452"/>
    <w:rsid w:val="002918A1"/>
    <w:rsid w:val="0029633B"/>
    <w:rsid w:val="00297E15"/>
    <w:rsid w:val="002A20AC"/>
    <w:rsid w:val="002A31C0"/>
    <w:rsid w:val="002A5181"/>
    <w:rsid w:val="002A6292"/>
    <w:rsid w:val="002B2798"/>
    <w:rsid w:val="002C34C2"/>
    <w:rsid w:val="002C458D"/>
    <w:rsid w:val="002C4768"/>
    <w:rsid w:val="002D4BF2"/>
    <w:rsid w:val="002E3574"/>
    <w:rsid w:val="002E3C2B"/>
    <w:rsid w:val="002E4A89"/>
    <w:rsid w:val="003106D0"/>
    <w:rsid w:val="0031580B"/>
    <w:rsid w:val="00316C99"/>
    <w:rsid w:val="00316D29"/>
    <w:rsid w:val="003233D3"/>
    <w:rsid w:val="003255DF"/>
    <w:rsid w:val="003276C8"/>
    <w:rsid w:val="00331DA4"/>
    <w:rsid w:val="00336CF2"/>
    <w:rsid w:val="00343627"/>
    <w:rsid w:val="003442A5"/>
    <w:rsid w:val="00344FAB"/>
    <w:rsid w:val="003501FD"/>
    <w:rsid w:val="003652AA"/>
    <w:rsid w:val="00370B09"/>
    <w:rsid w:val="00372C6F"/>
    <w:rsid w:val="00380D2A"/>
    <w:rsid w:val="00382040"/>
    <w:rsid w:val="00384298"/>
    <w:rsid w:val="00391EC6"/>
    <w:rsid w:val="00392AC1"/>
    <w:rsid w:val="00395AF1"/>
    <w:rsid w:val="003976B4"/>
    <w:rsid w:val="003B20B2"/>
    <w:rsid w:val="003B43E8"/>
    <w:rsid w:val="003D5A0B"/>
    <w:rsid w:val="003D64C9"/>
    <w:rsid w:val="003D64CA"/>
    <w:rsid w:val="003E5D7D"/>
    <w:rsid w:val="003E7AB3"/>
    <w:rsid w:val="003F7383"/>
    <w:rsid w:val="00401913"/>
    <w:rsid w:val="00407D4A"/>
    <w:rsid w:val="004174C1"/>
    <w:rsid w:val="00421467"/>
    <w:rsid w:val="0042242B"/>
    <w:rsid w:val="004246C4"/>
    <w:rsid w:val="00427386"/>
    <w:rsid w:val="00432642"/>
    <w:rsid w:val="00432DD9"/>
    <w:rsid w:val="004442D3"/>
    <w:rsid w:val="0044521C"/>
    <w:rsid w:val="00455F9A"/>
    <w:rsid w:val="00456C08"/>
    <w:rsid w:val="00465E33"/>
    <w:rsid w:val="00470CAF"/>
    <w:rsid w:val="00496289"/>
    <w:rsid w:val="004A266A"/>
    <w:rsid w:val="004B6EA8"/>
    <w:rsid w:val="004C14A9"/>
    <w:rsid w:val="004C4D1C"/>
    <w:rsid w:val="004D37B2"/>
    <w:rsid w:val="004D3C82"/>
    <w:rsid w:val="004F301B"/>
    <w:rsid w:val="004F4F11"/>
    <w:rsid w:val="0051016E"/>
    <w:rsid w:val="00521CD3"/>
    <w:rsid w:val="00523BA5"/>
    <w:rsid w:val="00526CB3"/>
    <w:rsid w:val="00530380"/>
    <w:rsid w:val="0053602F"/>
    <w:rsid w:val="005417DB"/>
    <w:rsid w:val="00541A06"/>
    <w:rsid w:val="00541A2E"/>
    <w:rsid w:val="0054241D"/>
    <w:rsid w:val="00542D8C"/>
    <w:rsid w:val="00551707"/>
    <w:rsid w:val="00552D17"/>
    <w:rsid w:val="0056127F"/>
    <w:rsid w:val="00565CF4"/>
    <w:rsid w:val="00571C00"/>
    <w:rsid w:val="00571FAE"/>
    <w:rsid w:val="005748C2"/>
    <w:rsid w:val="005756A2"/>
    <w:rsid w:val="00577DC9"/>
    <w:rsid w:val="005858E9"/>
    <w:rsid w:val="00586765"/>
    <w:rsid w:val="00587539"/>
    <w:rsid w:val="00590F43"/>
    <w:rsid w:val="00591858"/>
    <w:rsid w:val="005A66D8"/>
    <w:rsid w:val="005B3413"/>
    <w:rsid w:val="005B4311"/>
    <w:rsid w:val="005B6718"/>
    <w:rsid w:val="005C0B96"/>
    <w:rsid w:val="005C34C9"/>
    <w:rsid w:val="005C3D45"/>
    <w:rsid w:val="005D1D00"/>
    <w:rsid w:val="005E45F4"/>
    <w:rsid w:val="005E567E"/>
    <w:rsid w:val="005E56F2"/>
    <w:rsid w:val="005E70C6"/>
    <w:rsid w:val="005F5482"/>
    <w:rsid w:val="0060008F"/>
    <w:rsid w:val="006028BB"/>
    <w:rsid w:val="00603E49"/>
    <w:rsid w:val="006143E1"/>
    <w:rsid w:val="00622FBC"/>
    <w:rsid w:val="006239A6"/>
    <w:rsid w:val="006401C1"/>
    <w:rsid w:val="00641FFD"/>
    <w:rsid w:val="0064334E"/>
    <w:rsid w:val="00645655"/>
    <w:rsid w:val="00650E94"/>
    <w:rsid w:val="006520BD"/>
    <w:rsid w:val="00653D1A"/>
    <w:rsid w:val="00661FC4"/>
    <w:rsid w:val="0066635F"/>
    <w:rsid w:val="006675DF"/>
    <w:rsid w:val="006818FF"/>
    <w:rsid w:val="00687E9F"/>
    <w:rsid w:val="00691D6C"/>
    <w:rsid w:val="00692021"/>
    <w:rsid w:val="006B0008"/>
    <w:rsid w:val="006B18B6"/>
    <w:rsid w:val="006B758C"/>
    <w:rsid w:val="006C02F7"/>
    <w:rsid w:val="006C09C7"/>
    <w:rsid w:val="006C688D"/>
    <w:rsid w:val="006E1312"/>
    <w:rsid w:val="006E219E"/>
    <w:rsid w:val="006F2C96"/>
    <w:rsid w:val="006F7F6F"/>
    <w:rsid w:val="007120F0"/>
    <w:rsid w:val="007121BB"/>
    <w:rsid w:val="00712417"/>
    <w:rsid w:val="007171FA"/>
    <w:rsid w:val="00741246"/>
    <w:rsid w:val="0075269D"/>
    <w:rsid w:val="0075310F"/>
    <w:rsid w:val="0076298C"/>
    <w:rsid w:val="007670F3"/>
    <w:rsid w:val="00771AB1"/>
    <w:rsid w:val="00775C0B"/>
    <w:rsid w:val="00775E6C"/>
    <w:rsid w:val="0079079E"/>
    <w:rsid w:val="0079095A"/>
    <w:rsid w:val="00793BDE"/>
    <w:rsid w:val="0079627A"/>
    <w:rsid w:val="007968C9"/>
    <w:rsid w:val="007A0266"/>
    <w:rsid w:val="007A57DA"/>
    <w:rsid w:val="007B7B74"/>
    <w:rsid w:val="007B7DA0"/>
    <w:rsid w:val="007C086E"/>
    <w:rsid w:val="007C172E"/>
    <w:rsid w:val="007C2BCA"/>
    <w:rsid w:val="007C540A"/>
    <w:rsid w:val="007C5F79"/>
    <w:rsid w:val="007C7075"/>
    <w:rsid w:val="007D0593"/>
    <w:rsid w:val="007D1286"/>
    <w:rsid w:val="007D6144"/>
    <w:rsid w:val="007E13DF"/>
    <w:rsid w:val="007E3416"/>
    <w:rsid w:val="007F00E2"/>
    <w:rsid w:val="007F417E"/>
    <w:rsid w:val="008056FF"/>
    <w:rsid w:val="00806937"/>
    <w:rsid w:val="00807128"/>
    <w:rsid w:val="00810BC0"/>
    <w:rsid w:val="00813CA3"/>
    <w:rsid w:val="00814212"/>
    <w:rsid w:val="0082047F"/>
    <w:rsid w:val="00824EC1"/>
    <w:rsid w:val="00824ECA"/>
    <w:rsid w:val="00831EB3"/>
    <w:rsid w:val="00832DAB"/>
    <w:rsid w:val="00836FF7"/>
    <w:rsid w:val="0084285F"/>
    <w:rsid w:val="00846498"/>
    <w:rsid w:val="008562BB"/>
    <w:rsid w:val="00863306"/>
    <w:rsid w:val="0086452B"/>
    <w:rsid w:val="008653C4"/>
    <w:rsid w:val="00866078"/>
    <w:rsid w:val="0088093B"/>
    <w:rsid w:val="00885FA2"/>
    <w:rsid w:val="0089502D"/>
    <w:rsid w:val="008A02A7"/>
    <w:rsid w:val="008A1103"/>
    <w:rsid w:val="008A2F58"/>
    <w:rsid w:val="008A46FE"/>
    <w:rsid w:val="008A74FD"/>
    <w:rsid w:val="008B0C77"/>
    <w:rsid w:val="008B7150"/>
    <w:rsid w:val="008C1D0D"/>
    <w:rsid w:val="008C3B6A"/>
    <w:rsid w:val="008C622F"/>
    <w:rsid w:val="008C6EAA"/>
    <w:rsid w:val="008E1653"/>
    <w:rsid w:val="008E6030"/>
    <w:rsid w:val="008F2F0C"/>
    <w:rsid w:val="008F4510"/>
    <w:rsid w:val="008F58DE"/>
    <w:rsid w:val="00900AF9"/>
    <w:rsid w:val="00906B59"/>
    <w:rsid w:val="0090730C"/>
    <w:rsid w:val="0091340C"/>
    <w:rsid w:val="0091667A"/>
    <w:rsid w:val="00917DCC"/>
    <w:rsid w:val="00933268"/>
    <w:rsid w:val="009348DD"/>
    <w:rsid w:val="009354BB"/>
    <w:rsid w:val="00945F32"/>
    <w:rsid w:val="009606F9"/>
    <w:rsid w:val="00965E15"/>
    <w:rsid w:val="009715B0"/>
    <w:rsid w:val="00974033"/>
    <w:rsid w:val="009760D1"/>
    <w:rsid w:val="0097613C"/>
    <w:rsid w:val="0098371F"/>
    <w:rsid w:val="00984927"/>
    <w:rsid w:val="0098652F"/>
    <w:rsid w:val="009960DB"/>
    <w:rsid w:val="009A2C73"/>
    <w:rsid w:val="009B0569"/>
    <w:rsid w:val="009B283D"/>
    <w:rsid w:val="009C2386"/>
    <w:rsid w:val="009C4109"/>
    <w:rsid w:val="009D1867"/>
    <w:rsid w:val="009D67A8"/>
    <w:rsid w:val="009E47EC"/>
    <w:rsid w:val="009F46AB"/>
    <w:rsid w:val="009F6484"/>
    <w:rsid w:val="00A00D9B"/>
    <w:rsid w:val="00A0174E"/>
    <w:rsid w:val="00A0260E"/>
    <w:rsid w:val="00A129B1"/>
    <w:rsid w:val="00A1735B"/>
    <w:rsid w:val="00A24A1C"/>
    <w:rsid w:val="00A250A6"/>
    <w:rsid w:val="00A35CFA"/>
    <w:rsid w:val="00A36FC8"/>
    <w:rsid w:val="00A41FC0"/>
    <w:rsid w:val="00A4217C"/>
    <w:rsid w:val="00A44564"/>
    <w:rsid w:val="00A4520A"/>
    <w:rsid w:val="00A51076"/>
    <w:rsid w:val="00A53F9B"/>
    <w:rsid w:val="00A6416B"/>
    <w:rsid w:val="00A65197"/>
    <w:rsid w:val="00A66CD7"/>
    <w:rsid w:val="00A72AEE"/>
    <w:rsid w:val="00A87A4C"/>
    <w:rsid w:val="00A91B0C"/>
    <w:rsid w:val="00A91C52"/>
    <w:rsid w:val="00A969D9"/>
    <w:rsid w:val="00AA3E8B"/>
    <w:rsid w:val="00AB66F6"/>
    <w:rsid w:val="00AB6F7D"/>
    <w:rsid w:val="00AB75EE"/>
    <w:rsid w:val="00AC122A"/>
    <w:rsid w:val="00AC325D"/>
    <w:rsid w:val="00AC3EDD"/>
    <w:rsid w:val="00AD264E"/>
    <w:rsid w:val="00AD32A1"/>
    <w:rsid w:val="00AE00CB"/>
    <w:rsid w:val="00AE0437"/>
    <w:rsid w:val="00AF42D3"/>
    <w:rsid w:val="00AF4C14"/>
    <w:rsid w:val="00AF5C37"/>
    <w:rsid w:val="00B014F8"/>
    <w:rsid w:val="00B025A3"/>
    <w:rsid w:val="00B064DD"/>
    <w:rsid w:val="00B128D5"/>
    <w:rsid w:val="00B1355F"/>
    <w:rsid w:val="00B16B65"/>
    <w:rsid w:val="00B1721B"/>
    <w:rsid w:val="00B23915"/>
    <w:rsid w:val="00B339F3"/>
    <w:rsid w:val="00B34025"/>
    <w:rsid w:val="00B40D6E"/>
    <w:rsid w:val="00B421D9"/>
    <w:rsid w:val="00B442E4"/>
    <w:rsid w:val="00B45E20"/>
    <w:rsid w:val="00B515DF"/>
    <w:rsid w:val="00B53227"/>
    <w:rsid w:val="00B55882"/>
    <w:rsid w:val="00B5673B"/>
    <w:rsid w:val="00B56784"/>
    <w:rsid w:val="00B74773"/>
    <w:rsid w:val="00B81404"/>
    <w:rsid w:val="00B85C22"/>
    <w:rsid w:val="00B9347A"/>
    <w:rsid w:val="00B9680D"/>
    <w:rsid w:val="00BA0015"/>
    <w:rsid w:val="00BA0EDC"/>
    <w:rsid w:val="00BB1923"/>
    <w:rsid w:val="00BB456D"/>
    <w:rsid w:val="00BB50DE"/>
    <w:rsid w:val="00BC74DA"/>
    <w:rsid w:val="00BD59F8"/>
    <w:rsid w:val="00BE05AB"/>
    <w:rsid w:val="00BE447D"/>
    <w:rsid w:val="00C065E3"/>
    <w:rsid w:val="00C12CA7"/>
    <w:rsid w:val="00C17F05"/>
    <w:rsid w:val="00C342E7"/>
    <w:rsid w:val="00C34C61"/>
    <w:rsid w:val="00C35F07"/>
    <w:rsid w:val="00C367DC"/>
    <w:rsid w:val="00C41463"/>
    <w:rsid w:val="00C45D44"/>
    <w:rsid w:val="00C47F4F"/>
    <w:rsid w:val="00C50ED0"/>
    <w:rsid w:val="00C6066F"/>
    <w:rsid w:val="00C6354F"/>
    <w:rsid w:val="00C717FB"/>
    <w:rsid w:val="00C75591"/>
    <w:rsid w:val="00C77B26"/>
    <w:rsid w:val="00C801D6"/>
    <w:rsid w:val="00C82C05"/>
    <w:rsid w:val="00C83D0E"/>
    <w:rsid w:val="00C913B3"/>
    <w:rsid w:val="00C936CC"/>
    <w:rsid w:val="00C94DA2"/>
    <w:rsid w:val="00C97E39"/>
    <w:rsid w:val="00CA0429"/>
    <w:rsid w:val="00CA0576"/>
    <w:rsid w:val="00CA0CFA"/>
    <w:rsid w:val="00CA40CB"/>
    <w:rsid w:val="00CA67D0"/>
    <w:rsid w:val="00CB4011"/>
    <w:rsid w:val="00CC1A07"/>
    <w:rsid w:val="00CC391C"/>
    <w:rsid w:val="00CC72E4"/>
    <w:rsid w:val="00CD03CB"/>
    <w:rsid w:val="00CE1C72"/>
    <w:rsid w:val="00CE3408"/>
    <w:rsid w:val="00CF6E61"/>
    <w:rsid w:val="00D071D0"/>
    <w:rsid w:val="00D105B1"/>
    <w:rsid w:val="00D11D0F"/>
    <w:rsid w:val="00D1798B"/>
    <w:rsid w:val="00D21644"/>
    <w:rsid w:val="00D25095"/>
    <w:rsid w:val="00D27305"/>
    <w:rsid w:val="00D31BEA"/>
    <w:rsid w:val="00D32D32"/>
    <w:rsid w:val="00D41E31"/>
    <w:rsid w:val="00D424E2"/>
    <w:rsid w:val="00D46161"/>
    <w:rsid w:val="00D525EE"/>
    <w:rsid w:val="00D569A2"/>
    <w:rsid w:val="00D60121"/>
    <w:rsid w:val="00D60E91"/>
    <w:rsid w:val="00D67793"/>
    <w:rsid w:val="00D7135C"/>
    <w:rsid w:val="00D74AFB"/>
    <w:rsid w:val="00D869D6"/>
    <w:rsid w:val="00D905EF"/>
    <w:rsid w:val="00D95B03"/>
    <w:rsid w:val="00D9760B"/>
    <w:rsid w:val="00DA54CC"/>
    <w:rsid w:val="00DB420D"/>
    <w:rsid w:val="00DB4326"/>
    <w:rsid w:val="00DB4EA3"/>
    <w:rsid w:val="00DD2744"/>
    <w:rsid w:val="00DD7340"/>
    <w:rsid w:val="00DE6208"/>
    <w:rsid w:val="00DF1BE4"/>
    <w:rsid w:val="00DF26FE"/>
    <w:rsid w:val="00DF4DBC"/>
    <w:rsid w:val="00DF58F5"/>
    <w:rsid w:val="00E06460"/>
    <w:rsid w:val="00E123EF"/>
    <w:rsid w:val="00E411A5"/>
    <w:rsid w:val="00E45C84"/>
    <w:rsid w:val="00E47C55"/>
    <w:rsid w:val="00E52C70"/>
    <w:rsid w:val="00E52C88"/>
    <w:rsid w:val="00E53F41"/>
    <w:rsid w:val="00E55178"/>
    <w:rsid w:val="00E576E1"/>
    <w:rsid w:val="00E62BC3"/>
    <w:rsid w:val="00E64B2C"/>
    <w:rsid w:val="00E657DE"/>
    <w:rsid w:val="00E660F9"/>
    <w:rsid w:val="00E701FF"/>
    <w:rsid w:val="00E75391"/>
    <w:rsid w:val="00E87E59"/>
    <w:rsid w:val="00E9388E"/>
    <w:rsid w:val="00EA140B"/>
    <w:rsid w:val="00EA7989"/>
    <w:rsid w:val="00EB7072"/>
    <w:rsid w:val="00EC6392"/>
    <w:rsid w:val="00ED232B"/>
    <w:rsid w:val="00ED4CFC"/>
    <w:rsid w:val="00EE411E"/>
    <w:rsid w:val="00EE6DA4"/>
    <w:rsid w:val="00EE7E7C"/>
    <w:rsid w:val="00EF645C"/>
    <w:rsid w:val="00EF6871"/>
    <w:rsid w:val="00F00438"/>
    <w:rsid w:val="00F006F2"/>
    <w:rsid w:val="00F00CD5"/>
    <w:rsid w:val="00F00E31"/>
    <w:rsid w:val="00F00E3D"/>
    <w:rsid w:val="00F05F99"/>
    <w:rsid w:val="00F208B2"/>
    <w:rsid w:val="00F3284D"/>
    <w:rsid w:val="00F33252"/>
    <w:rsid w:val="00F40FCE"/>
    <w:rsid w:val="00F4424B"/>
    <w:rsid w:val="00F46331"/>
    <w:rsid w:val="00F463AC"/>
    <w:rsid w:val="00F54890"/>
    <w:rsid w:val="00F63E9E"/>
    <w:rsid w:val="00F66763"/>
    <w:rsid w:val="00F717D7"/>
    <w:rsid w:val="00F7203C"/>
    <w:rsid w:val="00F72161"/>
    <w:rsid w:val="00F747AD"/>
    <w:rsid w:val="00F75C1E"/>
    <w:rsid w:val="00F76252"/>
    <w:rsid w:val="00F76E41"/>
    <w:rsid w:val="00F835F8"/>
    <w:rsid w:val="00F8619E"/>
    <w:rsid w:val="00F9470C"/>
    <w:rsid w:val="00F94FD7"/>
    <w:rsid w:val="00FA66A2"/>
    <w:rsid w:val="00FB0299"/>
    <w:rsid w:val="00FB4231"/>
    <w:rsid w:val="00FB5CBB"/>
    <w:rsid w:val="00FB6EF9"/>
    <w:rsid w:val="00FC00B2"/>
    <w:rsid w:val="00FC5463"/>
    <w:rsid w:val="00FC6436"/>
    <w:rsid w:val="00FC6656"/>
    <w:rsid w:val="00FC73B8"/>
    <w:rsid w:val="00FC7CE3"/>
    <w:rsid w:val="00FD00EE"/>
    <w:rsid w:val="00FD116E"/>
    <w:rsid w:val="00FD34DF"/>
    <w:rsid w:val="00FE0F5A"/>
    <w:rsid w:val="00FE49D7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1521D"/>
  <w15:chartTrackingRefBased/>
  <w15:docId w15:val="{1CB77ADA-F659-4EC4-845E-26ED7C1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17"/>
  </w:style>
  <w:style w:type="paragraph" w:styleId="Footer">
    <w:name w:val="footer"/>
    <w:basedOn w:val="Normal"/>
    <w:link w:val="FooterChar"/>
    <w:uiPriority w:val="99"/>
    <w:unhideWhenUsed/>
    <w:rsid w:val="0055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17"/>
  </w:style>
  <w:style w:type="character" w:styleId="CommentReference">
    <w:name w:val="annotation reference"/>
    <w:basedOn w:val="DefaultParagraphFont"/>
    <w:uiPriority w:val="99"/>
    <w:semiHidden/>
    <w:unhideWhenUsed/>
    <w:rsid w:val="00C9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7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7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7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37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40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0CB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1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98/rsbl.2019.03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B8A7-6497-43D7-9E27-DD7579D5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Redshaw</dc:creator>
  <cp:keywords/>
  <dc:description/>
  <cp:lastModifiedBy>Jonathan Redshaw</cp:lastModifiedBy>
  <cp:revision>16</cp:revision>
  <cp:lastPrinted>2019-04-25T04:51:00Z</cp:lastPrinted>
  <dcterms:created xsi:type="dcterms:W3CDTF">2019-06-15T01:16:00Z</dcterms:created>
  <dcterms:modified xsi:type="dcterms:W3CDTF">2019-07-09T03:14:00Z</dcterms:modified>
</cp:coreProperties>
</file>