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58A7A" w14:textId="77777777" w:rsidR="00775070" w:rsidRPr="00DF1DEF" w:rsidRDefault="00775070" w:rsidP="00BD7A92">
      <w:pPr>
        <w:pStyle w:val="Title"/>
        <w:spacing w:before="120" w:after="120" w:line="480" w:lineRule="auto"/>
        <w:jc w:val="center"/>
        <w:rPr>
          <w:rFonts w:ascii="Times New Roman" w:hAnsi="Times New Roman"/>
          <w:szCs w:val="24"/>
        </w:rPr>
      </w:pPr>
      <w:r w:rsidRPr="00DF1DEF">
        <w:rPr>
          <w:rFonts w:ascii="Times New Roman" w:hAnsi="Times New Roman"/>
          <w:szCs w:val="24"/>
        </w:rPr>
        <w:t>Supplementary material</w:t>
      </w:r>
    </w:p>
    <w:p w14:paraId="4A8E4582" w14:textId="60C48D75" w:rsidR="000B2DC0" w:rsidRPr="009416FF" w:rsidRDefault="000B2DC0" w:rsidP="00BD7A92">
      <w:pPr>
        <w:pStyle w:val="Title"/>
        <w:tabs>
          <w:tab w:val="left" w:pos="4536"/>
        </w:tabs>
        <w:spacing w:before="120" w:after="120" w:line="480" w:lineRule="auto"/>
        <w:jc w:val="center"/>
        <w:rPr>
          <w:rFonts w:ascii="Times New Roman" w:hAnsi="Times New Roman"/>
          <w:sz w:val="32"/>
        </w:rPr>
      </w:pPr>
      <w:r>
        <w:rPr>
          <w:rFonts w:ascii="Times New Roman" w:hAnsi="Times New Roman"/>
          <w:sz w:val="32"/>
        </w:rPr>
        <w:t xml:space="preserve">Can pathogens optimise both </w:t>
      </w:r>
      <w:r w:rsidR="00D07A8C">
        <w:rPr>
          <w:rFonts w:ascii="Times New Roman" w:hAnsi="Times New Roman"/>
          <w:sz w:val="32"/>
        </w:rPr>
        <w:t>transmission</w:t>
      </w:r>
      <w:r>
        <w:rPr>
          <w:rFonts w:ascii="Times New Roman" w:hAnsi="Times New Roman"/>
          <w:sz w:val="32"/>
        </w:rPr>
        <w:t xml:space="preserve"> and dispersal by </w:t>
      </w:r>
      <w:r w:rsidR="00FD75E4">
        <w:rPr>
          <w:rFonts w:ascii="Times New Roman" w:hAnsi="Times New Roman"/>
          <w:sz w:val="32"/>
        </w:rPr>
        <w:t>exploiting sexual dimorphism in their hosts</w:t>
      </w:r>
      <w:r>
        <w:rPr>
          <w:rFonts w:ascii="Times New Roman" w:hAnsi="Times New Roman"/>
          <w:sz w:val="32"/>
        </w:rPr>
        <w:t>?</w:t>
      </w:r>
      <w:bookmarkStart w:id="0" w:name="_GoBack"/>
      <w:bookmarkEnd w:id="0"/>
    </w:p>
    <w:p w14:paraId="4F0D683D" w14:textId="77777777" w:rsidR="00775070" w:rsidRPr="004E4BE3" w:rsidRDefault="00775070" w:rsidP="00BD7A92">
      <w:pPr>
        <w:spacing w:before="120" w:after="120" w:line="480" w:lineRule="auto"/>
      </w:pPr>
      <w:r w:rsidRPr="004E4BE3">
        <w:t>Louise Solveig Nørgaard</w:t>
      </w:r>
      <w:r w:rsidRPr="004E4BE3">
        <w:rPr>
          <w:vertAlign w:val="superscript"/>
        </w:rPr>
        <w:t>1*</w:t>
      </w:r>
      <w:r w:rsidRPr="004E4BE3">
        <w:t xml:space="preserve">, Ben </w:t>
      </w:r>
      <w:r w:rsidR="00E7567B">
        <w:t xml:space="preserve">L. </w:t>
      </w:r>
      <w:r w:rsidRPr="004E4BE3">
        <w:t>Phillips</w:t>
      </w:r>
      <w:r w:rsidRPr="004E4BE3">
        <w:rPr>
          <w:vertAlign w:val="superscript"/>
        </w:rPr>
        <w:t>2</w:t>
      </w:r>
      <w:r w:rsidRPr="004E4BE3">
        <w:t xml:space="preserve"> &amp; Matthew Hall</w:t>
      </w:r>
      <w:r w:rsidRPr="004E4BE3">
        <w:rPr>
          <w:vertAlign w:val="superscript"/>
        </w:rPr>
        <w:t>1</w:t>
      </w:r>
    </w:p>
    <w:p w14:paraId="5064C819" w14:textId="77777777" w:rsidR="00775070" w:rsidRPr="004E4BE3" w:rsidRDefault="00775070" w:rsidP="00BD7A92">
      <w:pPr>
        <w:spacing w:before="120" w:after="120" w:line="480" w:lineRule="auto"/>
      </w:pPr>
      <w:r w:rsidRPr="004E4BE3">
        <w:rPr>
          <w:vertAlign w:val="superscript"/>
        </w:rPr>
        <w:t>1</w:t>
      </w:r>
      <w:r w:rsidRPr="004E4BE3">
        <w:t xml:space="preserve">School of Biological Sciences and </w:t>
      </w:r>
      <w:bookmarkStart w:id="1" w:name="OLE_LINK1"/>
      <w:r w:rsidRPr="004E4BE3">
        <w:t>Centre for Geometric Biology</w:t>
      </w:r>
      <w:bookmarkEnd w:id="1"/>
      <w:r w:rsidRPr="004E4BE3">
        <w:t>, Monash University, Melbourne 3800, Australia</w:t>
      </w:r>
    </w:p>
    <w:p w14:paraId="455D3C0D" w14:textId="77777777" w:rsidR="00775070" w:rsidRPr="004E4BE3" w:rsidRDefault="00775070" w:rsidP="00BD7A92">
      <w:pPr>
        <w:spacing w:before="120" w:after="120" w:line="480" w:lineRule="auto"/>
      </w:pPr>
      <w:r w:rsidRPr="004E4BE3">
        <w:rPr>
          <w:vertAlign w:val="superscript"/>
        </w:rPr>
        <w:t>2</w:t>
      </w:r>
      <w:r w:rsidRPr="004E4BE3">
        <w:t xml:space="preserve">Department of Biosciences, University of Melbourne, Parkville, VIC, Australia </w:t>
      </w:r>
    </w:p>
    <w:p w14:paraId="24D597D0" w14:textId="77777777" w:rsidR="00775070" w:rsidRPr="004E4BE3" w:rsidRDefault="00775070" w:rsidP="00BD7A92">
      <w:pPr>
        <w:spacing w:before="120" w:after="120" w:line="480" w:lineRule="auto"/>
        <w:rPr>
          <w:rStyle w:val="Hyperlink"/>
          <w:color w:val="auto"/>
        </w:rPr>
      </w:pPr>
      <w:r w:rsidRPr="004E4BE3">
        <w:t xml:space="preserve">*Corresponding author: </w:t>
      </w:r>
      <w:hyperlink r:id="rId8" w:history="1">
        <w:r w:rsidRPr="00112751">
          <w:rPr>
            <w:rStyle w:val="Hyperlink"/>
            <w:color w:val="00B0F0"/>
          </w:rPr>
          <w:t>louise.noergaard@monash.edu</w:t>
        </w:r>
      </w:hyperlink>
    </w:p>
    <w:p w14:paraId="312DDF47" w14:textId="77777777" w:rsidR="00C3137C" w:rsidRPr="008F7D43" w:rsidRDefault="00944829" w:rsidP="00BD7A92">
      <w:pPr>
        <w:spacing w:before="120" w:after="120" w:line="480" w:lineRule="auto"/>
        <w:rPr>
          <w:rStyle w:val="Hyperlink"/>
          <w:color w:val="auto"/>
          <w:sz w:val="28"/>
          <w:u w:val="none"/>
        </w:rPr>
      </w:pPr>
      <w:r>
        <w:rPr>
          <w:rStyle w:val="Hyperlink"/>
          <w:color w:val="auto"/>
          <w:sz w:val="28"/>
          <w:u w:val="none"/>
        </w:rPr>
        <w:br w:type="page"/>
      </w:r>
      <w:r w:rsidR="00C3137C" w:rsidRPr="008F7D43">
        <w:rPr>
          <w:rStyle w:val="Hyperlink"/>
          <w:color w:val="auto"/>
          <w:sz w:val="28"/>
          <w:u w:val="none"/>
        </w:rPr>
        <w:lastRenderedPageBreak/>
        <w:t xml:space="preserve">Production of male and female </w:t>
      </w:r>
      <w:r w:rsidR="00C3137C" w:rsidRPr="008F7D43">
        <w:rPr>
          <w:rStyle w:val="Hyperlink"/>
          <w:i/>
          <w:color w:val="auto"/>
          <w:sz w:val="28"/>
          <w:u w:val="none"/>
        </w:rPr>
        <w:t>Daphnia</w:t>
      </w:r>
      <w:r w:rsidR="00C3137C" w:rsidRPr="008F7D43">
        <w:rPr>
          <w:rStyle w:val="Hyperlink"/>
          <w:color w:val="auto"/>
          <w:sz w:val="28"/>
          <w:u w:val="none"/>
        </w:rPr>
        <w:t xml:space="preserve"> </w:t>
      </w:r>
    </w:p>
    <w:p w14:paraId="47DB8308" w14:textId="77777777" w:rsidR="00941036" w:rsidRDefault="00D32BCB" w:rsidP="00BD7A92">
      <w:pPr>
        <w:spacing w:before="120" w:after="120" w:line="480" w:lineRule="auto"/>
      </w:pPr>
      <w:r w:rsidRPr="004E4BE3">
        <w:rPr>
          <w:rStyle w:val="Hyperlink"/>
          <w:color w:val="auto"/>
          <w:u w:val="none"/>
        </w:rPr>
        <w:t xml:space="preserve">Naturally, female </w:t>
      </w:r>
      <w:r w:rsidRPr="004E4BE3">
        <w:rPr>
          <w:rStyle w:val="Hyperlink"/>
          <w:i/>
          <w:color w:val="auto"/>
          <w:u w:val="none"/>
        </w:rPr>
        <w:t>Daphnia</w:t>
      </w:r>
      <w:r w:rsidRPr="004E4BE3">
        <w:rPr>
          <w:rStyle w:val="Hyperlink"/>
          <w:color w:val="auto"/>
          <w:u w:val="none"/>
        </w:rPr>
        <w:t xml:space="preserve"> can shift to producing male and female offspring</w:t>
      </w:r>
      <w:r w:rsidR="00941036">
        <w:rPr>
          <w:rStyle w:val="Hyperlink"/>
          <w:color w:val="auto"/>
          <w:u w:val="none"/>
        </w:rPr>
        <w:t xml:space="preserve"> </w:t>
      </w:r>
      <w:r w:rsidRPr="004E4BE3">
        <w:rPr>
          <w:rStyle w:val="Hyperlink"/>
          <w:color w:val="auto"/>
          <w:u w:val="none"/>
        </w:rPr>
        <w:t>given certain environmental conditions</w:t>
      </w:r>
      <w:r w:rsidR="00D022BF" w:rsidRPr="004E4BE3">
        <w:rPr>
          <w:rStyle w:val="Hyperlink"/>
          <w:color w:val="auto"/>
          <w:u w:val="none"/>
        </w:rPr>
        <w:t xml:space="preserve"> </w:t>
      </w:r>
      <w:r w:rsidR="007E7F01" w:rsidRPr="004E4BE3">
        <w:rPr>
          <w:rStyle w:val="Hyperlink"/>
          <w:noProof/>
          <w:color w:val="auto"/>
          <w:u w:val="none"/>
        </w:rPr>
        <w:t>(Ebert 2005)</w:t>
      </w:r>
      <w:r w:rsidRPr="004E4BE3">
        <w:rPr>
          <w:rStyle w:val="Hyperlink"/>
          <w:color w:val="auto"/>
          <w:u w:val="none"/>
        </w:rPr>
        <w:t>. However, in the laboratory, we can induce</w:t>
      </w:r>
      <w:r w:rsidR="00D022BF" w:rsidRPr="004E4BE3">
        <w:rPr>
          <w:rStyle w:val="Hyperlink"/>
          <w:color w:val="auto"/>
          <w:u w:val="none"/>
        </w:rPr>
        <w:t xml:space="preserve"> the</w:t>
      </w:r>
      <w:r w:rsidRPr="004E4BE3">
        <w:rPr>
          <w:rStyle w:val="Hyperlink"/>
          <w:color w:val="auto"/>
          <w:u w:val="none"/>
        </w:rPr>
        <w:t xml:space="preserve"> production of male</w:t>
      </w:r>
      <w:r w:rsidR="00D022BF" w:rsidRPr="004E4BE3">
        <w:rPr>
          <w:rStyle w:val="Hyperlink"/>
          <w:color w:val="auto"/>
          <w:u w:val="none"/>
        </w:rPr>
        <w:t>s</w:t>
      </w:r>
      <w:r w:rsidRPr="004E4BE3">
        <w:rPr>
          <w:rStyle w:val="Hyperlink"/>
          <w:color w:val="auto"/>
          <w:u w:val="none"/>
        </w:rPr>
        <w:t xml:space="preserve"> and females by exposing mothers to a </w:t>
      </w:r>
      <w:r w:rsidR="00941036">
        <w:rPr>
          <w:rStyle w:val="Hyperlink"/>
          <w:color w:val="auto"/>
          <w:u w:val="none"/>
        </w:rPr>
        <w:t xml:space="preserve">small amount of </w:t>
      </w:r>
      <w:r w:rsidRPr="004E4BE3">
        <w:rPr>
          <w:rStyle w:val="Hyperlink"/>
          <w:color w:val="auto"/>
          <w:u w:val="none"/>
        </w:rPr>
        <w:t xml:space="preserve">juvenoid hormone, methyl </w:t>
      </w:r>
      <w:proofErr w:type="spellStart"/>
      <w:r w:rsidRPr="004E4BE3">
        <w:rPr>
          <w:rStyle w:val="Hyperlink"/>
          <w:color w:val="auto"/>
          <w:u w:val="none"/>
        </w:rPr>
        <w:t>farnesoate</w:t>
      </w:r>
      <w:proofErr w:type="spellEnd"/>
      <w:r w:rsidRPr="004E4BE3">
        <w:rPr>
          <w:rStyle w:val="Hyperlink"/>
          <w:color w:val="auto"/>
          <w:u w:val="none"/>
        </w:rPr>
        <w:t xml:space="preserve"> (Echelon Biosciences, product number S-0153).</w:t>
      </w:r>
      <w:r w:rsidR="00F64CE5" w:rsidRPr="004E4BE3">
        <w:rPr>
          <w:rStyle w:val="Hyperlink"/>
          <w:color w:val="auto"/>
          <w:u w:val="none"/>
        </w:rPr>
        <w:t xml:space="preserve"> </w:t>
      </w:r>
      <w:r w:rsidRPr="004E4BE3">
        <w:rPr>
          <w:rStyle w:val="Hyperlink"/>
          <w:color w:val="auto"/>
          <w:u w:val="none"/>
        </w:rPr>
        <w:t xml:space="preserve">Specifically, </w:t>
      </w:r>
      <w:r w:rsidR="00F64CE5" w:rsidRPr="004E4BE3">
        <w:rPr>
          <w:rStyle w:val="Hyperlink"/>
          <w:color w:val="auto"/>
          <w:u w:val="none"/>
        </w:rPr>
        <w:t>e</w:t>
      </w:r>
      <w:r w:rsidR="00D022BF" w:rsidRPr="004E4BE3">
        <w:t xml:space="preserve">xperimental mothers were prepared by collecting juvenile female </w:t>
      </w:r>
      <w:r w:rsidR="00D022BF" w:rsidRPr="004E4BE3">
        <w:rPr>
          <w:i/>
          <w:iCs/>
        </w:rPr>
        <w:t xml:space="preserve">Daphnia magna </w:t>
      </w:r>
      <w:r w:rsidR="00D022BF" w:rsidRPr="004E4BE3">
        <w:t xml:space="preserve">from stock cultures and cultured individually in 60 mL jars filled with 50 mL artificial </w:t>
      </w:r>
      <w:r w:rsidR="00D022BF" w:rsidRPr="004E4BE3">
        <w:rPr>
          <w:i/>
          <w:iCs/>
        </w:rPr>
        <w:t xml:space="preserve">Daphnia </w:t>
      </w:r>
      <w:r w:rsidR="00D022BF" w:rsidRPr="004E4BE3">
        <w:t xml:space="preserve">medium </w:t>
      </w:r>
      <w:r w:rsidR="00D022BF" w:rsidRPr="004E4BE3">
        <w:rPr>
          <w:noProof/>
        </w:rPr>
        <w:t>(ADaM, Klüttgen et al. 1994; modified by Ebert et al. 1998)</w:t>
      </w:r>
      <w:r w:rsidR="00D022BF" w:rsidRPr="004E4BE3">
        <w:t xml:space="preserve"> for three generations, to minimize maternal effects. </w:t>
      </w:r>
      <w:r w:rsidR="00D022BF" w:rsidRPr="004E4BE3">
        <w:rPr>
          <w:i/>
          <w:iCs/>
        </w:rPr>
        <w:t xml:space="preserve">Daphnia </w:t>
      </w:r>
      <w:r w:rsidR="00D022BF" w:rsidRPr="004E4BE3">
        <w:t xml:space="preserve">were transferred into fresh ADaM twice a week, maintained under standard conditions (20°C, 16L: 8D) and fed up to 5 million </w:t>
      </w:r>
      <w:r w:rsidR="00D022BF" w:rsidRPr="004E4BE3">
        <w:rPr>
          <w:i/>
          <w:iCs/>
        </w:rPr>
        <w:t xml:space="preserve">Scenedesmus </w:t>
      </w:r>
      <w:r w:rsidR="00D022BF" w:rsidRPr="004E4BE3">
        <w:t xml:space="preserve">algal cells daily; steadily increased to accommodate growing needs of the animal. Trays were rearranged every three days to </w:t>
      </w:r>
      <w:r w:rsidR="00941036">
        <w:t>minimise any positional effects</w:t>
      </w:r>
      <w:r w:rsidR="00D022BF" w:rsidRPr="004E4BE3">
        <w:t xml:space="preserve">. </w:t>
      </w:r>
    </w:p>
    <w:p w14:paraId="4B3E9462" w14:textId="77777777" w:rsidR="00112751" w:rsidRPr="004E4BE3" w:rsidRDefault="00D022BF" w:rsidP="00BD7A92">
      <w:pPr>
        <w:spacing w:before="120" w:after="120" w:line="480" w:lineRule="auto"/>
        <w:rPr>
          <w:rStyle w:val="Hyperlink"/>
          <w:color w:val="auto"/>
          <w:u w:val="none"/>
        </w:rPr>
      </w:pPr>
      <w:r w:rsidRPr="004E4BE3">
        <w:t>T</w:t>
      </w:r>
      <w:r w:rsidR="00F64CE5" w:rsidRPr="004E4BE3">
        <w:t>o produce experimental male and females, t</w:t>
      </w:r>
      <w:r w:rsidRPr="004E4BE3">
        <w:t xml:space="preserve">he experimental mother generation were </w:t>
      </w:r>
      <w:r w:rsidR="00D32BCB" w:rsidRPr="004E4BE3">
        <w:rPr>
          <w:rStyle w:val="Hyperlink"/>
          <w:color w:val="auto"/>
          <w:u w:val="none"/>
        </w:rPr>
        <w:t xml:space="preserve">exposed to 300 </w:t>
      </w:r>
      <w:proofErr w:type="spellStart"/>
      <w:r w:rsidR="00D32BCB" w:rsidRPr="004E4BE3">
        <w:rPr>
          <w:rStyle w:val="Hyperlink"/>
          <w:color w:val="auto"/>
          <w:u w:val="none"/>
        </w:rPr>
        <w:t>μg</w:t>
      </w:r>
      <w:proofErr w:type="spellEnd"/>
      <w:r w:rsidR="00D32BCB" w:rsidRPr="004E4BE3">
        <w:rPr>
          <w:rStyle w:val="Hyperlink"/>
          <w:color w:val="auto"/>
          <w:u w:val="none"/>
        </w:rPr>
        <w:t xml:space="preserve"> L</w:t>
      </w:r>
      <w:r w:rsidR="00D32BCB" w:rsidRPr="004E4BE3">
        <w:rPr>
          <w:rStyle w:val="Hyperlink"/>
          <w:color w:val="auto"/>
          <w:u w:val="none"/>
          <w:vertAlign w:val="superscript"/>
        </w:rPr>
        <w:t>-1</w:t>
      </w:r>
      <w:r w:rsidR="00F64CE5" w:rsidRPr="004E4BE3">
        <w:rPr>
          <w:rStyle w:val="Hyperlink"/>
          <w:color w:val="auto"/>
          <w:u w:val="none"/>
        </w:rPr>
        <w:t xml:space="preserve"> methyl </w:t>
      </w:r>
      <w:proofErr w:type="spellStart"/>
      <w:r w:rsidR="00F64CE5" w:rsidRPr="004E4BE3">
        <w:rPr>
          <w:rStyle w:val="Hyperlink"/>
          <w:color w:val="auto"/>
          <w:u w:val="none"/>
        </w:rPr>
        <w:t>farnesoate</w:t>
      </w:r>
      <w:proofErr w:type="spellEnd"/>
      <w:r w:rsidR="00F64CE5" w:rsidRPr="004E4BE3">
        <w:rPr>
          <w:rStyle w:val="Hyperlink"/>
          <w:color w:val="auto"/>
          <w:u w:val="none"/>
        </w:rPr>
        <w:t xml:space="preserve"> </w:t>
      </w:r>
      <w:r w:rsidR="00D32BCB" w:rsidRPr="004E4BE3">
        <w:rPr>
          <w:rStyle w:val="Hyperlink"/>
          <w:color w:val="auto"/>
          <w:u w:val="none"/>
        </w:rPr>
        <w:t>hormone</w:t>
      </w:r>
      <w:r w:rsidR="00F64CE5" w:rsidRPr="004E4BE3">
        <w:rPr>
          <w:rStyle w:val="Hyperlink"/>
          <w:color w:val="auto"/>
          <w:u w:val="none"/>
        </w:rPr>
        <w:t>,</w:t>
      </w:r>
      <w:r w:rsidR="00D32BCB" w:rsidRPr="004E4BE3">
        <w:rPr>
          <w:rStyle w:val="Hyperlink"/>
          <w:color w:val="auto"/>
          <w:u w:val="none"/>
        </w:rPr>
        <w:t xml:space="preserve"> after producing their first clutch</w:t>
      </w:r>
      <w:r w:rsidR="004E4BE3" w:rsidRPr="004E4BE3">
        <w:rPr>
          <w:rStyle w:val="Hyperlink"/>
          <w:color w:val="auto"/>
          <w:u w:val="none"/>
        </w:rPr>
        <w:t>,</w:t>
      </w:r>
      <w:r w:rsidR="00D32BCB" w:rsidRPr="004E4BE3">
        <w:rPr>
          <w:rStyle w:val="Hyperlink"/>
          <w:color w:val="auto"/>
          <w:u w:val="none"/>
        </w:rPr>
        <w:t xml:space="preserve"> and then transferred into fresh hormone-treated media every 2 days. Subsequent clutches were </w:t>
      </w:r>
      <w:r w:rsidR="00941036" w:rsidRPr="004E4BE3">
        <w:rPr>
          <w:rStyle w:val="Hyperlink"/>
          <w:color w:val="auto"/>
          <w:u w:val="none"/>
        </w:rPr>
        <w:t>collected,</w:t>
      </w:r>
      <w:r w:rsidR="00F64CE5" w:rsidRPr="004E4BE3">
        <w:rPr>
          <w:rStyle w:val="Hyperlink"/>
          <w:color w:val="auto"/>
          <w:u w:val="none"/>
        </w:rPr>
        <w:t xml:space="preserve"> and</w:t>
      </w:r>
      <w:r w:rsidRPr="004E4BE3">
        <w:rPr>
          <w:rStyle w:val="Hyperlink"/>
          <w:color w:val="auto"/>
          <w:u w:val="none"/>
        </w:rPr>
        <w:t xml:space="preserve"> </w:t>
      </w:r>
      <w:r w:rsidR="00D32BCB" w:rsidRPr="004E4BE3">
        <w:rPr>
          <w:rStyle w:val="Hyperlink"/>
          <w:color w:val="auto"/>
          <w:u w:val="none"/>
        </w:rPr>
        <w:t>the sex of all offspring determined</w:t>
      </w:r>
      <w:r w:rsidRPr="004E4BE3">
        <w:rPr>
          <w:rStyle w:val="Hyperlink"/>
          <w:color w:val="auto"/>
          <w:u w:val="none"/>
        </w:rPr>
        <w:t xml:space="preserve"> and used as experimental animals</w:t>
      </w:r>
      <w:r w:rsidR="00D32BCB" w:rsidRPr="004E4BE3">
        <w:rPr>
          <w:rStyle w:val="Hyperlink"/>
          <w:color w:val="auto"/>
          <w:u w:val="none"/>
        </w:rPr>
        <w:t xml:space="preserve">. </w:t>
      </w:r>
      <w:r w:rsidRPr="004E4BE3">
        <w:rPr>
          <w:i/>
        </w:rPr>
        <w:t>Daphnia</w:t>
      </w:r>
      <w:r w:rsidRPr="004E4BE3">
        <w:t xml:space="preserve"> sex were determined by the presence of a “modified first leg” as per Ebert 2005, since sexual dimorphism in body size is minimal in juveniles </w:t>
      </w:r>
      <w:r w:rsidR="007E7F01" w:rsidRPr="004E4BE3">
        <w:rPr>
          <w:noProof/>
        </w:rPr>
        <w:t>(Ebert 2005)</w:t>
      </w:r>
      <w:r w:rsidRPr="004E4BE3">
        <w:t>. Finally, t</w:t>
      </w:r>
      <w:r w:rsidR="00D32BCB" w:rsidRPr="004E4BE3">
        <w:rPr>
          <w:rStyle w:val="Hyperlink"/>
          <w:color w:val="auto"/>
          <w:u w:val="none"/>
        </w:rPr>
        <w:t xml:space="preserve">his method can be used to reliably produce male and female </w:t>
      </w:r>
      <w:r w:rsidR="00D32BCB" w:rsidRPr="004E4BE3">
        <w:rPr>
          <w:rStyle w:val="Hyperlink"/>
          <w:i/>
          <w:color w:val="auto"/>
          <w:u w:val="none"/>
        </w:rPr>
        <w:t>Daphnia</w:t>
      </w:r>
      <w:r w:rsidR="00D32BCB" w:rsidRPr="004E4BE3">
        <w:rPr>
          <w:rStyle w:val="Hyperlink"/>
          <w:color w:val="auto"/>
          <w:u w:val="none"/>
        </w:rPr>
        <w:t xml:space="preserve"> while having no detectable impact on lifespan, fecundity, infection rates or spore loads (Thompson et al. 2017).</w:t>
      </w:r>
    </w:p>
    <w:p w14:paraId="3ACF6292" w14:textId="77777777" w:rsidR="008C0DA1" w:rsidRPr="008F7D43" w:rsidRDefault="00944829" w:rsidP="00BD7A92">
      <w:pPr>
        <w:spacing w:before="120" w:after="120" w:line="480" w:lineRule="auto"/>
      </w:pPr>
      <w:r>
        <w:rPr>
          <w:sz w:val="28"/>
        </w:rPr>
        <w:br w:type="page"/>
      </w:r>
      <w:r w:rsidR="008C0DA1" w:rsidRPr="008F7D43">
        <w:rPr>
          <w:sz w:val="28"/>
        </w:rPr>
        <w:t xml:space="preserve">Manipulation of host density signals </w:t>
      </w:r>
    </w:p>
    <w:p w14:paraId="41055541" w14:textId="77777777" w:rsidR="00F724EE" w:rsidRPr="004E4BE3" w:rsidRDefault="008C0DA1" w:rsidP="00BD7A92">
      <w:pPr>
        <w:spacing w:before="120" w:after="120" w:line="480" w:lineRule="auto"/>
        <w:jc w:val="both"/>
        <w:rPr>
          <w:rStyle w:val="Hyperlink"/>
          <w:color w:val="auto"/>
          <w:u w:val="none"/>
        </w:rPr>
      </w:pPr>
      <w:r w:rsidRPr="004E4BE3">
        <w:t xml:space="preserve">In a variety of zooplankton, including </w:t>
      </w:r>
      <w:r w:rsidRPr="004E4BE3">
        <w:rPr>
          <w:i/>
        </w:rPr>
        <w:t>Daphnia magna</w:t>
      </w:r>
      <w:r w:rsidRPr="004E4BE3">
        <w:t xml:space="preserve">, info-chemicals and metabolic waste released from conspecifics, influence life-history investment in a variety of traits. Furthermore, presence of info-chemicals as a cue of stress, has been used in a variety of studies, exposing individuals to “stress conditioned water” </w:t>
      </w:r>
      <w:r w:rsidR="007E7F01" w:rsidRPr="004E4BE3">
        <w:rPr>
          <w:noProof/>
        </w:rPr>
        <w:t xml:space="preserve">(Folt &amp; Goldman 1981; Goser &amp; Ratte 1994; Burns 2000; Lürling </w:t>
      </w:r>
      <w:r w:rsidR="007E7F01" w:rsidRPr="004E4BE3">
        <w:rPr>
          <w:i/>
          <w:noProof/>
        </w:rPr>
        <w:t>et al.</w:t>
      </w:r>
      <w:r w:rsidR="007E7F01" w:rsidRPr="004E4BE3">
        <w:rPr>
          <w:noProof/>
        </w:rPr>
        <w:t xml:space="preserve"> 2003; Michel </w:t>
      </w:r>
      <w:r w:rsidR="007E7F01" w:rsidRPr="004E4BE3">
        <w:rPr>
          <w:i/>
          <w:noProof/>
        </w:rPr>
        <w:t>et al.</w:t>
      </w:r>
      <w:r w:rsidR="007E7F01" w:rsidRPr="004E4BE3">
        <w:rPr>
          <w:noProof/>
        </w:rPr>
        <w:t xml:space="preserve"> 2016)</w:t>
      </w:r>
      <w:r w:rsidRPr="004E4BE3">
        <w:t xml:space="preserve">. In this experiment, we exploit release of info-chemicals to simulate cues related to high density in a two-patch </w:t>
      </w:r>
      <w:r w:rsidR="004E4BE3" w:rsidRPr="004E4BE3">
        <w:t>experimental microcosm</w:t>
      </w:r>
      <w:r w:rsidRPr="004E4BE3">
        <w:t xml:space="preserve"> system. Conditioned water was produced by incubating healthy </w:t>
      </w:r>
      <w:r w:rsidRPr="004E4BE3">
        <w:rPr>
          <w:i/>
          <w:iCs/>
        </w:rPr>
        <w:t>Daphnia</w:t>
      </w:r>
      <w:r w:rsidRPr="004E4BE3">
        <w:t xml:space="preserve"> in 500 mL glass jars (~250 adult </w:t>
      </w:r>
      <w:r w:rsidRPr="004E4BE3">
        <w:rPr>
          <w:i/>
          <w:iCs/>
        </w:rPr>
        <w:t xml:space="preserve">Daphnia </w:t>
      </w:r>
      <w:r w:rsidRPr="004E4BE3">
        <w:t>L</w:t>
      </w:r>
      <w:r w:rsidRPr="004E4BE3">
        <w:rPr>
          <w:vertAlign w:val="superscript"/>
        </w:rPr>
        <w:t>-1</w:t>
      </w:r>
      <w:r w:rsidRPr="004E4BE3">
        <w:t>). After 5 days of incubation, we collected the conditioned water by using a coarse</w:t>
      </w:r>
      <w:r w:rsidR="00DF740C">
        <w:t>-</w:t>
      </w:r>
      <w:r w:rsidRPr="004E4BE3">
        <w:t xml:space="preserve">meshed plankton net (mesh size 0.1 mm) to remove </w:t>
      </w:r>
      <w:r w:rsidRPr="004E4BE3">
        <w:rPr>
          <w:i/>
        </w:rPr>
        <w:t>Daphnia</w:t>
      </w:r>
      <w:r w:rsidRPr="004E4BE3">
        <w:t xml:space="preserve">, and then pumping the conditioned water through a 0.45 </w:t>
      </w:r>
      <w:r w:rsidRPr="004E4BE3">
        <w:sym w:font="Symbol" w:char="F06D"/>
      </w:r>
      <w:r w:rsidRPr="004E4BE3">
        <w:t>m filter to remove debris and algae cells</w:t>
      </w:r>
      <w:r w:rsidR="00DF07FF" w:rsidRPr="004E4BE3">
        <w:t xml:space="preserve">, following </w:t>
      </w:r>
      <w:r w:rsidR="00DF07FF" w:rsidRPr="004E4BE3">
        <w:rPr>
          <w:noProof/>
        </w:rPr>
        <w:t xml:space="preserve">(Michel </w:t>
      </w:r>
      <w:r w:rsidR="00DF07FF" w:rsidRPr="004E4BE3">
        <w:rPr>
          <w:i/>
          <w:noProof/>
        </w:rPr>
        <w:t>et al.</w:t>
      </w:r>
      <w:r w:rsidR="00DF07FF" w:rsidRPr="004E4BE3">
        <w:rPr>
          <w:noProof/>
        </w:rPr>
        <w:t xml:space="preserve"> 2016)</w:t>
      </w:r>
      <w:r w:rsidR="00DF07FF" w:rsidRPr="004E4BE3">
        <w:t xml:space="preserve">. </w:t>
      </w:r>
    </w:p>
    <w:p w14:paraId="04A46CC4" w14:textId="77777777" w:rsidR="00775070" w:rsidRPr="00C700C9" w:rsidRDefault="00944829" w:rsidP="00BD7A92">
      <w:pPr>
        <w:spacing w:before="120" w:after="120" w:line="480" w:lineRule="auto"/>
        <w:rPr>
          <w:rStyle w:val="Hyperlink"/>
          <w:color w:val="auto"/>
          <w:u w:val="none"/>
        </w:rPr>
      </w:pPr>
      <w:r>
        <w:rPr>
          <w:rStyle w:val="Hyperlink"/>
          <w:color w:val="auto"/>
          <w:u w:val="none"/>
        </w:rPr>
        <w:br w:type="page"/>
      </w:r>
      <w:r w:rsidR="00775070" w:rsidRPr="004E4BE3">
        <w:rPr>
          <w:rStyle w:val="Hyperlink"/>
          <w:color w:val="auto"/>
          <w:u w:val="none"/>
        </w:rPr>
        <w:t xml:space="preserve">Table S1 Probability </w:t>
      </w:r>
      <w:r w:rsidR="00775070" w:rsidRPr="004E4BE3">
        <w:t>of dispersal from a crow</w:t>
      </w:r>
      <w:r w:rsidR="006145FC" w:rsidRPr="004E4BE3">
        <w:t>d</w:t>
      </w:r>
      <w:r w:rsidR="00775070" w:rsidRPr="004E4BE3">
        <w:t xml:space="preserve">ed habitat to an empty </w:t>
      </w:r>
      <w:proofErr w:type="spellStart"/>
      <w:r w:rsidR="00775070" w:rsidRPr="004E4BE3">
        <w:t>neighboring</w:t>
      </w:r>
      <w:proofErr w:type="spellEnd"/>
      <w:r w:rsidR="00775070" w:rsidRPr="004E4BE3">
        <w:t xml:space="preserve"> habitat</w:t>
      </w:r>
      <w:r w:rsidR="00775070" w:rsidRPr="004E4BE3">
        <w:rPr>
          <w:i/>
        </w:rPr>
        <w:t xml:space="preserve">. </w:t>
      </w:r>
      <w:r w:rsidR="00384F8A">
        <w:t xml:space="preserve">Results show </w:t>
      </w:r>
      <w:r w:rsidR="00C70327">
        <w:t>the analysis of variance from a</w:t>
      </w:r>
      <w:r w:rsidR="00775070" w:rsidRPr="004E4BE3">
        <w:t xml:space="preserve"> generalized linear model using infection </w:t>
      </w:r>
      <w:r w:rsidR="00E7567B">
        <w:t>status (yes or no)</w:t>
      </w:r>
      <w:r w:rsidR="00C70327">
        <w:t xml:space="preserve">, </w:t>
      </w:r>
      <w:r w:rsidR="00384F8A">
        <w:t xml:space="preserve">host </w:t>
      </w:r>
      <w:r w:rsidR="00775070" w:rsidRPr="004E4BE3">
        <w:t>sex</w:t>
      </w:r>
      <w:r w:rsidR="00E43F16">
        <w:t xml:space="preserve"> (male or female),</w:t>
      </w:r>
      <w:r w:rsidR="00775070" w:rsidRPr="004E4BE3">
        <w:t xml:space="preserve"> </w:t>
      </w:r>
      <w:r w:rsidR="00C70327">
        <w:t xml:space="preserve">and their interaction as </w:t>
      </w:r>
      <w:r w:rsidR="00775070" w:rsidRPr="004E4BE3">
        <w:t xml:space="preserve">fixed effects. </w:t>
      </w:r>
    </w:p>
    <w:tbl>
      <w:tblPr>
        <w:tblW w:w="9212" w:type="dxa"/>
        <w:jc w:val="center"/>
        <w:tblLook w:val="04A0" w:firstRow="1" w:lastRow="0" w:firstColumn="1" w:lastColumn="0" w:noHBand="0" w:noVBand="1"/>
      </w:tblPr>
      <w:tblGrid>
        <w:gridCol w:w="3969"/>
        <w:gridCol w:w="1416"/>
        <w:gridCol w:w="851"/>
        <w:gridCol w:w="1559"/>
        <w:gridCol w:w="1417"/>
      </w:tblGrid>
      <w:tr w:rsidR="004E4BE3" w:rsidRPr="00AA2B52" w14:paraId="455FF37A" w14:textId="77777777" w:rsidTr="00944829">
        <w:trPr>
          <w:trHeight w:val="329"/>
          <w:jc w:val="center"/>
        </w:trPr>
        <w:tc>
          <w:tcPr>
            <w:tcW w:w="3969" w:type="dxa"/>
            <w:tcBorders>
              <w:top w:val="single" w:sz="4" w:space="0" w:color="auto"/>
              <w:left w:val="nil"/>
              <w:bottom w:val="single" w:sz="4" w:space="0" w:color="auto"/>
              <w:right w:val="nil"/>
            </w:tcBorders>
            <w:shd w:val="clear" w:color="auto" w:fill="auto"/>
            <w:noWrap/>
            <w:vAlign w:val="bottom"/>
            <w:hideMark/>
          </w:tcPr>
          <w:p w14:paraId="32ED5FFD" w14:textId="77777777" w:rsidR="00775070" w:rsidRPr="004E4BE3" w:rsidRDefault="000D2F97" w:rsidP="00BD7A92">
            <w:pPr>
              <w:spacing w:before="120" w:after="120" w:line="480" w:lineRule="auto"/>
              <w:rPr>
                <w:b/>
                <w:bCs/>
              </w:rPr>
            </w:pPr>
            <w:r>
              <w:rPr>
                <w:b/>
                <w:bCs/>
              </w:rPr>
              <w:t>Source</w:t>
            </w:r>
          </w:p>
        </w:tc>
        <w:tc>
          <w:tcPr>
            <w:tcW w:w="1416" w:type="dxa"/>
            <w:tcBorders>
              <w:top w:val="single" w:sz="4" w:space="0" w:color="auto"/>
              <w:left w:val="nil"/>
              <w:bottom w:val="single" w:sz="4" w:space="0" w:color="auto"/>
              <w:right w:val="nil"/>
            </w:tcBorders>
            <w:shd w:val="clear" w:color="auto" w:fill="auto"/>
            <w:noWrap/>
            <w:vAlign w:val="center"/>
            <w:hideMark/>
          </w:tcPr>
          <w:p w14:paraId="57883D02" w14:textId="77777777" w:rsidR="00775070" w:rsidRPr="004E4BE3" w:rsidRDefault="00775070" w:rsidP="00BD7A92">
            <w:pPr>
              <w:spacing w:before="120" w:after="120" w:line="480" w:lineRule="auto"/>
              <w:jc w:val="center"/>
              <w:rPr>
                <w:b/>
                <w:bCs/>
              </w:rPr>
            </w:pPr>
            <w:r w:rsidRPr="004E4BE3">
              <w:rPr>
                <w:b/>
                <w:bCs/>
              </w:rPr>
              <w:sym w:font="Symbol" w:char="F063"/>
            </w:r>
            <w:r w:rsidRPr="004E4BE3">
              <w:rPr>
                <w:b/>
                <w:bCs/>
                <w:vertAlign w:val="superscript"/>
              </w:rPr>
              <w:sym w:font="Symbol" w:char="F032"/>
            </w:r>
          </w:p>
        </w:tc>
        <w:tc>
          <w:tcPr>
            <w:tcW w:w="851" w:type="dxa"/>
            <w:tcBorders>
              <w:top w:val="single" w:sz="4" w:space="0" w:color="auto"/>
              <w:left w:val="nil"/>
              <w:bottom w:val="single" w:sz="4" w:space="0" w:color="auto"/>
              <w:right w:val="nil"/>
            </w:tcBorders>
            <w:shd w:val="clear" w:color="auto" w:fill="auto"/>
            <w:noWrap/>
            <w:vAlign w:val="center"/>
            <w:hideMark/>
          </w:tcPr>
          <w:p w14:paraId="2099563D" w14:textId="77777777" w:rsidR="00775070" w:rsidRPr="004E4BE3" w:rsidRDefault="00775070" w:rsidP="00BD7A92">
            <w:pPr>
              <w:spacing w:before="120" w:after="120" w:line="480" w:lineRule="auto"/>
              <w:jc w:val="center"/>
              <w:rPr>
                <w:b/>
                <w:bCs/>
              </w:rPr>
            </w:pPr>
            <w:r w:rsidRPr="004E4BE3">
              <w:rPr>
                <w:b/>
                <w:bCs/>
              </w:rPr>
              <w:t>d.f.</w:t>
            </w:r>
          </w:p>
        </w:tc>
        <w:tc>
          <w:tcPr>
            <w:tcW w:w="1559" w:type="dxa"/>
            <w:tcBorders>
              <w:top w:val="single" w:sz="4" w:space="0" w:color="auto"/>
              <w:left w:val="nil"/>
              <w:bottom w:val="single" w:sz="4" w:space="0" w:color="auto"/>
              <w:right w:val="nil"/>
            </w:tcBorders>
            <w:shd w:val="clear" w:color="auto" w:fill="auto"/>
            <w:noWrap/>
            <w:vAlign w:val="center"/>
            <w:hideMark/>
          </w:tcPr>
          <w:p w14:paraId="358E13D7" w14:textId="77777777" w:rsidR="00775070" w:rsidRPr="004E4BE3" w:rsidRDefault="00775070" w:rsidP="00BD7A92">
            <w:pPr>
              <w:spacing w:before="120" w:after="120" w:line="480" w:lineRule="auto"/>
              <w:jc w:val="center"/>
              <w:rPr>
                <w:b/>
                <w:bCs/>
              </w:rPr>
            </w:pPr>
            <w:r w:rsidRPr="004E4BE3">
              <w:rPr>
                <w:b/>
                <w:bCs/>
              </w:rPr>
              <w:t>P-value</w:t>
            </w:r>
          </w:p>
        </w:tc>
        <w:tc>
          <w:tcPr>
            <w:tcW w:w="1417" w:type="dxa"/>
            <w:tcBorders>
              <w:top w:val="single" w:sz="4" w:space="0" w:color="auto"/>
              <w:left w:val="nil"/>
              <w:bottom w:val="single" w:sz="4" w:space="0" w:color="auto"/>
              <w:right w:val="nil"/>
            </w:tcBorders>
            <w:shd w:val="clear" w:color="auto" w:fill="auto"/>
            <w:noWrap/>
            <w:vAlign w:val="center"/>
            <w:hideMark/>
          </w:tcPr>
          <w:p w14:paraId="269BE2FE" w14:textId="77777777" w:rsidR="00775070" w:rsidRPr="004E4BE3" w:rsidRDefault="00775070" w:rsidP="00BD7A92">
            <w:pPr>
              <w:spacing w:before="120" w:after="120" w:line="480" w:lineRule="auto"/>
              <w:jc w:val="center"/>
              <w:rPr>
                <w:b/>
                <w:bCs/>
              </w:rPr>
            </w:pPr>
            <w:r w:rsidRPr="004E4BE3">
              <w:rPr>
                <w:b/>
                <w:bCs/>
              </w:rPr>
              <w:t>Sign. code</w:t>
            </w:r>
          </w:p>
        </w:tc>
      </w:tr>
      <w:tr w:rsidR="004E4BE3" w:rsidRPr="00AA2B52" w14:paraId="789D5CC9" w14:textId="77777777" w:rsidTr="00944829">
        <w:trPr>
          <w:trHeight w:val="320"/>
          <w:jc w:val="center"/>
        </w:trPr>
        <w:tc>
          <w:tcPr>
            <w:tcW w:w="3969" w:type="dxa"/>
            <w:tcBorders>
              <w:top w:val="single" w:sz="4" w:space="0" w:color="auto"/>
              <w:left w:val="nil"/>
              <w:bottom w:val="nil"/>
              <w:right w:val="nil"/>
            </w:tcBorders>
            <w:shd w:val="clear" w:color="auto" w:fill="auto"/>
            <w:noWrap/>
            <w:vAlign w:val="bottom"/>
            <w:hideMark/>
          </w:tcPr>
          <w:p w14:paraId="0D0C7AEC" w14:textId="77777777" w:rsidR="00775070" w:rsidRPr="004E4BE3" w:rsidRDefault="000D2F97" w:rsidP="00BD7A92">
            <w:pPr>
              <w:spacing w:before="120" w:after="120" w:line="480" w:lineRule="auto"/>
            </w:pPr>
            <w:r>
              <w:t>S</w:t>
            </w:r>
            <w:r w:rsidR="00775070" w:rsidRPr="004E4BE3">
              <w:t>ex</w:t>
            </w:r>
          </w:p>
        </w:tc>
        <w:tc>
          <w:tcPr>
            <w:tcW w:w="1416" w:type="dxa"/>
            <w:tcBorders>
              <w:top w:val="single" w:sz="4" w:space="0" w:color="auto"/>
              <w:left w:val="nil"/>
              <w:bottom w:val="nil"/>
              <w:right w:val="nil"/>
            </w:tcBorders>
            <w:shd w:val="clear" w:color="auto" w:fill="auto"/>
            <w:noWrap/>
            <w:vAlign w:val="bottom"/>
            <w:hideMark/>
          </w:tcPr>
          <w:p w14:paraId="32D45CEB" w14:textId="77777777" w:rsidR="00775070" w:rsidRPr="004E4BE3" w:rsidRDefault="00DB16BA" w:rsidP="00BD7A92">
            <w:pPr>
              <w:spacing w:before="120" w:after="120" w:line="480" w:lineRule="auto"/>
              <w:jc w:val="center"/>
            </w:pPr>
            <w:r>
              <w:t>68.62</w:t>
            </w:r>
            <w:r w:rsidR="00254925">
              <w:t>1</w:t>
            </w:r>
          </w:p>
        </w:tc>
        <w:tc>
          <w:tcPr>
            <w:tcW w:w="851" w:type="dxa"/>
            <w:tcBorders>
              <w:top w:val="single" w:sz="4" w:space="0" w:color="auto"/>
              <w:left w:val="nil"/>
              <w:bottom w:val="nil"/>
              <w:right w:val="nil"/>
            </w:tcBorders>
            <w:shd w:val="clear" w:color="auto" w:fill="auto"/>
            <w:noWrap/>
            <w:vAlign w:val="bottom"/>
            <w:hideMark/>
          </w:tcPr>
          <w:p w14:paraId="17FD6B28" w14:textId="77777777" w:rsidR="00775070" w:rsidRPr="004E4BE3" w:rsidRDefault="00775070" w:rsidP="00BD7A92">
            <w:pPr>
              <w:spacing w:before="120" w:after="120" w:line="480" w:lineRule="auto"/>
              <w:jc w:val="center"/>
            </w:pPr>
            <w:r w:rsidRPr="004E4BE3">
              <w:t>1</w:t>
            </w:r>
          </w:p>
        </w:tc>
        <w:tc>
          <w:tcPr>
            <w:tcW w:w="1559" w:type="dxa"/>
            <w:tcBorders>
              <w:top w:val="single" w:sz="4" w:space="0" w:color="auto"/>
              <w:left w:val="nil"/>
              <w:bottom w:val="nil"/>
              <w:right w:val="nil"/>
            </w:tcBorders>
            <w:shd w:val="clear" w:color="auto" w:fill="auto"/>
            <w:noWrap/>
            <w:vAlign w:val="bottom"/>
            <w:hideMark/>
          </w:tcPr>
          <w:p w14:paraId="70049174" w14:textId="77777777" w:rsidR="00775070" w:rsidRPr="004E4BE3" w:rsidRDefault="00775070" w:rsidP="00BD7A92">
            <w:pPr>
              <w:spacing w:before="120" w:after="120" w:line="480" w:lineRule="auto"/>
              <w:jc w:val="center"/>
            </w:pPr>
            <w:r w:rsidRPr="004E4BE3">
              <w:t>&lt;0.001</w:t>
            </w:r>
          </w:p>
        </w:tc>
        <w:tc>
          <w:tcPr>
            <w:tcW w:w="1417" w:type="dxa"/>
            <w:tcBorders>
              <w:top w:val="single" w:sz="4" w:space="0" w:color="auto"/>
              <w:left w:val="nil"/>
              <w:bottom w:val="nil"/>
              <w:right w:val="nil"/>
            </w:tcBorders>
            <w:shd w:val="clear" w:color="auto" w:fill="auto"/>
            <w:noWrap/>
            <w:vAlign w:val="bottom"/>
            <w:hideMark/>
          </w:tcPr>
          <w:p w14:paraId="7A4D0A9F" w14:textId="77777777" w:rsidR="00775070" w:rsidRPr="004E4BE3" w:rsidRDefault="00775070" w:rsidP="00BD7A92">
            <w:pPr>
              <w:spacing w:before="120" w:after="120" w:line="480" w:lineRule="auto"/>
              <w:jc w:val="center"/>
            </w:pPr>
            <w:r w:rsidRPr="004E4BE3">
              <w:t>***</w:t>
            </w:r>
          </w:p>
        </w:tc>
      </w:tr>
      <w:tr w:rsidR="00DB16BA" w:rsidRPr="00AA2B52" w14:paraId="442A23BF" w14:textId="77777777" w:rsidTr="00944829">
        <w:trPr>
          <w:trHeight w:val="320"/>
          <w:jc w:val="center"/>
        </w:trPr>
        <w:tc>
          <w:tcPr>
            <w:tcW w:w="3969" w:type="dxa"/>
            <w:tcBorders>
              <w:top w:val="nil"/>
              <w:left w:val="nil"/>
              <w:bottom w:val="nil"/>
              <w:right w:val="nil"/>
            </w:tcBorders>
            <w:shd w:val="clear" w:color="auto" w:fill="auto"/>
            <w:noWrap/>
            <w:vAlign w:val="bottom"/>
            <w:hideMark/>
          </w:tcPr>
          <w:p w14:paraId="47FD81EE" w14:textId="77777777" w:rsidR="00DB16BA" w:rsidRPr="004E4BE3" w:rsidRDefault="00DB16BA" w:rsidP="00BD7A92">
            <w:pPr>
              <w:spacing w:before="120" w:after="120" w:line="480" w:lineRule="auto"/>
            </w:pPr>
            <w:r w:rsidRPr="004E4BE3">
              <w:t>Infection</w:t>
            </w:r>
            <w:r>
              <w:t xml:space="preserve"> status</w:t>
            </w:r>
          </w:p>
        </w:tc>
        <w:tc>
          <w:tcPr>
            <w:tcW w:w="1416" w:type="dxa"/>
            <w:tcBorders>
              <w:top w:val="nil"/>
              <w:left w:val="nil"/>
              <w:bottom w:val="nil"/>
              <w:right w:val="nil"/>
            </w:tcBorders>
            <w:shd w:val="clear" w:color="auto" w:fill="auto"/>
            <w:noWrap/>
            <w:vAlign w:val="bottom"/>
            <w:hideMark/>
          </w:tcPr>
          <w:p w14:paraId="636E6B7D" w14:textId="77777777" w:rsidR="00DB16BA" w:rsidRPr="004E4BE3" w:rsidRDefault="00DB16BA" w:rsidP="00BD7A92">
            <w:pPr>
              <w:spacing w:before="120" w:after="120" w:line="480" w:lineRule="auto"/>
              <w:jc w:val="center"/>
            </w:pPr>
            <w:r>
              <w:t>28.80</w:t>
            </w:r>
            <w:r w:rsidR="00E247E9">
              <w:t>2</w:t>
            </w:r>
          </w:p>
        </w:tc>
        <w:tc>
          <w:tcPr>
            <w:tcW w:w="851" w:type="dxa"/>
            <w:tcBorders>
              <w:top w:val="nil"/>
              <w:left w:val="nil"/>
              <w:bottom w:val="nil"/>
              <w:right w:val="nil"/>
            </w:tcBorders>
            <w:shd w:val="clear" w:color="auto" w:fill="auto"/>
            <w:noWrap/>
            <w:vAlign w:val="bottom"/>
            <w:hideMark/>
          </w:tcPr>
          <w:p w14:paraId="1E1E870F" w14:textId="77777777" w:rsidR="00DB16BA" w:rsidRPr="004E4BE3" w:rsidRDefault="00DB16BA" w:rsidP="00BD7A92">
            <w:pPr>
              <w:spacing w:before="120" w:after="120" w:line="480" w:lineRule="auto"/>
              <w:jc w:val="center"/>
            </w:pPr>
            <w:r w:rsidRPr="004E4BE3">
              <w:t>1</w:t>
            </w:r>
          </w:p>
        </w:tc>
        <w:tc>
          <w:tcPr>
            <w:tcW w:w="1559" w:type="dxa"/>
            <w:tcBorders>
              <w:top w:val="nil"/>
              <w:left w:val="nil"/>
              <w:bottom w:val="nil"/>
              <w:right w:val="nil"/>
            </w:tcBorders>
            <w:shd w:val="clear" w:color="auto" w:fill="auto"/>
            <w:noWrap/>
            <w:vAlign w:val="bottom"/>
            <w:hideMark/>
          </w:tcPr>
          <w:p w14:paraId="14300C77" w14:textId="77777777" w:rsidR="00DB16BA" w:rsidRPr="004E4BE3" w:rsidRDefault="00DB16BA" w:rsidP="00BD7A92">
            <w:pPr>
              <w:spacing w:before="120" w:after="120" w:line="480" w:lineRule="auto"/>
              <w:jc w:val="center"/>
            </w:pPr>
            <w:r w:rsidRPr="004E4BE3">
              <w:t>&lt;0.001</w:t>
            </w:r>
          </w:p>
        </w:tc>
        <w:tc>
          <w:tcPr>
            <w:tcW w:w="1417" w:type="dxa"/>
            <w:tcBorders>
              <w:top w:val="nil"/>
              <w:left w:val="nil"/>
              <w:bottom w:val="nil"/>
              <w:right w:val="nil"/>
            </w:tcBorders>
            <w:shd w:val="clear" w:color="auto" w:fill="auto"/>
            <w:noWrap/>
            <w:vAlign w:val="bottom"/>
            <w:hideMark/>
          </w:tcPr>
          <w:p w14:paraId="125AE5AF" w14:textId="77777777" w:rsidR="00DB16BA" w:rsidRPr="004E4BE3" w:rsidRDefault="00DB16BA" w:rsidP="00BD7A92">
            <w:pPr>
              <w:spacing w:before="120" w:after="120" w:line="480" w:lineRule="auto"/>
              <w:jc w:val="center"/>
            </w:pPr>
            <w:r w:rsidRPr="004E4BE3">
              <w:t>***</w:t>
            </w:r>
          </w:p>
        </w:tc>
      </w:tr>
      <w:tr w:rsidR="004E4BE3" w:rsidRPr="00AA2B52" w14:paraId="0F477321" w14:textId="77777777" w:rsidTr="00944829">
        <w:trPr>
          <w:trHeight w:val="320"/>
          <w:jc w:val="center"/>
        </w:trPr>
        <w:tc>
          <w:tcPr>
            <w:tcW w:w="3969" w:type="dxa"/>
            <w:tcBorders>
              <w:top w:val="nil"/>
              <w:left w:val="nil"/>
              <w:bottom w:val="single" w:sz="4" w:space="0" w:color="auto"/>
              <w:right w:val="nil"/>
            </w:tcBorders>
            <w:shd w:val="clear" w:color="auto" w:fill="auto"/>
            <w:noWrap/>
            <w:vAlign w:val="bottom"/>
            <w:hideMark/>
          </w:tcPr>
          <w:p w14:paraId="1FAA2091" w14:textId="77777777" w:rsidR="00775070" w:rsidRPr="004E4BE3" w:rsidRDefault="000D2F97" w:rsidP="00BD7A92">
            <w:pPr>
              <w:spacing w:before="120" w:after="120" w:line="480" w:lineRule="auto"/>
            </w:pPr>
            <w:r w:rsidRPr="004E4BE3">
              <w:t>S</w:t>
            </w:r>
            <w:r w:rsidR="00775070" w:rsidRPr="004E4BE3">
              <w:t>ex</w:t>
            </w:r>
            <w:r>
              <w:t xml:space="preserve"> x I</w:t>
            </w:r>
            <w:r w:rsidR="00775070" w:rsidRPr="004E4BE3">
              <w:t>nfection</w:t>
            </w:r>
            <w:r>
              <w:t xml:space="preserve"> </w:t>
            </w:r>
            <w:r w:rsidR="00E7567B">
              <w:t>status</w:t>
            </w:r>
          </w:p>
        </w:tc>
        <w:tc>
          <w:tcPr>
            <w:tcW w:w="1416" w:type="dxa"/>
            <w:tcBorders>
              <w:top w:val="nil"/>
              <w:left w:val="nil"/>
              <w:bottom w:val="single" w:sz="4" w:space="0" w:color="auto"/>
              <w:right w:val="nil"/>
            </w:tcBorders>
            <w:shd w:val="clear" w:color="auto" w:fill="auto"/>
            <w:noWrap/>
            <w:vAlign w:val="bottom"/>
            <w:hideMark/>
          </w:tcPr>
          <w:p w14:paraId="5CB02DC5" w14:textId="77777777" w:rsidR="00775070" w:rsidRPr="004E4BE3" w:rsidRDefault="00775070" w:rsidP="00BD7A92">
            <w:pPr>
              <w:spacing w:before="120" w:after="120" w:line="480" w:lineRule="auto"/>
              <w:jc w:val="center"/>
            </w:pPr>
            <w:r w:rsidRPr="004E4BE3">
              <w:t>16.2</w:t>
            </w:r>
            <w:r w:rsidR="00254925">
              <w:t>19</w:t>
            </w:r>
          </w:p>
        </w:tc>
        <w:tc>
          <w:tcPr>
            <w:tcW w:w="851" w:type="dxa"/>
            <w:tcBorders>
              <w:top w:val="nil"/>
              <w:left w:val="nil"/>
              <w:bottom w:val="single" w:sz="4" w:space="0" w:color="auto"/>
              <w:right w:val="nil"/>
            </w:tcBorders>
            <w:shd w:val="clear" w:color="auto" w:fill="auto"/>
            <w:noWrap/>
            <w:vAlign w:val="bottom"/>
            <w:hideMark/>
          </w:tcPr>
          <w:p w14:paraId="6DD8C943" w14:textId="77777777" w:rsidR="00775070" w:rsidRPr="004E4BE3" w:rsidRDefault="00775070" w:rsidP="00BD7A92">
            <w:pPr>
              <w:spacing w:before="120" w:after="120" w:line="480" w:lineRule="auto"/>
              <w:jc w:val="center"/>
            </w:pPr>
            <w:r w:rsidRPr="004E4BE3">
              <w:t>1</w:t>
            </w:r>
          </w:p>
        </w:tc>
        <w:tc>
          <w:tcPr>
            <w:tcW w:w="1559" w:type="dxa"/>
            <w:tcBorders>
              <w:top w:val="nil"/>
              <w:left w:val="nil"/>
              <w:bottom w:val="single" w:sz="4" w:space="0" w:color="auto"/>
              <w:right w:val="nil"/>
            </w:tcBorders>
            <w:shd w:val="clear" w:color="auto" w:fill="auto"/>
            <w:noWrap/>
            <w:vAlign w:val="bottom"/>
            <w:hideMark/>
          </w:tcPr>
          <w:p w14:paraId="30AE025B" w14:textId="77777777" w:rsidR="00775070" w:rsidRPr="004E4BE3" w:rsidRDefault="00775070" w:rsidP="00BD7A92">
            <w:pPr>
              <w:spacing w:before="120" w:after="120" w:line="480" w:lineRule="auto"/>
              <w:jc w:val="center"/>
            </w:pPr>
            <w:r w:rsidRPr="004E4BE3">
              <w:t>&lt;0.001</w:t>
            </w:r>
          </w:p>
        </w:tc>
        <w:tc>
          <w:tcPr>
            <w:tcW w:w="1417" w:type="dxa"/>
            <w:tcBorders>
              <w:top w:val="nil"/>
              <w:left w:val="nil"/>
              <w:bottom w:val="single" w:sz="4" w:space="0" w:color="auto"/>
              <w:right w:val="nil"/>
            </w:tcBorders>
            <w:shd w:val="clear" w:color="auto" w:fill="auto"/>
            <w:noWrap/>
            <w:vAlign w:val="bottom"/>
            <w:hideMark/>
          </w:tcPr>
          <w:p w14:paraId="1E9D3002" w14:textId="77777777" w:rsidR="00775070" w:rsidRPr="004E4BE3" w:rsidRDefault="00775070" w:rsidP="00BD7A92">
            <w:pPr>
              <w:spacing w:before="120" w:after="120" w:line="480" w:lineRule="auto"/>
              <w:jc w:val="center"/>
            </w:pPr>
            <w:r w:rsidRPr="004E4BE3">
              <w:t>***</w:t>
            </w:r>
          </w:p>
        </w:tc>
      </w:tr>
    </w:tbl>
    <w:p w14:paraId="43186785" w14:textId="77777777" w:rsidR="00DB5EBB" w:rsidRPr="004E4BE3" w:rsidRDefault="00DB5EBB" w:rsidP="00BD7A92">
      <w:pPr>
        <w:spacing w:before="120" w:after="120" w:line="480" w:lineRule="auto"/>
        <w:rPr>
          <w:rStyle w:val="Hyperlink"/>
          <w:b/>
          <w:color w:val="auto"/>
          <w:u w:val="none"/>
        </w:rPr>
      </w:pPr>
    </w:p>
    <w:p w14:paraId="1A482B71" w14:textId="77777777" w:rsidR="00DB5EBB" w:rsidRPr="004E4BE3" w:rsidRDefault="00DB5EBB" w:rsidP="00BD7A92">
      <w:pPr>
        <w:spacing w:before="120" w:after="120" w:line="480" w:lineRule="auto"/>
        <w:rPr>
          <w:rStyle w:val="Hyperlink"/>
          <w:b/>
          <w:color w:val="auto"/>
          <w:u w:val="none"/>
        </w:rPr>
      </w:pPr>
    </w:p>
    <w:p w14:paraId="5DB74486" w14:textId="07073C6D" w:rsidR="00DB5EBB" w:rsidRPr="00944829" w:rsidRDefault="00435CBF" w:rsidP="00BD7A92">
      <w:pPr>
        <w:spacing w:before="120" w:after="120" w:line="480" w:lineRule="auto"/>
        <w:rPr>
          <w:rStyle w:val="Hyperlink"/>
          <w:b/>
          <w:color w:val="auto"/>
          <w:u w:val="none"/>
        </w:rPr>
      </w:pPr>
      <w:r w:rsidRPr="004E4BE3">
        <w:rPr>
          <w:rStyle w:val="Hyperlink"/>
          <w:b/>
          <w:color w:val="auto"/>
          <w:u w:val="none"/>
        </w:rPr>
        <w:br w:type="page"/>
      </w:r>
      <w:r w:rsidR="00DB5EBB" w:rsidRPr="004E4BE3">
        <w:rPr>
          <w:rStyle w:val="Hyperlink"/>
          <w:color w:val="auto"/>
          <w:u w:val="none"/>
        </w:rPr>
        <w:t>Table S2</w:t>
      </w:r>
      <w:r w:rsidRPr="004E4BE3">
        <w:rPr>
          <w:rStyle w:val="Hyperlink"/>
          <w:color w:val="auto"/>
          <w:u w:val="none"/>
        </w:rPr>
        <w:t xml:space="preserve"> ANCOVA results</w:t>
      </w:r>
      <w:r w:rsidR="00F64CE5" w:rsidRPr="004E4BE3">
        <w:rPr>
          <w:rStyle w:val="Hyperlink"/>
          <w:color w:val="auto"/>
          <w:u w:val="none"/>
        </w:rPr>
        <w:t xml:space="preserve"> from a fitted l</w:t>
      </w:r>
      <w:r w:rsidRPr="004E4BE3">
        <w:rPr>
          <w:rStyle w:val="Hyperlink"/>
          <w:color w:val="auto"/>
          <w:u w:val="none"/>
        </w:rPr>
        <w:t xml:space="preserve">inear mixed effect model using </w:t>
      </w:r>
      <w:r w:rsidR="001D37D7">
        <w:rPr>
          <w:rStyle w:val="Hyperlink"/>
          <w:color w:val="auto"/>
          <w:u w:val="none"/>
        </w:rPr>
        <w:t xml:space="preserve">accumulated </w:t>
      </w:r>
      <w:r w:rsidRPr="004E4BE3">
        <w:rPr>
          <w:rStyle w:val="Hyperlink"/>
          <w:color w:val="auto"/>
          <w:u w:val="none"/>
        </w:rPr>
        <w:t xml:space="preserve">number of patches as </w:t>
      </w:r>
      <w:r w:rsidR="00941036">
        <w:rPr>
          <w:rStyle w:val="Hyperlink"/>
          <w:color w:val="auto"/>
          <w:u w:val="none"/>
        </w:rPr>
        <w:t xml:space="preserve">a continuous </w:t>
      </w:r>
      <w:r w:rsidR="00CD576D">
        <w:rPr>
          <w:rStyle w:val="Hyperlink"/>
          <w:color w:val="auto"/>
          <w:u w:val="none"/>
        </w:rPr>
        <w:t>response</w:t>
      </w:r>
      <w:r w:rsidRPr="004E4BE3">
        <w:rPr>
          <w:rStyle w:val="Hyperlink"/>
          <w:color w:val="auto"/>
          <w:u w:val="none"/>
        </w:rPr>
        <w:t xml:space="preserve"> variable and </w:t>
      </w:r>
      <w:r w:rsidR="00CD576D">
        <w:rPr>
          <w:rStyle w:val="Hyperlink"/>
          <w:color w:val="auto"/>
          <w:u w:val="none"/>
        </w:rPr>
        <w:t>time (in days) as a covariate, and</w:t>
      </w:r>
      <w:r w:rsidRPr="004E4BE3">
        <w:rPr>
          <w:rStyle w:val="Hyperlink"/>
          <w:color w:val="auto"/>
          <w:u w:val="none"/>
        </w:rPr>
        <w:t xml:space="preserve"> host sex</w:t>
      </w:r>
      <w:r w:rsidR="00E43F16">
        <w:rPr>
          <w:rStyle w:val="Hyperlink"/>
          <w:color w:val="auto"/>
          <w:u w:val="none"/>
        </w:rPr>
        <w:t>,</w:t>
      </w:r>
      <w:r w:rsidRPr="004E4BE3">
        <w:rPr>
          <w:rStyle w:val="Hyperlink"/>
          <w:color w:val="auto"/>
          <w:u w:val="none"/>
        </w:rPr>
        <w:t xml:space="preserve"> </w:t>
      </w:r>
      <w:r w:rsidR="00BE0B01">
        <w:rPr>
          <w:rStyle w:val="Hyperlink"/>
          <w:color w:val="auto"/>
          <w:u w:val="none"/>
        </w:rPr>
        <w:t xml:space="preserve">infection treatment </w:t>
      </w:r>
      <w:r w:rsidR="00E43F16">
        <w:rPr>
          <w:rStyle w:val="Hyperlink"/>
          <w:color w:val="auto"/>
          <w:u w:val="none"/>
        </w:rPr>
        <w:t>(</w:t>
      </w:r>
      <w:r w:rsidR="00732BC4">
        <w:rPr>
          <w:rStyle w:val="Hyperlink"/>
          <w:color w:val="auto"/>
          <w:u w:val="none"/>
        </w:rPr>
        <w:t>uninfected</w:t>
      </w:r>
      <w:r w:rsidR="00AC17E2">
        <w:rPr>
          <w:rStyle w:val="Hyperlink"/>
          <w:color w:val="auto"/>
          <w:u w:val="none"/>
        </w:rPr>
        <w:t xml:space="preserve"> control</w:t>
      </w:r>
      <w:r w:rsidR="00E43F16">
        <w:rPr>
          <w:rStyle w:val="Hyperlink"/>
          <w:color w:val="auto"/>
          <w:u w:val="none"/>
        </w:rPr>
        <w:t xml:space="preserve">, </w:t>
      </w:r>
      <w:r w:rsidR="00BE0B01">
        <w:rPr>
          <w:rStyle w:val="Hyperlink"/>
          <w:color w:val="auto"/>
          <w:u w:val="none"/>
        </w:rPr>
        <w:t xml:space="preserve">pathogen </w:t>
      </w:r>
      <w:r w:rsidR="00E43F16">
        <w:rPr>
          <w:rStyle w:val="Hyperlink"/>
          <w:color w:val="auto"/>
          <w:u w:val="none"/>
        </w:rPr>
        <w:t>C19 and C1)</w:t>
      </w:r>
      <w:r w:rsidRPr="004E4BE3">
        <w:rPr>
          <w:rStyle w:val="Hyperlink"/>
          <w:color w:val="auto"/>
          <w:u w:val="none"/>
        </w:rPr>
        <w:t xml:space="preserve"> </w:t>
      </w:r>
      <w:r w:rsidR="00CD576D">
        <w:rPr>
          <w:rStyle w:val="Hyperlink"/>
          <w:color w:val="auto"/>
          <w:u w:val="none"/>
        </w:rPr>
        <w:t xml:space="preserve">and their interaction, </w:t>
      </w:r>
      <w:r w:rsidRPr="004E4BE3">
        <w:rPr>
          <w:rStyle w:val="Hyperlink"/>
          <w:color w:val="auto"/>
          <w:u w:val="none"/>
        </w:rPr>
        <w:t>as fixed effects, and individual id as random effect.</w:t>
      </w:r>
      <w:r w:rsidR="001D37D7">
        <w:rPr>
          <w:rStyle w:val="Hyperlink"/>
          <w:color w:val="auto"/>
          <w:u w:val="none"/>
        </w:rPr>
        <w:t xml:space="preserve"> </w:t>
      </w:r>
    </w:p>
    <w:tbl>
      <w:tblPr>
        <w:tblW w:w="7720" w:type="dxa"/>
        <w:tblLook w:val="04A0" w:firstRow="1" w:lastRow="0" w:firstColumn="1" w:lastColumn="0" w:noHBand="0" w:noVBand="1"/>
      </w:tblPr>
      <w:tblGrid>
        <w:gridCol w:w="2694"/>
        <w:gridCol w:w="1236"/>
        <w:gridCol w:w="1300"/>
        <w:gridCol w:w="1300"/>
        <w:gridCol w:w="1300"/>
      </w:tblGrid>
      <w:tr w:rsidR="004E4BE3" w:rsidRPr="00AA2B52" w14:paraId="1257249C" w14:textId="77777777" w:rsidTr="00C700C9">
        <w:trPr>
          <w:trHeight w:val="360"/>
        </w:trPr>
        <w:tc>
          <w:tcPr>
            <w:tcW w:w="2694" w:type="dxa"/>
            <w:tcBorders>
              <w:top w:val="single" w:sz="4" w:space="0" w:color="auto"/>
              <w:left w:val="nil"/>
              <w:bottom w:val="single" w:sz="4" w:space="0" w:color="auto"/>
              <w:right w:val="nil"/>
            </w:tcBorders>
            <w:shd w:val="clear" w:color="auto" w:fill="auto"/>
            <w:noWrap/>
            <w:vAlign w:val="bottom"/>
            <w:hideMark/>
          </w:tcPr>
          <w:p w14:paraId="5ACCA48A" w14:textId="77777777" w:rsidR="00DB5EBB" w:rsidRPr="004E4BE3" w:rsidRDefault="00DB5EBB" w:rsidP="00BD7A92">
            <w:pPr>
              <w:spacing w:before="120" w:after="120" w:line="480" w:lineRule="auto"/>
              <w:rPr>
                <w:b/>
                <w:bCs/>
              </w:rPr>
            </w:pPr>
            <w:r w:rsidRPr="004E4BE3">
              <w:rPr>
                <w:b/>
                <w:bCs/>
              </w:rPr>
              <w:t> </w:t>
            </w:r>
            <w:r w:rsidR="00C700C9">
              <w:rPr>
                <w:b/>
                <w:bCs/>
              </w:rPr>
              <w:t>Source</w:t>
            </w:r>
          </w:p>
        </w:tc>
        <w:tc>
          <w:tcPr>
            <w:tcW w:w="1126" w:type="dxa"/>
            <w:tcBorders>
              <w:top w:val="single" w:sz="4" w:space="0" w:color="auto"/>
              <w:left w:val="nil"/>
              <w:bottom w:val="single" w:sz="4" w:space="0" w:color="auto"/>
              <w:right w:val="nil"/>
            </w:tcBorders>
            <w:shd w:val="clear" w:color="auto" w:fill="auto"/>
            <w:noWrap/>
            <w:vAlign w:val="center"/>
            <w:hideMark/>
          </w:tcPr>
          <w:p w14:paraId="77D1367E" w14:textId="77777777" w:rsidR="00DB5EBB" w:rsidRPr="004E4BE3" w:rsidRDefault="00DB5EBB" w:rsidP="00BD7A92">
            <w:pPr>
              <w:spacing w:before="120" w:after="120" w:line="480" w:lineRule="auto"/>
              <w:jc w:val="center"/>
              <w:rPr>
                <w:b/>
                <w:bCs/>
              </w:rPr>
            </w:pPr>
            <w:r w:rsidRPr="004E4BE3">
              <w:rPr>
                <w:b/>
                <w:bCs/>
              </w:rPr>
              <w:sym w:font="Symbol" w:char="F063"/>
            </w:r>
            <w:r w:rsidRPr="004E4BE3">
              <w:rPr>
                <w:b/>
                <w:bCs/>
                <w:vertAlign w:val="superscript"/>
              </w:rPr>
              <w:sym w:font="Symbol" w:char="F032"/>
            </w:r>
          </w:p>
        </w:tc>
        <w:tc>
          <w:tcPr>
            <w:tcW w:w="1300" w:type="dxa"/>
            <w:tcBorders>
              <w:top w:val="single" w:sz="4" w:space="0" w:color="auto"/>
              <w:left w:val="nil"/>
              <w:bottom w:val="single" w:sz="4" w:space="0" w:color="auto"/>
              <w:right w:val="nil"/>
            </w:tcBorders>
            <w:shd w:val="clear" w:color="auto" w:fill="auto"/>
            <w:noWrap/>
            <w:vAlign w:val="center"/>
            <w:hideMark/>
          </w:tcPr>
          <w:p w14:paraId="30248359" w14:textId="77777777" w:rsidR="00DB5EBB" w:rsidRPr="004E4BE3" w:rsidRDefault="00DB5EBB" w:rsidP="00BD7A92">
            <w:pPr>
              <w:spacing w:before="120" w:after="120" w:line="480" w:lineRule="auto"/>
              <w:jc w:val="center"/>
              <w:rPr>
                <w:b/>
                <w:bCs/>
              </w:rPr>
            </w:pPr>
            <w:r w:rsidRPr="004E4BE3">
              <w:rPr>
                <w:b/>
                <w:bCs/>
              </w:rPr>
              <w:t>d.f.</w:t>
            </w:r>
          </w:p>
        </w:tc>
        <w:tc>
          <w:tcPr>
            <w:tcW w:w="1300" w:type="dxa"/>
            <w:tcBorders>
              <w:top w:val="single" w:sz="4" w:space="0" w:color="auto"/>
              <w:left w:val="nil"/>
              <w:bottom w:val="single" w:sz="4" w:space="0" w:color="auto"/>
              <w:right w:val="nil"/>
            </w:tcBorders>
            <w:shd w:val="clear" w:color="auto" w:fill="auto"/>
            <w:noWrap/>
            <w:vAlign w:val="center"/>
            <w:hideMark/>
          </w:tcPr>
          <w:p w14:paraId="03CFC5AD" w14:textId="77777777" w:rsidR="00DB5EBB" w:rsidRPr="004E4BE3" w:rsidRDefault="00DB5EBB" w:rsidP="00BD7A92">
            <w:pPr>
              <w:spacing w:before="120" w:after="120" w:line="480" w:lineRule="auto"/>
              <w:jc w:val="center"/>
              <w:rPr>
                <w:b/>
                <w:bCs/>
              </w:rPr>
            </w:pPr>
            <w:r w:rsidRPr="004E4BE3">
              <w:rPr>
                <w:b/>
                <w:bCs/>
              </w:rPr>
              <w:t>P-value</w:t>
            </w:r>
          </w:p>
        </w:tc>
        <w:tc>
          <w:tcPr>
            <w:tcW w:w="1300" w:type="dxa"/>
            <w:tcBorders>
              <w:top w:val="single" w:sz="4" w:space="0" w:color="auto"/>
              <w:left w:val="nil"/>
              <w:bottom w:val="single" w:sz="4" w:space="0" w:color="auto"/>
              <w:right w:val="nil"/>
            </w:tcBorders>
            <w:shd w:val="clear" w:color="auto" w:fill="auto"/>
            <w:noWrap/>
            <w:vAlign w:val="center"/>
            <w:hideMark/>
          </w:tcPr>
          <w:p w14:paraId="54DF373E" w14:textId="77777777" w:rsidR="00DB5EBB" w:rsidRPr="004E4BE3" w:rsidRDefault="00DB5EBB" w:rsidP="00BD7A92">
            <w:pPr>
              <w:spacing w:before="120" w:after="120" w:line="480" w:lineRule="auto"/>
              <w:jc w:val="center"/>
              <w:rPr>
                <w:b/>
                <w:bCs/>
              </w:rPr>
            </w:pPr>
            <w:r w:rsidRPr="004E4BE3">
              <w:rPr>
                <w:b/>
                <w:bCs/>
              </w:rPr>
              <w:t>Sign. code</w:t>
            </w:r>
          </w:p>
        </w:tc>
      </w:tr>
      <w:tr w:rsidR="004E4BE3" w:rsidRPr="00AA2B52" w14:paraId="2B5B06EC" w14:textId="77777777" w:rsidTr="00C700C9">
        <w:trPr>
          <w:trHeight w:val="320"/>
        </w:trPr>
        <w:tc>
          <w:tcPr>
            <w:tcW w:w="2694" w:type="dxa"/>
            <w:tcBorders>
              <w:top w:val="nil"/>
              <w:left w:val="nil"/>
              <w:bottom w:val="nil"/>
              <w:right w:val="nil"/>
            </w:tcBorders>
            <w:shd w:val="clear" w:color="auto" w:fill="auto"/>
            <w:noWrap/>
            <w:vAlign w:val="bottom"/>
            <w:hideMark/>
          </w:tcPr>
          <w:p w14:paraId="34243B68" w14:textId="77777777" w:rsidR="00DB5EBB" w:rsidRPr="004E4BE3" w:rsidRDefault="00C700C9" w:rsidP="00BD7A92">
            <w:pPr>
              <w:spacing w:before="120" w:after="120" w:line="480" w:lineRule="auto"/>
            </w:pPr>
            <w:r>
              <w:t>S</w:t>
            </w:r>
            <w:r w:rsidR="00DB5EBB" w:rsidRPr="004E4BE3">
              <w:t>ex</w:t>
            </w:r>
          </w:p>
        </w:tc>
        <w:tc>
          <w:tcPr>
            <w:tcW w:w="1126" w:type="dxa"/>
            <w:tcBorders>
              <w:top w:val="nil"/>
              <w:left w:val="nil"/>
              <w:bottom w:val="nil"/>
              <w:right w:val="nil"/>
            </w:tcBorders>
            <w:shd w:val="clear" w:color="auto" w:fill="auto"/>
            <w:noWrap/>
            <w:vAlign w:val="bottom"/>
            <w:hideMark/>
          </w:tcPr>
          <w:p w14:paraId="6D07CA3D" w14:textId="77777777" w:rsidR="00DB5EBB" w:rsidRPr="004E4BE3" w:rsidRDefault="00DB5EBB" w:rsidP="00BD7A92">
            <w:pPr>
              <w:spacing w:before="120" w:after="120" w:line="480" w:lineRule="auto"/>
              <w:jc w:val="center"/>
            </w:pPr>
            <w:r w:rsidRPr="004E4BE3">
              <w:t>0.285</w:t>
            </w:r>
          </w:p>
        </w:tc>
        <w:tc>
          <w:tcPr>
            <w:tcW w:w="1300" w:type="dxa"/>
            <w:tcBorders>
              <w:top w:val="nil"/>
              <w:left w:val="nil"/>
              <w:bottom w:val="nil"/>
              <w:right w:val="nil"/>
            </w:tcBorders>
            <w:shd w:val="clear" w:color="auto" w:fill="auto"/>
            <w:noWrap/>
            <w:vAlign w:val="bottom"/>
            <w:hideMark/>
          </w:tcPr>
          <w:p w14:paraId="5EE66E9C" w14:textId="77777777" w:rsidR="00DB5EBB" w:rsidRPr="004E4BE3" w:rsidRDefault="00DB5EBB" w:rsidP="00BD7A92">
            <w:pPr>
              <w:spacing w:before="120" w:after="120" w:line="480" w:lineRule="auto"/>
              <w:jc w:val="center"/>
            </w:pPr>
            <w:r w:rsidRPr="004E4BE3">
              <w:t>1</w:t>
            </w:r>
          </w:p>
        </w:tc>
        <w:tc>
          <w:tcPr>
            <w:tcW w:w="1300" w:type="dxa"/>
            <w:tcBorders>
              <w:top w:val="nil"/>
              <w:left w:val="nil"/>
              <w:bottom w:val="nil"/>
              <w:right w:val="nil"/>
            </w:tcBorders>
            <w:shd w:val="clear" w:color="auto" w:fill="auto"/>
            <w:noWrap/>
            <w:vAlign w:val="bottom"/>
            <w:hideMark/>
          </w:tcPr>
          <w:p w14:paraId="492E389A" w14:textId="77777777" w:rsidR="00DB5EBB" w:rsidRPr="004E4BE3" w:rsidRDefault="00DB5EBB" w:rsidP="00BD7A92">
            <w:pPr>
              <w:spacing w:before="120" w:after="120" w:line="480" w:lineRule="auto"/>
              <w:jc w:val="center"/>
            </w:pPr>
            <w:r w:rsidRPr="004E4BE3">
              <w:t>0.594</w:t>
            </w:r>
          </w:p>
        </w:tc>
        <w:tc>
          <w:tcPr>
            <w:tcW w:w="1300" w:type="dxa"/>
            <w:tcBorders>
              <w:top w:val="nil"/>
              <w:left w:val="nil"/>
              <w:bottom w:val="nil"/>
              <w:right w:val="nil"/>
            </w:tcBorders>
            <w:shd w:val="clear" w:color="auto" w:fill="auto"/>
            <w:noWrap/>
            <w:vAlign w:val="bottom"/>
            <w:hideMark/>
          </w:tcPr>
          <w:p w14:paraId="0D3E554C" w14:textId="77777777" w:rsidR="00DB5EBB" w:rsidRPr="004E4BE3" w:rsidRDefault="00DB5EBB" w:rsidP="00BD7A92">
            <w:pPr>
              <w:spacing w:before="120" w:after="120" w:line="480" w:lineRule="auto"/>
              <w:jc w:val="center"/>
            </w:pPr>
          </w:p>
        </w:tc>
      </w:tr>
      <w:tr w:rsidR="004E4BE3" w:rsidRPr="00AA2B52" w14:paraId="6EC1C0F9" w14:textId="77777777" w:rsidTr="00C700C9">
        <w:trPr>
          <w:trHeight w:val="320"/>
        </w:trPr>
        <w:tc>
          <w:tcPr>
            <w:tcW w:w="2694" w:type="dxa"/>
            <w:tcBorders>
              <w:top w:val="nil"/>
              <w:left w:val="nil"/>
              <w:bottom w:val="nil"/>
              <w:right w:val="nil"/>
            </w:tcBorders>
            <w:shd w:val="clear" w:color="auto" w:fill="auto"/>
            <w:noWrap/>
            <w:vAlign w:val="bottom"/>
            <w:hideMark/>
          </w:tcPr>
          <w:p w14:paraId="5E255C0E" w14:textId="77777777" w:rsidR="00DB5EBB" w:rsidRPr="004E4BE3" w:rsidRDefault="00756BB9" w:rsidP="00BD7A92">
            <w:pPr>
              <w:spacing w:before="120" w:after="120" w:line="480" w:lineRule="auto"/>
            </w:pPr>
            <w:r>
              <w:t>I</w:t>
            </w:r>
            <w:r w:rsidR="00E43F16">
              <w:t>nfection treatment (</w:t>
            </w:r>
            <w:proofErr w:type="spellStart"/>
            <w:r w:rsidR="00E43F16">
              <w:t>Trt</w:t>
            </w:r>
            <w:proofErr w:type="spellEnd"/>
            <w:r w:rsidR="00E43F16">
              <w:t>)</w:t>
            </w:r>
          </w:p>
        </w:tc>
        <w:tc>
          <w:tcPr>
            <w:tcW w:w="1126" w:type="dxa"/>
            <w:tcBorders>
              <w:top w:val="nil"/>
              <w:left w:val="nil"/>
              <w:bottom w:val="nil"/>
              <w:right w:val="nil"/>
            </w:tcBorders>
            <w:shd w:val="clear" w:color="auto" w:fill="auto"/>
            <w:noWrap/>
            <w:vAlign w:val="bottom"/>
            <w:hideMark/>
          </w:tcPr>
          <w:p w14:paraId="5A497A7F" w14:textId="77777777" w:rsidR="00DB5EBB" w:rsidRPr="004E4BE3" w:rsidRDefault="00DB5EBB" w:rsidP="00BD7A92">
            <w:pPr>
              <w:spacing w:before="120" w:after="120" w:line="480" w:lineRule="auto"/>
              <w:jc w:val="center"/>
            </w:pPr>
            <w:r w:rsidRPr="004E4BE3">
              <w:t>4.437</w:t>
            </w:r>
          </w:p>
        </w:tc>
        <w:tc>
          <w:tcPr>
            <w:tcW w:w="1300" w:type="dxa"/>
            <w:tcBorders>
              <w:top w:val="nil"/>
              <w:left w:val="nil"/>
              <w:bottom w:val="nil"/>
              <w:right w:val="nil"/>
            </w:tcBorders>
            <w:shd w:val="clear" w:color="auto" w:fill="auto"/>
            <w:noWrap/>
            <w:vAlign w:val="bottom"/>
            <w:hideMark/>
          </w:tcPr>
          <w:p w14:paraId="4FED4C2D" w14:textId="77777777" w:rsidR="00DB5EBB" w:rsidRPr="004E4BE3" w:rsidRDefault="00DB5EBB" w:rsidP="00BD7A92">
            <w:pPr>
              <w:spacing w:before="120" w:after="120" w:line="480" w:lineRule="auto"/>
              <w:jc w:val="center"/>
            </w:pPr>
            <w:r w:rsidRPr="004E4BE3">
              <w:t>2</w:t>
            </w:r>
          </w:p>
        </w:tc>
        <w:tc>
          <w:tcPr>
            <w:tcW w:w="1300" w:type="dxa"/>
            <w:tcBorders>
              <w:top w:val="nil"/>
              <w:left w:val="nil"/>
              <w:bottom w:val="nil"/>
              <w:right w:val="nil"/>
            </w:tcBorders>
            <w:shd w:val="clear" w:color="auto" w:fill="auto"/>
            <w:noWrap/>
            <w:vAlign w:val="bottom"/>
            <w:hideMark/>
          </w:tcPr>
          <w:p w14:paraId="5D9045B8" w14:textId="77777777" w:rsidR="00DB5EBB" w:rsidRPr="004E4BE3" w:rsidRDefault="00DB5EBB" w:rsidP="00BD7A92">
            <w:pPr>
              <w:spacing w:before="120" w:after="120" w:line="480" w:lineRule="auto"/>
              <w:jc w:val="center"/>
            </w:pPr>
            <w:r w:rsidRPr="004E4BE3">
              <w:t>0.109</w:t>
            </w:r>
          </w:p>
        </w:tc>
        <w:tc>
          <w:tcPr>
            <w:tcW w:w="1300" w:type="dxa"/>
            <w:tcBorders>
              <w:top w:val="nil"/>
              <w:left w:val="nil"/>
              <w:bottom w:val="nil"/>
              <w:right w:val="nil"/>
            </w:tcBorders>
            <w:shd w:val="clear" w:color="auto" w:fill="auto"/>
            <w:noWrap/>
            <w:vAlign w:val="bottom"/>
            <w:hideMark/>
          </w:tcPr>
          <w:p w14:paraId="02CF88DA" w14:textId="77777777" w:rsidR="00DB5EBB" w:rsidRPr="004E4BE3" w:rsidRDefault="00DB5EBB" w:rsidP="00BD7A92">
            <w:pPr>
              <w:spacing w:before="120" w:after="120" w:line="480" w:lineRule="auto"/>
              <w:jc w:val="center"/>
            </w:pPr>
          </w:p>
        </w:tc>
      </w:tr>
      <w:tr w:rsidR="000F6BF7" w:rsidRPr="00AA2B52" w14:paraId="24E140F5" w14:textId="77777777" w:rsidTr="00C700C9">
        <w:trPr>
          <w:trHeight w:val="320"/>
        </w:trPr>
        <w:tc>
          <w:tcPr>
            <w:tcW w:w="2694" w:type="dxa"/>
            <w:tcBorders>
              <w:top w:val="nil"/>
              <w:left w:val="nil"/>
              <w:bottom w:val="nil"/>
              <w:right w:val="nil"/>
            </w:tcBorders>
            <w:shd w:val="clear" w:color="auto" w:fill="auto"/>
            <w:noWrap/>
            <w:vAlign w:val="bottom"/>
          </w:tcPr>
          <w:p w14:paraId="1A150FFD" w14:textId="77777777" w:rsidR="000F6BF7" w:rsidRPr="004E4BE3" w:rsidRDefault="000F6BF7" w:rsidP="00BD7A92">
            <w:pPr>
              <w:spacing w:before="120" w:after="120" w:line="480" w:lineRule="auto"/>
            </w:pPr>
            <w:r>
              <w:t>D</w:t>
            </w:r>
            <w:r w:rsidRPr="004E4BE3">
              <w:t>ay number</w:t>
            </w:r>
          </w:p>
        </w:tc>
        <w:tc>
          <w:tcPr>
            <w:tcW w:w="1126" w:type="dxa"/>
            <w:tcBorders>
              <w:top w:val="nil"/>
              <w:left w:val="nil"/>
              <w:bottom w:val="nil"/>
              <w:right w:val="nil"/>
            </w:tcBorders>
            <w:shd w:val="clear" w:color="auto" w:fill="auto"/>
            <w:noWrap/>
            <w:vAlign w:val="bottom"/>
          </w:tcPr>
          <w:p w14:paraId="35132D4F" w14:textId="77777777" w:rsidR="000F6BF7" w:rsidRPr="004E4BE3" w:rsidRDefault="000F6BF7" w:rsidP="00BD7A92">
            <w:pPr>
              <w:spacing w:before="120" w:after="120" w:line="480" w:lineRule="auto"/>
              <w:jc w:val="center"/>
            </w:pPr>
            <w:r w:rsidRPr="004E4BE3">
              <w:t>13251.18</w:t>
            </w:r>
            <w:r w:rsidR="00E247E9">
              <w:t>3</w:t>
            </w:r>
          </w:p>
        </w:tc>
        <w:tc>
          <w:tcPr>
            <w:tcW w:w="1300" w:type="dxa"/>
            <w:tcBorders>
              <w:top w:val="nil"/>
              <w:left w:val="nil"/>
              <w:bottom w:val="nil"/>
              <w:right w:val="nil"/>
            </w:tcBorders>
            <w:shd w:val="clear" w:color="auto" w:fill="auto"/>
            <w:noWrap/>
            <w:vAlign w:val="bottom"/>
          </w:tcPr>
          <w:p w14:paraId="3BBE05B8" w14:textId="77777777" w:rsidR="000F6BF7" w:rsidRPr="004E4BE3" w:rsidRDefault="000F6BF7" w:rsidP="00BD7A92">
            <w:pPr>
              <w:spacing w:before="120" w:after="120" w:line="480" w:lineRule="auto"/>
              <w:jc w:val="center"/>
            </w:pPr>
            <w:r w:rsidRPr="004E4BE3">
              <w:t>1</w:t>
            </w:r>
          </w:p>
        </w:tc>
        <w:tc>
          <w:tcPr>
            <w:tcW w:w="1300" w:type="dxa"/>
            <w:tcBorders>
              <w:top w:val="nil"/>
              <w:left w:val="nil"/>
              <w:bottom w:val="nil"/>
              <w:right w:val="nil"/>
            </w:tcBorders>
            <w:shd w:val="clear" w:color="auto" w:fill="auto"/>
            <w:noWrap/>
            <w:vAlign w:val="bottom"/>
          </w:tcPr>
          <w:p w14:paraId="03EE2B67" w14:textId="77777777" w:rsidR="000F6BF7" w:rsidRPr="004E4BE3" w:rsidRDefault="000F6BF7" w:rsidP="00BD7A92">
            <w:pPr>
              <w:spacing w:before="120" w:after="120" w:line="480" w:lineRule="auto"/>
              <w:jc w:val="center"/>
            </w:pPr>
            <w:r w:rsidRPr="004E4BE3">
              <w:t>&lt;0.001</w:t>
            </w:r>
          </w:p>
        </w:tc>
        <w:tc>
          <w:tcPr>
            <w:tcW w:w="1300" w:type="dxa"/>
            <w:tcBorders>
              <w:top w:val="nil"/>
              <w:left w:val="nil"/>
              <w:bottom w:val="nil"/>
              <w:right w:val="nil"/>
            </w:tcBorders>
            <w:shd w:val="clear" w:color="auto" w:fill="auto"/>
            <w:noWrap/>
            <w:vAlign w:val="bottom"/>
          </w:tcPr>
          <w:p w14:paraId="6303D3CD" w14:textId="77777777" w:rsidR="000F6BF7" w:rsidRPr="004E4BE3" w:rsidRDefault="000F6BF7" w:rsidP="00BD7A92">
            <w:pPr>
              <w:spacing w:before="120" w:after="120" w:line="480" w:lineRule="auto"/>
              <w:jc w:val="center"/>
            </w:pPr>
            <w:r w:rsidRPr="004E4BE3">
              <w:t>***</w:t>
            </w:r>
          </w:p>
        </w:tc>
      </w:tr>
      <w:tr w:rsidR="000F6BF7" w:rsidRPr="00AA2B52" w14:paraId="58838104" w14:textId="77777777" w:rsidTr="00C700C9">
        <w:trPr>
          <w:trHeight w:val="320"/>
        </w:trPr>
        <w:tc>
          <w:tcPr>
            <w:tcW w:w="2694" w:type="dxa"/>
            <w:tcBorders>
              <w:top w:val="nil"/>
              <w:left w:val="nil"/>
              <w:bottom w:val="nil"/>
              <w:right w:val="nil"/>
            </w:tcBorders>
            <w:shd w:val="clear" w:color="auto" w:fill="auto"/>
            <w:noWrap/>
            <w:vAlign w:val="bottom"/>
            <w:hideMark/>
          </w:tcPr>
          <w:p w14:paraId="7085B68A" w14:textId="77777777" w:rsidR="000F6BF7" w:rsidRPr="004E4BE3" w:rsidRDefault="000F6BF7" w:rsidP="00BD7A92">
            <w:pPr>
              <w:spacing w:before="120" w:after="120" w:line="480" w:lineRule="auto"/>
            </w:pPr>
            <w:r>
              <w:t>D</w:t>
            </w:r>
            <w:r w:rsidRPr="004E4BE3">
              <w:t xml:space="preserve">ay number </w:t>
            </w:r>
            <w:r>
              <w:t>x</w:t>
            </w:r>
            <w:r w:rsidRPr="004E4BE3">
              <w:t xml:space="preserve"> </w:t>
            </w:r>
            <w:r>
              <w:t>S</w:t>
            </w:r>
            <w:r w:rsidRPr="004E4BE3">
              <w:t>ex</w:t>
            </w:r>
          </w:p>
        </w:tc>
        <w:tc>
          <w:tcPr>
            <w:tcW w:w="1126" w:type="dxa"/>
            <w:tcBorders>
              <w:top w:val="nil"/>
              <w:left w:val="nil"/>
              <w:bottom w:val="nil"/>
              <w:right w:val="nil"/>
            </w:tcBorders>
            <w:shd w:val="clear" w:color="auto" w:fill="auto"/>
            <w:noWrap/>
            <w:vAlign w:val="bottom"/>
            <w:hideMark/>
          </w:tcPr>
          <w:p w14:paraId="54B8CD88" w14:textId="77777777" w:rsidR="000F6BF7" w:rsidRPr="004E4BE3" w:rsidRDefault="000F6BF7" w:rsidP="00BD7A92">
            <w:pPr>
              <w:spacing w:before="120" w:after="120" w:line="480" w:lineRule="auto"/>
              <w:jc w:val="center"/>
            </w:pPr>
            <w:r w:rsidRPr="004E4BE3">
              <w:t>2507.06</w:t>
            </w:r>
            <w:r w:rsidR="00E247E9">
              <w:t>4</w:t>
            </w:r>
          </w:p>
        </w:tc>
        <w:tc>
          <w:tcPr>
            <w:tcW w:w="1300" w:type="dxa"/>
            <w:tcBorders>
              <w:top w:val="nil"/>
              <w:left w:val="nil"/>
              <w:bottom w:val="nil"/>
              <w:right w:val="nil"/>
            </w:tcBorders>
            <w:shd w:val="clear" w:color="auto" w:fill="auto"/>
            <w:noWrap/>
            <w:vAlign w:val="bottom"/>
            <w:hideMark/>
          </w:tcPr>
          <w:p w14:paraId="50B1CEEB" w14:textId="77777777" w:rsidR="000F6BF7" w:rsidRPr="004E4BE3" w:rsidRDefault="000F6BF7" w:rsidP="00BD7A92">
            <w:pPr>
              <w:spacing w:before="120" w:after="120" w:line="480" w:lineRule="auto"/>
              <w:jc w:val="center"/>
            </w:pPr>
            <w:r w:rsidRPr="004E4BE3">
              <w:t>1</w:t>
            </w:r>
          </w:p>
        </w:tc>
        <w:tc>
          <w:tcPr>
            <w:tcW w:w="1300" w:type="dxa"/>
            <w:tcBorders>
              <w:top w:val="nil"/>
              <w:left w:val="nil"/>
              <w:bottom w:val="nil"/>
              <w:right w:val="nil"/>
            </w:tcBorders>
            <w:shd w:val="clear" w:color="auto" w:fill="auto"/>
            <w:noWrap/>
            <w:vAlign w:val="bottom"/>
            <w:hideMark/>
          </w:tcPr>
          <w:p w14:paraId="505BF885" w14:textId="77777777" w:rsidR="000F6BF7" w:rsidRPr="004E4BE3" w:rsidRDefault="000F6BF7" w:rsidP="00BD7A92">
            <w:pPr>
              <w:spacing w:before="120" w:after="120" w:line="480" w:lineRule="auto"/>
              <w:jc w:val="center"/>
            </w:pPr>
            <w:r w:rsidRPr="004E4BE3">
              <w:t>&lt;0.001</w:t>
            </w:r>
          </w:p>
        </w:tc>
        <w:tc>
          <w:tcPr>
            <w:tcW w:w="1300" w:type="dxa"/>
            <w:tcBorders>
              <w:top w:val="nil"/>
              <w:left w:val="nil"/>
              <w:bottom w:val="nil"/>
              <w:right w:val="nil"/>
            </w:tcBorders>
            <w:shd w:val="clear" w:color="auto" w:fill="auto"/>
            <w:noWrap/>
            <w:vAlign w:val="bottom"/>
            <w:hideMark/>
          </w:tcPr>
          <w:p w14:paraId="7359D669" w14:textId="77777777" w:rsidR="000F6BF7" w:rsidRPr="004E4BE3" w:rsidRDefault="000F6BF7" w:rsidP="00BD7A92">
            <w:pPr>
              <w:spacing w:before="120" w:after="120" w:line="480" w:lineRule="auto"/>
              <w:jc w:val="center"/>
            </w:pPr>
            <w:r w:rsidRPr="004E4BE3">
              <w:t>***</w:t>
            </w:r>
          </w:p>
        </w:tc>
      </w:tr>
      <w:tr w:rsidR="000F6BF7" w:rsidRPr="00AA2B52" w14:paraId="6A8618AE" w14:textId="77777777" w:rsidTr="00C700C9">
        <w:trPr>
          <w:trHeight w:val="320"/>
        </w:trPr>
        <w:tc>
          <w:tcPr>
            <w:tcW w:w="2694" w:type="dxa"/>
            <w:tcBorders>
              <w:top w:val="nil"/>
              <w:left w:val="nil"/>
              <w:bottom w:val="nil"/>
              <w:right w:val="nil"/>
            </w:tcBorders>
            <w:shd w:val="clear" w:color="auto" w:fill="auto"/>
            <w:noWrap/>
            <w:vAlign w:val="bottom"/>
            <w:hideMark/>
          </w:tcPr>
          <w:p w14:paraId="47F94E7E" w14:textId="77777777" w:rsidR="000F6BF7" w:rsidRPr="004E4BE3" w:rsidRDefault="000F6BF7" w:rsidP="00BD7A92">
            <w:pPr>
              <w:spacing w:before="120" w:after="120" w:line="480" w:lineRule="auto"/>
            </w:pPr>
            <w:r>
              <w:t>D</w:t>
            </w:r>
            <w:r w:rsidRPr="004E4BE3">
              <w:t xml:space="preserve">ay number </w:t>
            </w:r>
            <w:r>
              <w:t>x</w:t>
            </w:r>
            <w:r w:rsidRPr="004E4BE3">
              <w:t xml:space="preserve"> </w:t>
            </w:r>
            <w:proofErr w:type="spellStart"/>
            <w:r w:rsidR="00E43F16">
              <w:t>Trt</w:t>
            </w:r>
            <w:proofErr w:type="spellEnd"/>
          </w:p>
        </w:tc>
        <w:tc>
          <w:tcPr>
            <w:tcW w:w="1126" w:type="dxa"/>
            <w:tcBorders>
              <w:top w:val="nil"/>
              <w:left w:val="nil"/>
              <w:bottom w:val="nil"/>
              <w:right w:val="nil"/>
            </w:tcBorders>
            <w:shd w:val="clear" w:color="auto" w:fill="auto"/>
            <w:noWrap/>
            <w:vAlign w:val="bottom"/>
            <w:hideMark/>
          </w:tcPr>
          <w:p w14:paraId="42452206" w14:textId="77777777" w:rsidR="000F6BF7" w:rsidRPr="004E4BE3" w:rsidRDefault="000F6BF7" w:rsidP="00BD7A92">
            <w:pPr>
              <w:spacing w:before="120" w:after="120" w:line="480" w:lineRule="auto"/>
              <w:jc w:val="center"/>
            </w:pPr>
            <w:r w:rsidRPr="004E4BE3">
              <w:t>1464.6</w:t>
            </w:r>
            <w:r w:rsidR="00E247E9">
              <w:t>37</w:t>
            </w:r>
          </w:p>
        </w:tc>
        <w:tc>
          <w:tcPr>
            <w:tcW w:w="1300" w:type="dxa"/>
            <w:tcBorders>
              <w:top w:val="nil"/>
              <w:left w:val="nil"/>
              <w:bottom w:val="nil"/>
              <w:right w:val="nil"/>
            </w:tcBorders>
            <w:shd w:val="clear" w:color="auto" w:fill="auto"/>
            <w:noWrap/>
            <w:vAlign w:val="bottom"/>
            <w:hideMark/>
          </w:tcPr>
          <w:p w14:paraId="71370962" w14:textId="77777777" w:rsidR="000F6BF7" w:rsidRPr="004E4BE3" w:rsidRDefault="000F6BF7" w:rsidP="00BD7A92">
            <w:pPr>
              <w:spacing w:before="120" w:after="120" w:line="480" w:lineRule="auto"/>
              <w:jc w:val="center"/>
            </w:pPr>
            <w:r w:rsidRPr="004E4BE3">
              <w:t>2</w:t>
            </w:r>
          </w:p>
        </w:tc>
        <w:tc>
          <w:tcPr>
            <w:tcW w:w="1300" w:type="dxa"/>
            <w:tcBorders>
              <w:top w:val="nil"/>
              <w:left w:val="nil"/>
              <w:bottom w:val="nil"/>
              <w:right w:val="nil"/>
            </w:tcBorders>
            <w:shd w:val="clear" w:color="auto" w:fill="auto"/>
            <w:noWrap/>
            <w:vAlign w:val="bottom"/>
            <w:hideMark/>
          </w:tcPr>
          <w:p w14:paraId="676FE032" w14:textId="77777777" w:rsidR="000F6BF7" w:rsidRPr="004E4BE3" w:rsidRDefault="000F6BF7" w:rsidP="00BD7A92">
            <w:pPr>
              <w:spacing w:before="120" w:after="120" w:line="480" w:lineRule="auto"/>
              <w:jc w:val="center"/>
            </w:pPr>
            <w:r w:rsidRPr="004E4BE3">
              <w:t>&lt;0.001</w:t>
            </w:r>
          </w:p>
        </w:tc>
        <w:tc>
          <w:tcPr>
            <w:tcW w:w="1300" w:type="dxa"/>
            <w:tcBorders>
              <w:top w:val="nil"/>
              <w:left w:val="nil"/>
              <w:bottom w:val="nil"/>
              <w:right w:val="nil"/>
            </w:tcBorders>
            <w:shd w:val="clear" w:color="auto" w:fill="auto"/>
            <w:noWrap/>
            <w:vAlign w:val="bottom"/>
            <w:hideMark/>
          </w:tcPr>
          <w:p w14:paraId="49F8D812" w14:textId="77777777" w:rsidR="000F6BF7" w:rsidRPr="004E4BE3" w:rsidRDefault="000F6BF7" w:rsidP="00BD7A92">
            <w:pPr>
              <w:spacing w:before="120" w:after="120" w:line="480" w:lineRule="auto"/>
              <w:jc w:val="center"/>
            </w:pPr>
            <w:r w:rsidRPr="004E4BE3">
              <w:t>***</w:t>
            </w:r>
          </w:p>
        </w:tc>
      </w:tr>
      <w:tr w:rsidR="000F6BF7" w:rsidRPr="00AA2B52" w14:paraId="53D4AF93" w14:textId="77777777" w:rsidTr="00C700C9">
        <w:trPr>
          <w:trHeight w:val="320"/>
        </w:trPr>
        <w:tc>
          <w:tcPr>
            <w:tcW w:w="2694" w:type="dxa"/>
            <w:tcBorders>
              <w:top w:val="nil"/>
              <w:left w:val="nil"/>
              <w:bottom w:val="nil"/>
              <w:right w:val="nil"/>
            </w:tcBorders>
            <w:shd w:val="clear" w:color="auto" w:fill="auto"/>
            <w:noWrap/>
            <w:vAlign w:val="bottom"/>
            <w:hideMark/>
          </w:tcPr>
          <w:p w14:paraId="356DCBDD" w14:textId="77777777" w:rsidR="000F6BF7" w:rsidRPr="004E4BE3" w:rsidRDefault="000F6BF7" w:rsidP="00BD7A92">
            <w:pPr>
              <w:spacing w:before="120" w:after="120" w:line="480" w:lineRule="auto"/>
            </w:pPr>
            <w:r>
              <w:t>S</w:t>
            </w:r>
            <w:r w:rsidRPr="004E4BE3">
              <w:t xml:space="preserve">ex </w:t>
            </w:r>
            <w:r>
              <w:t>x</w:t>
            </w:r>
            <w:r w:rsidRPr="004E4BE3">
              <w:t xml:space="preserve"> </w:t>
            </w:r>
            <w:proofErr w:type="spellStart"/>
            <w:r w:rsidR="00E43F16">
              <w:t>Trt</w:t>
            </w:r>
            <w:proofErr w:type="spellEnd"/>
          </w:p>
        </w:tc>
        <w:tc>
          <w:tcPr>
            <w:tcW w:w="1126" w:type="dxa"/>
            <w:tcBorders>
              <w:top w:val="nil"/>
              <w:left w:val="nil"/>
              <w:bottom w:val="nil"/>
              <w:right w:val="nil"/>
            </w:tcBorders>
            <w:shd w:val="clear" w:color="auto" w:fill="auto"/>
            <w:noWrap/>
            <w:vAlign w:val="bottom"/>
            <w:hideMark/>
          </w:tcPr>
          <w:p w14:paraId="5032B267" w14:textId="77777777" w:rsidR="000F6BF7" w:rsidRPr="004E4BE3" w:rsidRDefault="000F6BF7" w:rsidP="00BD7A92">
            <w:pPr>
              <w:spacing w:before="120" w:after="120" w:line="480" w:lineRule="auto"/>
              <w:jc w:val="center"/>
            </w:pPr>
            <w:r w:rsidRPr="004E4BE3">
              <w:t>9.72</w:t>
            </w:r>
            <w:r w:rsidR="00E247E9">
              <w:t>4</w:t>
            </w:r>
          </w:p>
        </w:tc>
        <w:tc>
          <w:tcPr>
            <w:tcW w:w="1300" w:type="dxa"/>
            <w:tcBorders>
              <w:top w:val="nil"/>
              <w:left w:val="nil"/>
              <w:bottom w:val="nil"/>
              <w:right w:val="nil"/>
            </w:tcBorders>
            <w:shd w:val="clear" w:color="auto" w:fill="auto"/>
            <w:noWrap/>
            <w:vAlign w:val="bottom"/>
            <w:hideMark/>
          </w:tcPr>
          <w:p w14:paraId="43F30072" w14:textId="77777777" w:rsidR="000F6BF7" w:rsidRPr="004E4BE3" w:rsidRDefault="000F6BF7" w:rsidP="00BD7A92">
            <w:pPr>
              <w:spacing w:before="120" w:after="120" w:line="480" w:lineRule="auto"/>
              <w:jc w:val="center"/>
            </w:pPr>
            <w:r w:rsidRPr="004E4BE3">
              <w:t>2</w:t>
            </w:r>
          </w:p>
        </w:tc>
        <w:tc>
          <w:tcPr>
            <w:tcW w:w="1300" w:type="dxa"/>
            <w:tcBorders>
              <w:top w:val="nil"/>
              <w:left w:val="nil"/>
              <w:bottom w:val="nil"/>
              <w:right w:val="nil"/>
            </w:tcBorders>
            <w:shd w:val="clear" w:color="auto" w:fill="auto"/>
            <w:noWrap/>
            <w:vAlign w:val="bottom"/>
            <w:hideMark/>
          </w:tcPr>
          <w:p w14:paraId="5C64E5E3" w14:textId="77777777" w:rsidR="000F6BF7" w:rsidRPr="004E4BE3" w:rsidRDefault="000F6BF7" w:rsidP="00BD7A92">
            <w:pPr>
              <w:spacing w:before="120" w:after="120" w:line="480" w:lineRule="auto"/>
              <w:jc w:val="center"/>
            </w:pPr>
            <w:r w:rsidRPr="004E4BE3">
              <w:t>0.008</w:t>
            </w:r>
          </w:p>
        </w:tc>
        <w:tc>
          <w:tcPr>
            <w:tcW w:w="1300" w:type="dxa"/>
            <w:tcBorders>
              <w:top w:val="nil"/>
              <w:left w:val="nil"/>
              <w:bottom w:val="nil"/>
              <w:right w:val="nil"/>
            </w:tcBorders>
            <w:shd w:val="clear" w:color="auto" w:fill="auto"/>
            <w:noWrap/>
            <w:vAlign w:val="bottom"/>
            <w:hideMark/>
          </w:tcPr>
          <w:p w14:paraId="25D41274" w14:textId="77777777" w:rsidR="000F6BF7" w:rsidRPr="004E4BE3" w:rsidRDefault="000F6BF7" w:rsidP="00BD7A92">
            <w:pPr>
              <w:spacing w:before="120" w:after="120" w:line="480" w:lineRule="auto"/>
              <w:jc w:val="center"/>
            </w:pPr>
            <w:r w:rsidRPr="004E4BE3">
              <w:t>**</w:t>
            </w:r>
          </w:p>
        </w:tc>
      </w:tr>
      <w:tr w:rsidR="000F6BF7" w:rsidRPr="00AA2B52" w14:paraId="5AA0DF93" w14:textId="77777777" w:rsidTr="00C700C9">
        <w:trPr>
          <w:trHeight w:val="320"/>
        </w:trPr>
        <w:tc>
          <w:tcPr>
            <w:tcW w:w="2694" w:type="dxa"/>
            <w:tcBorders>
              <w:top w:val="nil"/>
              <w:left w:val="nil"/>
              <w:bottom w:val="single" w:sz="4" w:space="0" w:color="auto"/>
              <w:right w:val="nil"/>
            </w:tcBorders>
            <w:shd w:val="clear" w:color="auto" w:fill="auto"/>
            <w:noWrap/>
            <w:vAlign w:val="bottom"/>
            <w:hideMark/>
          </w:tcPr>
          <w:p w14:paraId="21608687" w14:textId="77777777" w:rsidR="000F6BF7" w:rsidRPr="004E4BE3" w:rsidRDefault="000F6BF7" w:rsidP="00BD7A92">
            <w:pPr>
              <w:spacing w:before="120" w:after="120" w:line="480" w:lineRule="auto"/>
            </w:pPr>
            <w:r>
              <w:t>D</w:t>
            </w:r>
            <w:r w:rsidRPr="004E4BE3">
              <w:t xml:space="preserve">ay number </w:t>
            </w:r>
            <w:r>
              <w:t>x S</w:t>
            </w:r>
            <w:r w:rsidRPr="004E4BE3">
              <w:t xml:space="preserve">ex </w:t>
            </w:r>
            <w:r>
              <w:t>x</w:t>
            </w:r>
            <w:r w:rsidRPr="004E4BE3">
              <w:t xml:space="preserve"> </w:t>
            </w:r>
            <w:proofErr w:type="spellStart"/>
            <w:r w:rsidR="00E43F16">
              <w:t>Trt</w:t>
            </w:r>
            <w:proofErr w:type="spellEnd"/>
          </w:p>
        </w:tc>
        <w:tc>
          <w:tcPr>
            <w:tcW w:w="1126" w:type="dxa"/>
            <w:tcBorders>
              <w:top w:val="nil"/>
              <w:left w:val="nil"/>
              <w:bottom w:val="single" w:sz="4" w:space="0" w:color="auto"/>
              <w:right w:val="nil"/>
            </w:tcBorders>
            <w:shd w:val="clear" w:color="auto" w:fill="auto"/>
            <w:noWrap/>
            <w:vAlign w:val="bottom"/>
            <w:hideMark/>
          </w:tcPr>
          <w:p w14:paraId="0F15A0A5" w14:textId="77777777" w:rsidR="000F6BF7" w:rsidRPr="004E4BE3" w:rsidRDefault="000F6BF7" w:rsidP="00BD7A92">
            <w:pPr>
              <w:spacing w:before="120" w:after="120" w:line="480" w:lineRule="auto"/>
              <w:jc w:val="center"/>
            </w:pPr>
            <w:r w:rsidRPr="004E4BE3">
              <w:t>666.49</w:t>
            </w:r>
            <w:r w:rsidR="00E247E9">
              <w:t>4</w:t>
            </w:r>
          </w:p>
        </w:tc>
        <w:tc>
          <w:tcPr>
            <w:tcW w:w="1300" w:type="dxa"/>
            <w:tcBorders>
              <w:top w:val="nil"/>
              <w:left w:val="nil"/>
              <w:bottom w:val="single" w:sz="4" w:space="0" w:color="auto"/>
              <w:right w:val="nil"/>
            </w:tcBorders>
            <w:shd w:val="clear" w:color="auto" w:fill="auto"/>
            <w:noWrap/>
            <w:vAlign w:val="bottom"/>
            <w:hideMark/>
          </w:tcPr>
          <w:p w14:paraId="4BC084E0" w14:textId="77777777" w:rsidR="000F6BF7" w:rsidRPr="004E4BE3" w:rsidRDefault="000F6BF7" w:rsidP="00BD7A92">
            <w:pPr>
              <w:spacing w:before="120" w:after="120" w:line="480" w:lineRule="auto"/>
              <w:jc w:val="center"/>
            </w:pPr>
            <w:r w:rsidRPr="004E4BE3">
              <w:t>2</w:t>
            </w:r>
          </w:p>
        </w:tc>
        <w:tc>
          <w:tcPr>
            <w:tcW w:w="1300" w:type="dxa"/>
            <w:tcBorders>
              <w:top w:val="nil"/>
              <w:left w:val="nil"/>
              <w:bottom w:val="single" w:sz="4" w:space="0" w:color="auto"/>
              <w:right w:val="nil"/>
            </w:tcBorders>
            <w:shd w:val="clear" w:color="auto" w:fill="auto"/>
            <w:noWrap/>
            <w:vAlign w:val="bottom"/>
            <w:hideMark/>
          </w:tcPr>
          <w:p w14:paraId="33B6624A" w14:textId="77777777" w:rsidR="000F6BF7" w:rsidRPr="004E4BE3" w:rsidRDefault="000F6BF7" w:rsidP="00BD7A92">
            <w:pPr>
              <w:spacing w:before="120" w:after="120" w:line="480" w:lineRule="auto"/>
              <w:jc w:val="center"/>
            </w:pPr>
            <w:r w:rsidRPr="004E4BE3">
              <w:t>&lt;0.001</w:t>
            </w:r>
          </w:p>
        </w:tc>
        <w:tc>
          <w:tcPr>
            <w:tcW w:w="1300" w:type="dxa"/>
            <w:tcBorders>
              <w:top w:val="nil"/>
              <w:left w:val="nil"/>
              <w:bottom w:val="single" w:sz="4" w:space="0" w:color="auto"/>
              <w:right w:val="nil"/>
            </w:tcBorders>
            <w:shd w:val="clear" w:color="auto" w:fill="auto"/>
            <w:noWrap/>
            <w:vAlign w:val="bottom"/>
            <w:hideMark/>
          </w:tcPr>
          <w:p w14:paraId="76E56D59" w14:textId="77777777" w:rsidR="000F6BF7" w:rsidRPr="004E4BE3" w:rsidRDefault="000F6BF7" w:rsidP="00BD7A92">
            <w:pPr>
              <w:spacing w:before="120" w:after="120" w:line="480" w:lineRule="auto"/>
              <w:jc w:val="center"/>
            </w:pPr>
            <w:r w:rsidRPr="004E4BE3">
              <w:t>***</w:t>
            </w:r>
          </w:p>
        </w:tc>
      </w:tr>
    </w:tbl>
    <w:p w14:paraId="68ADE823" w14:textId="77777777" w:rsidR="00775070" w:rsidRPr="004E4BE3" w:rsidRDefault="00775070" w:rsidP="00BD7A92">
      <w:pPr>
        <w:spacing w:before="120" w:after="120" w:line="480" w:lineRule="auto"/>
        <w:rPr>
          <w:rStyle w:val="Hyperlink"/>
          <w:color w:val="auto"/>
        </w:rPr>
      </w:pPr>
    </w:p>
    <w:p w14:paraId="72AF6978" w14:textId="1A063981" w:rsidR="00D54915" w:rsidRDefault="00BE0B01" w:rsidP="00BD7A92">
      <w:pPr>
        <w:spacing w:before="120" w:after="120" w:line="480" w:lineRule="auto"/>
      </w:pPr>
      <w:r>
        <w:br w:type="page"/>
        <w:t xml:space="preserve">Table S3 ANOVA results for full model </w:t>
      </w:r>
      <w:r w:rsidR="00CD576D">
        <w:t>predicting</w:t>
      </w:r>
      <w:r>
        <w:t xml:space="preserve"> </w:t>
      </w:r>
      <w:r w:rsidR="00E834B9">
        <w:t>square</w:t>
      </w:r>
      <w:r w:rsidR="00CD576D">
        <w:t xml:space="preserve"> root</w:t>
      </w:r>
      <w:r w:rsidR="00E834B9">
        <w:t xml:space="preserve"> transformed </w:t>
      </w:r>
      <w:r>
        <w:t>total number of patches travelled,</w:t>
      </w:r>
      <w:r w:rsidRPr="00BE0B01">
        <w:rPr>
          <w:rStyle w:val="Hyperlink"/>
          <w:color w:val="auto"/>
          <w:u w:val="none"/>
        </w:rPr>
        <w:t xml:space="preserve"> </w:t>
      </w:r>
      <w:r>
        <w:rPr>
          <w:rStyle w:val="Hyperlink"/>
          <w:color w:val="auto"/>
          <w:u w:val="none"/>
        </w:rPr>
        <w:t xml:space="preserve">using </w:t>
      </w:r>
      <w:r w:rsidRPr="004E4BE3">
        <w:rPr>
          <w:rStyle w:val="Hyperlink"/>
          <w:color w:val="auto"/>
          <w:u w:val="none"/>
        </w:rPr>
        <w:t xml:space="preserve">host sex and </w:t>
      </w:r>
      <w:r>
        <w:rPr>
          <w:rStyle w:val="Hyperlink"/>
          <w:color w:val="auto"/>
          <w:u w:val="none"/>
        </w:rPr>
        <w:t xml:space="preserve">infection treatment </w:t>
      </w:r>
      <w:r w:rsidR="00E43F16">
        <w:rPr>
          <w:rStyle w:val="Hyperlink"/>
          <w:color w:val="auto"/>
          <w:u w:val="none"/>
        </w:rPr>
        <w:t>(</w:t>
      </w:r>
      <w:r w:rsidR="00AC17E2">
        <w:rPr>
          <w:rStyle w:val="Hyperlink"/>
          <w:color w:val="auto"/>
          <w:u w:val="none"/>
        </w:rPr>
        <w:t xml:space="preserve">uninfected </w:t>
      </w:r>
      <w:r w:rsidR="005E23A6">
        <w:rPr>
          <w:rStyle w:val="Hyperlink"/>
          <w:color w:val="auto"/>
          <w:u w:val="none"/>
        </w:rPr>
        <w:t>c</w:t>
      </w:r>
      <w:r w:rsidR="00E43F16">
        <w:rPr>
          <w:rStyle w:val="Hyperlink"/>
          <w:color w:val="auto"/>
          <w:u w:val="none"/>
        </w:rPr>
        <w:t>ontrol, pathogen C19, and C1)</w:t>
      </w:r>
      <w:r w:rsidR="00E43F16" w:rsidRPr="004E4BE3">
        <w:rPr>
          <w:rStyle w:val="Hyperlink"/>
          <w:color w:val="auto"/>
          <w:u w:val="none"/>
        </w:rPr>
        <w:t xml:space="preserve"> </w:t>
      </w:r>
      <w:r w:rsidRPr="004E4BE3">
        <w:rPr>
          <w:rStyle w:val="Hyperlink"/>
          <w:color w:val="auto"/>
          <w:u w:val="none"/>
        </w:rPr>
        <w:t>as fixed effects</w:t>
      </w:r>
      <w:r w:rsidR="00944829">
        <w:rPr>
          <w:rStyle w:val="Hyperlink"/>
          <w:color w:val="auto"/>
          <w:u w:val="none"/>
        </w:rPr>
        <w:t>.</w:t>
      </w:r>
    </w:p>
    <w:tbl>
      <w:tblPr>
        <w:tblW w:w="8080" w:type="dxa"/>
        <w:tblLook w:val="04A0" w:firstRow="1" w:lastRow="0" w:firstColumn="1" w:lastColumn="0" w:noHBand="0" w:noVBand="1"/>
      </w:tblPr>
      <w:tblGrid>
        <w:gridCol w:w="2694"/>
        <w:gridCol w:w="1134"/>
        <w:gridCol w:w="1275"/>
        <w:gridCol w:w="1560"/>
        <w:gridCol w:w="1417"/>
      </w:tblGrid>
      <w:tr w:rsidR="002E22DE" w:rsidRPr="00AA2B52" w14:paraId="6C730002" w14:textId="77777777" w:rsidTr="002E22DE">
        <w:trPr>
          <w:trHeight w:val="610"/>
        </w:trPr>
        <w:tc>
          <w:tcPr>
            <w:tcW w:w="2694" w:type="dxa"/>
            <w:tcBorders>
              <w:top w:val="single" w:sz="4" w:space="0" w:color="auto"/>
              <w:left w:val="nil"/>
              <w:bottom w:val="single" w:sz="4" w:space="0" w:color="auto"/>
              <w:right w:val="nil"/>
            </w:tcBorders>
            <w:shd w:val="clear" w:color="auto" w:fill="auto"/>
            <w:noWrap/>
            <w:vAlign w:val="bottom"/>
            <w:hideMark/>
          </w:tcPr>
          <w:p w14:paraId="4E6E09DE" w14:textId="77777777" w:rsidR="002E22DE" w:rsidRPr="004E4BE3" w:rsidRDefault="002E22DE" w:rsidP="00BD7A92">
            <w:pPr>
              <w:spacing w:before="120" w:after="120" w:line="480" w:lineRule="auto"/>
              <w:jc w:val="center"/>
              <w:rPr>
                <w:b/>
                <w:bCs/>
              </w:rPr>
            </w:pPr>
            <w:r>
              <w:rPr>
                <w:b/>
                <w:bCs/>
              </w:rPr>
              <w:t>Source</w:t>
            </w:r>
          </w:p>
        </w:tc>
        <w:tc>
          <w:tcPr>
            <w:tcW w:w="1134" w:type="dxa"/>
            <w:tcBorders>
              <w:top w:val="single" w:sz="4" w:space="0" w:color="auto"/>
              <w:left w:val="nil"/>
              <w:bottom w:val="single" w:sz="4" w:space="0" w:color="auto"/>
              <w:right w:val="nil"/>
            </w:tcBorders>
            <w:vAlign w:val="center"/>
          </w:tcPr>
          <w:p w14:paraId="6E7D6B6D" w14:textId="77777777" w:rsidR="002E22DE" w:rsidRDefault="002E22DE" w:rsidP="00BD7A92">
            <w:pPr>
              <w:spacing w:before="120" w:after="120" w:line="480" w:lineRule="auto"/>
              <w:jc w:val="center"/>
              <w:rPr>
                <w:b/>
                <w:bCs/>
              </w:rPr>
            </w:pPr>
            <w:r w:rsidRPr="004E4BE3">
              <w:rPr>
                <w:b/>
                <w:bCs/>
              </w:rPr>
              <w:t>d.f.</w:t>
            </w:r>
          </w:p>
        </w:tc>
        <w:tc>
          <w:tcPr>
            <w:tcW w:w="1275" w:type="dxa"/>
            <w:tcBorders>
              <w:top w:val="single" w:sz="4" w:space="0" w:color="auto"/>
              <w:left w:val="nil"/>
              <w:bottom w:val="single" w:sz="4" w:space="0" w:color="auto"/>
              <w:right w:val="nil"/>
            </w:tcBorders>
            <w:shd w:val="clear" w:color="auto" w:fill="auto"/>
            <w:noWrap/>
            <w:vAlign w:val="center"/>
            <w:hideMark/>
          </w:tcPr>
          <w:p w14:paraId="5C8F365F" w14:textId="77777777" w:rsidR="002E22DE" w:rsidRPr="004E4BE3" w:rsidRDefault="002E22DE" w:rsidP="00BD7A92">
            <w:pPr>
              <w:spacing w:before="120" w:after="120" w:line="480" w:lineRule="auto"/>
              <w:jc w:val="center"/>
              <w:rPr>
                <w:b/>
                <w:bCs/>
              </w:rPr>
            </w:pPr>
            <w:r>
              <w:rPr>
                <w:b/>
                <w:bCs/>
              </w:rPr>
              <w:t>F</w:t>
            </w:r>
          </w:p>
        </w:tc>
        <w:tc>
          <w:tcPr>
            <w:tcW w:w="1560" w:type="dxa"/>
            <w:tcBorders>
              <w:top w:val="single" w:sz="4" w:space="0" w:color="auto"/>
              <w:left w:val="nil"/>
              <w:bottom w:val="single" w:sz="4" w:space="0" w:color="auto"/>
              <w:right w:val="nil"/>
            </w:tcBorders>
            <w:shd w:val="clear" w:color="auto" w:fill="auto"/>
            <w:noWrap/>
            <w:vAlign w:val="center"/>
            <w:hideMark/>
          </w:tcPr>
          <w:p w14:paraId="7D25CB6D" w14:textId="77777777" w:rsidR="002E22DE" w:rsidRPr="004E4BE3" w:rsidRDefault="002E22DE" w:rsidP="00BD7A92">
            <w:pPr>
              <w:spacing w:before="120" w:after="120" w:line="480" w:lineRule="auto"/>
              <w:jc w:val="center"/>
              <w:rPr>
                <w:b/>
                <w:bCs/>
              </w:rPr>
            </w:pPr>
            <w:r w:rsidRPr="004E4BE3">
              <w:rPr>
                <w:b/>
                <w:bCs/>
              </w:rPr>
              <w:t>P-value</w:t>
            </w:r>
          </w:p>
        </w:tc>
        <w:tc>
          <w:tcPr>
            <w:tcW w:w="1417" w:type="dxa"/>
            <w:tcBorders>
              <w:top w:val="single" w:sz="4" w:space="0" w:color="auto"/>
              <w:left w:val="nil"/>
              <w:bottom w:val="single" w:sz="4" w:space="0" w:color="auto"/>
              <w:right w:val="nil"/>
            </w:tcBorders>
            <w:shd w:val="clear" w:color="auto" w:fill="auto"/>
            <w:noWrap/>
            <w:vAlign w:val="center"/>
            <w:hideMark/>
          </w:tcPr>
          <w:p w14:paraId="2DFA0A89" w14:textId="77777777" w:rsidR="002E22DE" w:rsidRPr="004E4BE3" w:rsidRDefault="002E22DE" w:rsidP="00BD7A92">
            <w:pPr>
              <w:spacing w:before="120" w:after="120" w:line="480" w:lineRule="auto"/>
              <w:jc w:val="center"/>
              <w:rPr>
                <w:b/>
                <w:bCs/>
              </w:rPr>
            </w:pPr>
            <w:r w:rsidRPr="004E4BE3">
              <w:rPr>
                <w:b/>
                <w:bCs/>
              </w:rPr>
              <w:t>Sign. code</w:t>
            </w:r>
          </w:p>
        </w:tc>
      </w:tr>
      <w:tr w:rsidR="002E22DE" w:rsidRPr="00AA2B52" w14:paraId="3BF67D88" w14:textId="77777777" w:rsidTr="002E22DE">
        <w:trPr>
          <w:trHeight w:val="320"/>
        </w:trPr>
        <w:tc>
          <w:tcPr>
            <w:tcW w:w="2694" w:type="dxa"/>
            <w:tcBorders>
              <w:top w:val="nil"/>
              <w:left w:val="nil"/>
              <w:bottom w:val="nil"/>
              <w:right w:val="nil"/>
            </w:tcBorders>
            <w:shd w:val="clear" w:color="auto" w:fill="auto"/>
            <w:noWrap/>
            <w:vAlign w:val="bottom"/>
            <w:hideMark/>
          </w:tcPr>
          <w:p w14:paraId="12D44F8E" w14:textId="77777777" w:rsidR="002E22DE" w:rsidRPr="004E4BE3" w:rsidRDefault="002E22DE" w:rsidP="00BD7A92">
            <w:pPr>
              <w:spacing w:before="120" w:after="120" w:line="480" w:lineRule="auto"/>
            </w:pPr>
            <w:r>
              <w:t>S</w:t>
            </w:r>
            <w:r w:rsidRPr="004E4BE3">
              <w:t>ex</w:t>
            </w:r>
          </w:p>
        </w:tc>
        <w:tc>
          <w:tcPr>
            <w:tcW w:w="1134" w:type="dxa"/>
            <w:tcBorders>
              <w:top w:val="nil"/>
              <w:left w:val="nil"/>
              <w:bottom w:val="nil"/>
              <w:right w:val="nil"/>
            </w:tcBorders>
            <w:vAlign w:val="bottom"/>
          </w:tcPr>
          <w:p w14:paraId="75FCB3C1" w14:textId="77777777" w:rsidR="002E22DE" w:rsidRDefault="002E22DE" w:rsidP="00BD7A92">
            <w:pPr>
              <w:spacing w:before="120" w:after="120" w:line="480" w:lineRule="auto"/>
              <w:jc w:val="center"/>
            </w:pPr>
            <w:r w:rsidRPr="004E4BE3">
              <w:t>1</w:t>
            </w:r>
            <w:r>
              <w:t>,93</w:t>
            </w:r>
          </w:p>
        </w:tc>
        <w:tc>
          <w:tcPr>
            <w:tcW w:w="1275" w:type="dxa"/>
            <w:tcBorders>
              <w:top w:val="nil"/>
              <w:left w:val="nil"/>
              <w:bottom w:val="nil"/>
              <w:right w:val="nil"/>
            </w:tcBorders>
            <w:shd w:val="clear" w:color="auto" w:fill="auto"/>
            <w:noWrap/>
            <w:vAlign w:val="bottom"/>
            <w:hideMark/>
          </w:tcPr>
          <w:p w14:paraId="7A88E3A7" w14:textId="77777777" w:rsidR="002E22DE" w:rsidRPr="004E4BE3" w:rsidRDefault="002E22DE" w:rsidP="00BD7A92">
            <w:pPr>
              <w:spacing w:before="120" w:after="120" w:line="480" w:lineRule="auto"/>
              <w:jc w:val="center"/>
            </w:pPr>
            <w:r>
              <w:t>37.8</w:t>
            </w:r>
            <w:r w:rsidR="00E247E9">
              <w:t>20</w:t>
            </w:r>
          </w:p>
        </w:tc>
        <w:tc>
          <w:tcPr>
            <w:tcW w:w="1560" w:type="dxa"/>
            <w:tcBorders>
              <w:top w:val="nil"/>
              <w:left w:val="nil"/>
              <w:bottom w:val="nil"/>
              <w:right w:val="nil"/>
            </w:tcBorders>
            <w:shd w:val="clear" w:color="auto" w:fill="auto"/>
            <w:noWrap/>
            <w:vAlign w:val="bottom"/>
            <w:hideMark/>
          </w:tcPr>
          <w:p w14:paraId="70927746" w14:textId="77777777" w:rsidR="002E22DE" w:rsidRPr="004E4BE3" w:rsidRDefault="002E22DE" w:rsidP="00BD7A92">
            <w:pPr>
              <w:spacing w:before="120" w:after="120" w:line="480" w:lineRule="auto"/>
              <w:jc w:val="center"/>
            </w:pPr>
            <w:r w:rsidRPr="004E4BE3">
              <w:t>&lt;0.001</w:t>
            </w:r>
          </w:p>
        </w:tc>
        <w:tc>
          <w:tcPr>
            <w:tcW w:w="1417" w:type="dxa"/>
            <w:tcBorders>
              <w:top w:val="nil"/>
              <w:left w:val="nil"/>
              <w:bottom w:val="nil"/>
              <w:right w:val="nil"/>
            </w:tcBorders>
            <w:shd w:val="clear" w:color="auto" w:fill="auto"/>
            <w:noWrap/>
            <w:vAlign w:val="bottom"/>
            <w:hideMark/>
          </w:tcPr>
          <w:p w14:paraId="3DF6B124" w14:textId="77777777" w:rsidR="002E22DE" w:rsidRPr="004E4BE3" w:rsidRDefault="002E22DE" w:rsidP="00BD7A92">
            <w:pPr>
              <w:spacing w:before="120" w:after="120" w:line="480" w:lineRule="auto"/>
              <w:jc w:val="center"/>
            </w:pPr>
            <w:r w:rsidRPr="004E4BE3">
              <w:t>***</w:t>
            </w:r>
          </w:p>
        </w:tc>
      </w:tr>
      <w:tr w:rsidR="002E22DE" w:rsidRPr="00AA2B52" w14:paraId="0168D4BF" w14:textId="77777777" w:rsidTr="002E22DE">
        <w:trPr>
          <w:trHeight w:val="320"/>
        </w:trPr>
        <w:tc>
          <w:tcPr>
            <w:tcW w:w="2694" w:type="dxa"/>
            <w:tcBorders>
              <w:top w:val="nil"/>
              <w:left w:val="nil"/>
              <w:right w:val="nil"/>
            </w:tcBorders>
            <w:shd w:val="clear" w:color="auto" w:fill="auto"/>
            <w:noWrap/>
            <w:vAlign w:val="bottom"/>
            <w:hideMark/>
          </w:tcPr>
          <w:p w14:paraId="7A3AA0DF" w14:textId="77777777" w:rsidR="002E22DE" w:rsidRPr="004E4BE3" w:rsidRDefault="002E22DE" w:rsidP="00BD7A92">
            <w:pPr>
              <w:spacing w:before="120" w:after="120" w:line="480" w:lineRule="auto"/>
            </w:pPr>
            <w:r>
              <w:rPr>
                <w:rStyle w:val="Hyperlink"/>
                <w:color w:val="auto"/>
                <w:u w:val="none"/>
              </w:rPr>
              <w:t xml:space="preserve">Infection </w:t>
            </w:r>
            <w:r w:rsidRPr="00944829">
              <w:rPr>
                <w:rStyle w:val="Hyperlink"/>
                <w:color w:val="auto"/>
                <w:u w:val="none"/>
              </w:rPr>
              <w:t>treatment (</w:t>
            </w:r>
            <w:proofErr w:type="spellStart"/>
            <w:r w:rsidRPr="00944829">
              <w:rPr>
                <w:rStyle w:val="Hyperlink"/>
                <w:color w:val="auto"/>
                <w:u w:val="none"/>
              </w:rPr>
              <w:t>Trt</w:t>
            </w:r>
            <w:proofErr w:type="spellEnd"/>
            <w:r w:rsidRPr="00944829">
              <w:rPr>
                <w:rStyle w:val="Hyperlink"/>
                <w:color w:val="auto"/>
                <w:u w:val="none"/>
              </w:rPr>
              <w:t>)</w:t>
            </w:r>
          </w:p>
        </w:tc>
        <w:tc>
          <w:tcPr>
            <w:tcW w:w="1134" w:type="dxa"/>
            <w:tcBorders>
              <w:top w:val="nil"/>
              <w:left w:val="nil"/>
              <w:right w:val="nil"/>
            </w:tcBorders>
            <w:vAlign w:val="bottom"/>
          </w:tcPr>
          <w:p w14:paraId="363A7C61" w14:textId="77777777" w:rsidR="002E22DE" w:rsidRDefault="002E22DE" w:rsidP="00BD7A92">
            <w:pPr>
              <w:spacing w:before="120" w:after="120" w:line="480" w:lineRule="auto"/>
              <w:jc w:val="center"/>
            </w:pPr>
            <w:r w:rsidRPr="004E4BE3">
              <w:t>2</w:t>
            </w:r>
            <w:r>
              <w:t>,93</w:t>
            </w:r>
          </w:p>
        </w:tc>
        <w:tc>
          <w:tcPr>
            <w:tcW w:w="1275" w:type="dxa"/>
            <w:tcBorders>
              <w:top w:val="nil"/>
              <w:left w:val="nil"/>
              <w:right w:val="nil"/>
            </w:tcBorders>
            <w:shd w:val="clear" w:color="auto" w:fill="auto"/>
            <w:noWrap/>
            <w:vAlign w:val="bottom"/>
            <w:hideMark/>
          </w:tcPr>
          <w:p w14:paraId="7CC26855" w14:textId="77777777" w:rsidR="002E22DE" w:rsidRPr="004E4BE3" w:rsidRDefault="002E22DE" w:rsidP="00BD7A92">
            <w:pPr>
              <w:spacing w:before="120" w:after="120" w:line="480" w:lineRule="auto"/>
              <w:jc w:val="center"/>
            </w:pPr>
            <w:r>
              <w:t>70.</w:t>
            </w:r>
            <w:r w:rsidR="00E247E9">
              <w:t>349</w:t>
            </w:r>
          </w:p>
        </w:tc>
        <w:tc>
          <w:tcPr>
            <w:tcW w:w="1560" w:type="dxa"/>
            <w:tcBorders>
              <w:top w:val="nil"/>
              <w:left w:val="nil"/>
              <w:right w:val="nil"/>
            </w:tcBorders>
            <w:shd w:val="clear" w:color="auto" w:fill="auto"/>
            <w:noWrap/>
            <w:vAlign w:val="bottom"/>
            <w:hideMark/>
          </w:tcPr>
          <w:p w14:paraId="49296F94" w14:textId="77777777" w:rsidR="002E22DE" w:rsidRPr="004E4BE3" w:rsidRDefault="002E22DE" w:rsidP="00BD7A92">
            <w:pPr>
              <w:spacing w:before="120" w:after="120" w:line="480" w:lineRule="auto"/>
              <w:jc w:val="center"/>
            </w:pPr>
            <w:r w:rsidRPr="004E4BE3">
              <w:t>&lt;0.001</w:t>
            </w:r>
          </w:p>
        </w:tc>
        <w:tc>
          <w:tcPr>
            <w:tcW w:w="1417" w:type="dxa"/>
            <w:tcBorders>
              <w:top w:val="nil"/>
              <w:left w:val="nil"/>
              <w:right w:val="nil"/>
            </w:tcBorders>
            <w:shd w:val="clear" w:color="auto" w:fill="auto"/>
            <w:noWrap/>
            <w:vAlign w:val="bottom"/>
            <w:hideMark/>
          </w:tcPr>
          <w:p w14:paraId="55AA4D6B" w14:textId="77777777" w:rsidR="002E22DE" w:rsidRPr="004E4BE3" w:rsidRDefault="002E22DE" w:rsidP="00BD7A92">
            <w:pPr>
              <w:spacing w:before="120" w:after="120" w:line="480" w:lineRule="auto"/>
              <w:jc w:val="center"/>
            </w:pPr>
            <w:r w:rsidRPr="004E4BE3">
              <w:t>***</w:t>
            </w:r>
          </w:p>
        </w:tc>
      </w:tr>
      <w:tr w:rsidR="002E22DE" w:rsidRPr="00AA2B52" w14:paraId="69FDDACC" w14:textId="77777777" w:rsidTr="002E22DE">
        <w:trPr>
          <w:trHeight w:val="320"/>
        </w:trPr>
        <w:tc>
          <w:tcPr>
            <w:tcW w:w="2694" w:type="dxa"/>
            <w:tcBorders>
              <w:top w:val="nil"/>
              <w:left w:val="nil"/>
              <w:bottom w:val="single" w:sz="4" w:space="0" w:color="auto"/>
              <w:right w:val="nil"/>
            </w:tcBorders>
            <w:shd w:val="clear" w:color="auto" w:fill="auto"/>
            <w:noWrap/>
            <w:vAlign w:val="bottom"/>
            <w:hideMark/>
          </w:tcPr>
          <w:p w14:paraId="2DB652D1" w14:textId="77777777" w:rsidR="002E22DE" w:rsidRPr="004E4BE3" w:rsidRDefault="002E22DE" w:rsidP="00BD7A92">
            <w:pPr>
              <w:spacing w:before="120" w:after="120" w:line="480" w:lineRule="auto"/>
            </w:pPr>
            <w:r>
              <w:t xml:space="preserve">Sex </w:t>
            </w:r>
            <w:r w:rsidRPr="00DF740C">
              <w:t xml:space="preserve">x </w:t>
            </w:r>
            <w:proofErr w:type="spellStart"/>
            <w:r w:rsidRPr="00DF740C">
              <w:rPr>
                <w:rStyle w:val="Hyperlink"/>
                <w:color w:val="auto"/>
                <w:u w:val="none"/>
              </w:rPr>
              <w:t>Trt</w:t>
            </w:r>
            <w:proofErr w:type="spellEnd"/>
          </w:p>
        </w:tc>
        <w:tc>
          <w:tcPr>
            <w:tcW w:w="1134" w:type="dxa"/>
            <w:tcBorders>
              <w:top w:val="nil"/>
              <w:left w:val="nil"/>
              <w:bottom w:val="single" w:sz="4" w:space="0" w:color="auto"/>
              <w:right w:val="nil"/>
            </w:tcBorders>
            <w:vAlign w:val="bottom"/>
          </w:tcPr>
          <w:p w14:paraId="4693F4F1" w14:textId="77777777" w:rsidR="002E22DE" w:rsidRDefault="002E22DE" w:rsidP="00BD7A92">
            <w:pPr>
              <w:spacing w:before="120" w:after="120" w:line="480" w:lineRule="auto"/>
              <w:jc w:val="center"/>
            </w:pPr>
            <w:r w:rsidRPr="004E4BE3">
              <w:t>2</w:t>
            </w:r>
            <w:r>
              <w:t>,93</w:t>
            </w:r>
          </w:p>
        </w:tc>
        <w:tc>
          <w:tcPr>
            <w:tcW w:w="1275" w:type="dxa"/>
            <w:tcBorders>
              <w:top w:val="nil"/>
              <w:left w:val="nil"/>
              <w:bottom w:val="single" w:sz="4" w:space="0" w:color="auto"/>
              <w:right w:val="nil"/>
            </w:tcBorders>
            <w:shd w:val="clear" w:color="auto" w:fill="auto"/>
            <w:noWrap/>
            <w:vAlign w:val="bottom"/>
            <w:hideMark/>
          </w:tcPr>
          <w:p w14:paraId="35289ECD" w14:textId="77777777" w:rsidR="002E22DE" w:rsidRPr="004E4BE3" w:rsidRDefault="002E22DE" w:rsidP="00BD7A92">
            <w:pPr>
              <w:spacing w:before="120" w:after="120" w:line="480" w:lineRule="auto"/>
              <w:jc w:val="center"/>
            </w:pPr>
            <w:r>
              <w:t>13.</w:t>
            </w:r>
            <w:r w:rsidR="00E247E9">
              <w:t>489</w:t>
            </w:r>
          </w:p>
        </w:tc>
        <w:tc>
          <w:tcPr>
            <w:tcW w:w="1560" w:type="dxa"/>
            <w:tcBorders>
              <w:top w:val="nil"/>
              <w:left w:val="nil"/>
              <w:bottom w:val="single" w:sz="4" w:space="0" w:color="auto"/>
              <w:right w:val="nil"/>
            </w:tcBorders>
            <w:shd w:val="clear" w:color="auto" w:fill="auto"/>
            <w:noWrap/>
            <w:vAlign w:val="bottom"/>
            <w:hideMark/>
          </w:tcPr>
          <w:p w14:paraId="7260E726" w14:textId="77777777" w:rsidR="002E22DE" w:rsidRPr="004E4BE3" w:rsidRDefault="002E22DE" w:rsidP="00BD7A92">
            <w:pPr>
              <w:spacing w:before="120" w:after="120" w:line="480" w:lineRule="auto"/>
              <w:jc w:val="center"/>
            </w:pPr>
            <w:r w:rsidRPr="004E4BE3">
              <w:t>&lt;0.001</w:t>
            </w:r>
          </w:p>
        </w:tc>
        <w:tc>
          <w:tcPr>
            <w:tcW w:w="1417" w:type="dxa"/>
            <w:tcBorders>
              <w:top w:val="nil"/>
              <w:left w:val="nil"/>
              <w:bottom w:val="single" w:sz="4" w:space="0" w:color="auto"/>
              <w:right w:val="nil"/>
            </w:tcBorders>
            <w:shd w:val="clear" w:color="auto" w:fill="auto"/>
            <w:noWrap/>
            <w:vAlign w:val="bottom"/>
            <w:hideMark/>
          </w:tcPr>
          <w:p w14:paraId="0A90A45B" w14:textId="77777777" w:rsidR="002E22DE" w:rsidRPr="004E4BE3" w:rsidRDefault="002E22DE" w:rsidP="00BD7A92">
            <w:pPr>
              <w:spacing w:before="120" w:after="120" w:line="480" w:lineRule="auto"/>
              <w:jc w:val="center"/>
            </w:pPr>
            <w:r w:rsidRPr="004E4BE3">
              <w:t>***</w:t>
            </w:r>
          </w:p>
        </w:tc>
      </w:tr>
    </w:tbl>
    <w:p w14:paraId="4ABFB699" w14:textId="77777777" w:rsidR="00BE0B01" w:rsidRDefault="00BE0B01" w:rsidP="00BD7A92">
      <w:pPr>
        <w:spacing w:before="120" w:after="120" w:line="480" w:lineRule="auto"/>
      </w:pPr>
      <w:r>
        <w:br w:type="page"/>
        <w:t xml:space="preserve">Table S4 ANOVA results for full model of </w:t>
      </w:r>
      <w:r w:rsidR="002E22DE">
        <w:t xml:space="preserve">square transformed </w:t>
      </w:r>
      <w:r w:rsidR="002E5573">
        <w:t xml:space="preserve">pathogen spore load predicted by using </w:t>
      </w:r>
      <w:r w:rsidRPr="004E4BE3">
        <w:rPr>
          <w:rStyle w:val="Hyperlink"/>
          <w:color w:val="auto"/>
          <w:u w:val="none"/>
        </w:rPr>
        <w:t xml:space="preserve">host sex and </w:t>
      </w:r>
      <w:r>
        <w:rPr>
          <w:rStyle w:val="Hyperlink"/>
          <w:color w:val="auto"/>
          <w:u w:val="none"/>
        </w:rPr>
        <w:t>pathogen genotype</w:t>
      </w:r>
      <w:r w:rsidRPr="004E4BE3">
        <w:rPr>
          <w:rStyle w:val="Hyperlink"/>
          <w:color w:val="auto"/>
          <w:u w:val="none"/>
        </w:rPr>
        <w:t xml:space="preserve"> (</w:t>
      </w:r>
      <w:proofErr w:type="spellStart"/>
      <w:r w:rsidRPr="004E4BE3">
        <w:rPr>
          <w:rStyle w:val="Hyperlink"/>
          <w:color w:val="auto"/>
          <w:u w:val="none"/>
        </w:rPr>
        <w:t>Gp</w:t>
      </w:r>
      <w:proofErr w:type="spellEnd"/>
      <w:r w:rsidR="003509DF">
        <w:rPr>
          <w:rStyle w:val="Hyperlink"/>
          <w:color w:val="auto"/>
          <w:u w:val="none"/>
        </w:rPr>
        <w:t xml:space="preserve">, </w:t>
      </w:r>
      <w:r w:rsidR="00944829">
        <w:rPr>
          <w:rStyle w:val="Hyperlink"/>
          <w:color w:val="auto"/>
          <w:u w:val="none"/>
        </w:rPr>
        <w:t xml:space="preserve">pathogen </w:t>
      </w:r>
      <w:r w:rsidR="003509DF">
        <w:rPr>
          <w:rStyle w:val="Hyperlink"/>
          <w:color w:val="auto"/>
          <w:u w:val="none"/>
        </w:rPr>
        <w:t>C1 or C19</w:t>
      </w:r>
      <w:r w:rsidRPr="004E4BE3">
        <w:rPr>
          <w:rStyle w:val="Hyperlink"/>
          <w:color w:val="auto"/>
          <w:u w:val="none"/>
        </w:rPr>
        <w:t>) as fixed effects</w:t>
      </w:r>
      <w:r w:rsidR="00944829">
        <w:rPr>
          <w:rStyle w:val="Hyperlink"/>
          <w:color w:val="auto"/>
          <w:u w:val="none"/>
        </w:rPr>
        <w:t>.</w:t>
      </w:r>
    </w:p>
    <w:tbl>
      <w:tblPr>
        <w:tblW w:w="7546" w:type="dxa"/>
        <w:tblLook w:val="04A0" w:firstRow="1" w:lastRow="0" w:firstColumn="1" w:lastColumn="0" w:noHBand="0" w:noVBand="1"/>
      </w:tblPr>
      <w:tblGrid>
        <w:gridCol w:w="2694"/>
        <w:gridCol w:w="1126"/>
        <w:gridCol w:w="1126"/>
        <w:gridCol w:w="1300"/>
        <w:gridCol w:w="1300"/>
      </w:tblGrid>
      <w:tr w:rsidR="002E22DE" w:rsidRPr="00AA2B52" w14:paraId="09C8D7CC" w14:textId="77777777" w:rsidTr="00B40A1C">
        <w:trPr>
          <w:trHeight w:val="743"/>
        </w:trPr>
        <w:tc>
          <w:tcPr>
            <w:tcW w:w="2694" w:type="dxa"/>
            <w:tcBorders>
              <w:top w:val="single" w:sz="4" w:space="0" w:color="auto"/>
              <w:left w:val="nil"/>
              <w:bottom w:val="single" w:sz="4" w:space="0" w:color="auto"/>
              <w:right w:val="nil"/>
            </w:tcBorders>
            <w:shd w:val="clear" w:color="auto" w:fill="auto"/>
            <w:noWrap/>
            <w:vAlign w:val="bottom"/>
            <w:hideMark/>
          </w:tcPr>
          <w:p w14:paraId="37CCFA67" w14:textId="77777777" w:rsidR="002E22DE" w:rsidRPr="004E4BE3" w:rsidRDefault="002E22DE" w:rsidP="00BD7A92">
            <w:pPr>
              <w:spacing w:before="120" w:after="120" w:line="480" w:lineRule="auto"/>
              <w:rPr>
                <w:b/>
                <w:bCs/>
              </w:rPr>
            </w:pPr>
            <w:r w:rsidRPr="004E4BE3">
              <w:rPr>
                <w:b/>
                <w:bCs/>
              </w:rPr>
              <w:t> </w:t>
            </w:r>
            <w:r>
              <w:rPr>
                <w:b/>
                <w:bCs/>
              </w:rPr>
              <w:t>Source</w:t>
            </w:r>
          </w:p>
        </w:tc>
        <w:tc>
          <w:tcPr>
            <w:tcW w:w="1126" w:type="dxa"/>
            <w:tcBorders>
              <w:top w:val="single" w:sz="4" w:space="0" w:color="auto"/>
              <w:left w:val="nil"/>
              <w:bottom w:val="single" w:sz="4" w:space="0" w:color="auto"/>
              <w:right w:val="nil"/>
            </w:tcBorders>
            <w:vAlign w:val="center"/>
          </w:tcPr>
          <w:p w14:paraId="4DAF0DB2" w14:textId="77777777" w:rsidR="002E22DE" w:rsidRDefault="002E22DE" w:rsidP="00BD7A92">
            <w:pPr>
              <w:spacing w:before="120" w:after="120" w:line="480" w:lineRule="auto"/>
              <w:jc w:val="center"/>
              <w:rPr>
                <w:b/>
                <w:bCs/>
              </w:rPr>
            </w:pPr>
            <w:r w:rsidRPr="004E4BE3">
              <w:rPr>
                <w:b/>
                <w:bCs/>
              </w:rPr>
              <w:t>d.f.</w:t>
            </w:r>
          </w:p>
        </w:tc>
        <w:tc>
          <w:tcPr>
            <w:tcW w:w="1126" w:type="dxa"/>
            <w:tcBorders>
              <w:top w:val="single" w:sz="4" w:space="0" w:color="auto"/>
              <w:left w:val="nil"/>
              <w:bottom w:val="single" w:sz="4" w:space="0" w:color="auto"/>
              <w:right w:val="nil"/>
            </w:tcBorders>
            <w:shd w:val="clear" w:color="auto" w:fill="auto"/>
            <w:noWrap/>
            <w:vAlign w:val="center"/>
            <w:hideMark/>
          </w:tcPr>
          <w:p w14:paraId="4FAD3C0E" w14:textId="77777777" w:rsidR="002E22DE" w:rsidRPr="004E4BE3" w:rsidRDefault="002E22DE" w:rsidP="00BD7A92">
            <w:pPr>
              <w:spacing w:before="120" w:after="120" w:line="480" w:lineRule="auto"/>
              <w:jc w:val="center"/>
              <w:rPr>
                <w:b/>
                <w:bCs/>
              </w:rPr>
            </w:pPr>
            <w:r>
              <w:rPr>
                <w:b/>
                <w:bCs/>
              </w:rPr>
              <w:t>F</w:t>
            </w:r>
          </w:p>
        </w:tc>
        <w:tc>
          <w:tcPr>
            <w:tcW w:w="1300" w:type="dxa"/>
            <w:tcBorders>
              <w:top w:val="single" w:sz="4" w:space="0" w:color="auto"/>
              <w:left w:val="nil"/>
              <w:bottom w:val="single" w:sz="4" w:space="0" w:color="auto"/>
              <w:right w:val="nil"/>
            </w:tcBorders>
            <w:shd w:val="clear" w:color="auto" w:fill="auto"/>
            <w:noWrap/>
            <w:vAlign w:val="center"/>
            <w:hideMark/>
          </w:tcPr>
          <w:p w14:paraId="43E5CF7C" w14:textId="77777777" w:rsidR="002E22DE" w:rsidRPr="004E4BE3" w:rsidRDefault="002E22DE" w:rsidP="00BD7A92">
            <w:pPr>
              <w:spacing w:before="120" w:after="120" w:line="480" w:lineRule="auto"/>
              <w:jc w:val="center"/>
              <w:rPr>
                <w:b/>
                <w:bCs/>
              </w:rPr>
            </w:pPr>
            <w:r w:rsidRPr="004E4BE3">
              <w:rPr>
                <w:b/>
                <w:bCs/>
              </w:rPr>
              <w:t>P-value</w:t>
            </w:r>
          </w:p>
        </w:tc>
        <w:tc>
          <w:tcPr>
            <w:tcW w:w="1300" w:type="dxa"/>
            <w:tcBorders>
              <w:top w:val="single" w:sz="4" w:space="0" w:color="auto"/>
              <w:left w:val="nil"/>
              <w:bottom w:val="single" w:sz="4" w:space="0" w:color="auto"/>
              <w:right w:val="nil"/>
            </w:tcBorders>
            <w:shd w:val="clear" w:color="auto" w:fill="auto"/>
            <w:noWrap/>
            <w:vAlign w:val="center"/>
            <w:hideMark/>
          </w:tcPr>
          <w:p w14:paraId="62559F30" w14:textId="77777777" w:rsidR="002E22DE" w:rsidRPr="004E4BE3" w:rsidRDefault="002E22DE" w:rsidP="00BD7A92">
            <w:pPr>
              <w:spacing w:before="120" w:after="120" w:line="480" w:lineRule="auto"/>
              <w:jc w:val="center"/>
              <w:rPr>
                <w:b/>
                <w:bCs/>
              </w:rPr>
            </w:pPr>
            <w:r w:rsidRPr="004E4BE3">
              <w:rPr>
                <w:b/>
                <w:bCs/>
              </w:rPr>
              <w:t>Sign. code</w:t>
            </w:r>
          </w:p>
        </w:tc>
      </w:tr>
      <w:tr w:rsidR="002E22DE" w:rsidRPr="00AA2B52" w14:paraId="163730CC" w14:textId="77777777" w:rsidTr="00B40A1C">
        <w:trPr>
          <w:trHeight w:val="320"/>
        </w:trPr>
        <w:tc>
          <w:tcPr>
            <w:tcW w:w="2694" w:type="dxa"/>
            <w:tcBorders>
              <w:top w:val="nil"/>
              <w:left w:val="nil"/>
              <w:bottom w:val="nil"/>
              <w:right w:val="nil"/>
            </w:tcBorders>
            <w:shd w:val="clear" w:color="auto" w:fill="auto"/>
            <w:noWrap/>
            <w:vAlign w:val="bottom"/>
            <w:hideMark/>
          </w:tcPr>
          <w:p w14:paraId="790B5B0A" w14:textId="77777777" w:rsidR="002E22DE" w:rsidRPr="004E4BE3" w:rsidRDefault="002E22DE" w:rsidP="00BD7A92">
            <w:pPr>
              <w:spacing w:before="120" w:after="120" w:line="480" w:lineRule="auto"/>
            </w:pPr>
            <w:r>
              <w:t>S</w:t>
            </w:r>
            <w:r w:rsidRPr="004E4BE3">
              <w:t>ex</w:t>
            </w:r>
          </w:p>
        </w:tc>
        <w:tc>
          <w:tcPr>
            <w:tcW w:w="1126" w:type="dxa"/>
            <w:tcBorders>
              <w:top w:val="nil"/>
              <w:left w:val="nil"/>
              <w:bottom w:val="nil"/>
              <w:right w:val="nil"/>
            </w:tcBorders>
            <w:vAlign w:val="bottom"/>
          </w:tcPr>
          <w:p w14:paraId="43B075BC" w14:textId="77777777" w:rsidR="002E22DE" w:rsidRDefault="002E22DE" w:rsidP="00BD7A92">
            <w:pPr>
              <w:spacing w:before="120" w:after="120" w:line="480" w:lineRule="auto"/>
              <w:jc w:val="center"/>
            </w:pPr>
            <w:r w:rsidRPr="004E4BE3">
              <w:t>1</w:t>
            </w:r>
            <w:r>
              <w:t>, 64</w:t>
            </w:r>
          </w:p>
        </w:tc>
        <w:tc>
          <w:tcPr>
            <w:tcW w:w="1126" w:type="dxa"/>
            <w:tcBorders>
              <w:top w:val="nil"/>
              <w:left w:val="nil"/>
              <w:bottom w:val="nil"/>
              <w:right w:val="nil"/>
            </w:tcBorders>
            <w:shd w:val="clear" w:color="auto" w:fill="auto"/>
            <w:noWrap/>
            <w:vAlign w:val="bottom"/>
            <w:hideMark/>
          </w:tcPr>
          <w:p w14:paraId="63A184BD" w14:textId="77777777" w:rsidR="002E22DE" w:rsidRPr="004E4BE3" w:rsidRDefault="002E22DE" w:rsidP="00BD7A92">
            <w:pPr>
              <w:spacing w:before="120" w:after="120" w:line="480" w:lineRule="auto"/>
              <w:jc w:val="center"/>
            </w:pPr>
            <w:r>
              <w:t>106.7</w:t>
            </w:r>
            <w:r w:rsidR="00E247E9">
              <w:t>17</w:t>
            </w:r>
          </w:p>
        </w:tc>
        <w:tc>
          <w:tcPr>
            <w:tcW w:w="1300" w:type="dxa"/>
            <w:tcBorders>
              <w:top w:val="nil"/>
              <w:left w:val="nil"/>
              <w:bottom w:val="nil"/>
              <w:right w:val="nil"/>
            </w:tcBorders>
            <w:shd w:val="clear" w:color="auto" w:fill="auto"/>
            <w:noWrap/>
            <w:vAlign w:val="bottom"/>
            <w:hideMark/>
          </w:tcPr>
          <w:p w14:paraId="466E1F86" w14:textId="77777777" w:rsidR="002E22DE" w:rsidRPr="004E4BE3" w:rsidRDefault="002E22DE" w:rsidP="00BD7A92">
            <w:pPr>
              <w:spacing w:before="120" w:after="120" w:line="480" w:lineRule="auto"/>
              <w:jc w:val="center"/>
            </w:pPr>
            <w:r w:rsidRPr="004E4BE3">
              <w:t>&lt;0.001</w:t>
            </w:r>
          </w:p>
        </w:tc>
        <w:tc>
          <w:tcPr>
            <w:tcW w:w="1300" w:type="dxa"/>
            <w:tcBorders>
              <w:top w:val="nil"/>
              <w:left w:val="nil"/>
              <w:bottom w:val="nil"/>
              <w:right w:val="nil"/>
            </w:tcBorders>
            <w:shd w:val="clear" w:color="auto" w:fill="auto"/>
            <w:noWrap/>
            <w:vAlign w:val="bottom"/>
            <w:hideMark/>
          </w:tcPr>
          <w:p w14:paraId="09BC41DB" w14:textId="77777777" w:rsidR="002E22DE" w:rsidRPr="004E4BE3" w:rsidRDefault="002E22DE" w:rsidP="00BD7A92">
            <w:pPr>
              <w:spacing w:before="120" w:after="120" w:line="480" w:lineRule="auto"/>
              <w:jc w:val="center"/>
            </w:pPr>
            <w:r w:rsidRPr="004E4BE3">
              <w:t>***</w:t>
            </w:r>
          </w:p>
        </w:tc>
      </w:tr>
      <w:tr w:rsidR="002E22DE" w:rsidRPr="00AA2B52" w14:paraId="3481898E" w14:textId="77777777" w:rsidTr="00B40A1C">
        <w:trPr>
          <w:trHeight w:val="320"/>
        </w:trPr>
        <w:tc>
          <w:tcPr>
            <w:tcW w:w="2694" w:type="dxa"/>
            <w:tcBorders>
              <w:top w:val="nil"/>
              <w:left w:val="nil"/>
              <w:right w:val="nil"/>
            </w:tcBorders>
            <w:shd w:val="clear" w:color="auto" w:fill="auto"/>
            <w:noWrap/>
            <w:vAlign w:val="bottom"/>
            <w:hideMark/>
          </w:tcPr>
          <w:p w14:paraId="5E57CB76" w14:textId="77777777" w:rsidR="002E22DE" w:rsidRPr="004E4BE3" w:rsidRDefault="002E22DE" w:rsidP="00BD7A92">
            <w:pPr>
              <w:spacing w:before="120" w:after="120" w:line="480" w:lineRule="auto"/>
            </w:pPr>
            <w:r w:rsidRPr="004E4BE3">
              <w:t>Patho</w:t>
            </w:r>
            <w:r>
              <w:t>g</w:t>
            </w:r>
            <w:r w:rsidRPr="004E4BE3">
              <w:t>en genoty</w:t>
            </w:r>
            <w:r>
              <w:t>p</w:t>
            </w:r>
            <w:r w:rsidRPr="004E4BE3">
              <w:t>e (</w:t>
            </w:r>
            <w:proofErr w:type="spellStart"/>
            <w:r w:rsidRPr="004E4BE3">
              <w:t>Gp</w:t>
            </w:r>
            <w:proofErr w:type="spellEnd"/>
            <w:r w:rsidRPr="004E4BE3">
              <w:t>)</w:t>
            </w:r>
          </w:p>
        </w:tc>
        <w:tc>
          <w:tcPr>
            <w:tcW w:w="1126" w:type="dxa"/>
            <w:tcBorders>
              <w:top w:val="nil"/>
              <w:left w:val="nil"/>
              <w:right w:val="nil"/>
            </w:tcBorders>
            <w:vAlign w:val="bottom"/>
          </w:tcPr>
          <w:p w14:paraId="69256766" w14:textId="77777777" w:rsidR="002E22DE" w:rsidRDefault="002E22DE" w:rsidP="00BD7A92">
            <w:pPr>
              <w:spacing w:before="120" w:after="120" w:line="480" w:lineRule="auto"/>
              <w:jc w:val="center"/>
            </w:pPr>
            <w:r>
              <w:t>1, 64</w:t>
            </w:r>
          </w:p>
        </w:tc>
        <w:tc>
          <w:tcPr>
            <w:tcW w:w="1126" w:type="dxa"/>
            <w:tcBorders>
              <w:top w:val="nil"/>
              <w:left w:val="nil"/>
              <w:right w:val="nil"/>
            </w:tcBorders>
            <w:shd w:val="clear" w:color="auto" w:fill="auto"/>
            <w:noWrap/>
            <w:vAlign w:val="bottom"/>
            <w:hideMark/>
          </w:tcPr>
          <w:p w14:paraId="5AFCA5B8" w14:textId="77777777" w:rsidR="002E22DE" w:rsidRPr="004E4BE3" w:rsidRDefault="002E22DE" w:rsidP="00BD7A92">
            <w:pPr>
              <w:spacing w:before="120" w:after="120" w:line="480" w:lineRule="auto"/>
              <w:jc w:val="center"/>
            </w:pPr>
            <w:r>
              <w:t>1</w:t>
            </w:r>
            <w:r w:rsidR="00E247E9">
              <w:t>3.923</w:t>
            </w:r>
          </w:p>
        </w:tc>
        <w:tc>
          <w:tcPr>
            <w:tcW w:w="1300" w:type="dxa"/>
            <w:tcBorders>
              <w:top w:val="nil"/>
              <w:left w:val="nil"/>
              <w:right w:val="nil"/>
            </w:tcBorders>
            <w:shd w:val="clear" w:color="auto" w:fill="auto"/>
            <w:noWrap/>
            <w:vAlign w:val="bottom"/>
            <w:hideMark/>
          </w:tcPr>
          <w:p w14:paraId="296E72BD" w14:textId="77777777" w:rsidR="002E22DE" w:rsidRPr="004E4BE3" w:rsidRDefault="002E22DE" w:rsidP="00BD7A92">
            <w:pPr>
              <w:spacing w:before="120" w:after="120" w:line="480" w:lineRule="auto"/>
              <w:jc w:val="center"/>
            </w:pPr>
            <w:r w:rsidRPr="004E4BE3">
              <w:t>&lt;0.001</w:t>
            </w:r>
          </w:p>
        </w:tc>
        <w:tc>
          <w:tcPr>
            <w:tcW w:w="1300" w:type="dxa"/>
            <w:tcBorders>
              <w:top w:val="nil"/>
              <w:left w:val="nil"/>
              <w:right w:val="nil"/>
            </w:tcBorders>
            <w:shd w:val="clear" w:color="auto" w:fill="auto"/>
            <w:noWrap/>
            <w:vAlign w:val="bottom"/>
            <w:hideMark/>
          </w:tcPr>
          <w:p w14:paraId="0D348FE9" w14:textId="77777777" w:rsidR="002E22DE" w:rsidRPr="004E4BE3" w:rsidRDefault="002E22DE" w:rsidP="00BD7A92">
            <w:pPr>
              <w:spacing w:before="120" w:after="120" w:line="480" w:lineRule="auto"/>
              <w:jc w:val="center"/>
            </w:pPr>
            <w:r w:rsidRPr="004E4BE3">
              <w:t>***</w:t>
            </w:r>
          </w:p>
        </w:tc>
      </w:tr>
      <w:tr w:rsidR="002E22DE" w:rsidRPr="00AA2B52" w14:paraId="1C4E94AD" w14:textId="77777777" w:rsidTr="00B40A1C">
        <w:trPr>
          <w:trHeight w:val="320"/>
        </w:trPr>
        <w:tc>
          <w:tcPr>
            <w:tcW w:w="2694" w:type="dxa"/>
            <w:tcBorders>
              <w:top w:val="nil"/>
              <w:left w:val="nil"/>
              <w:bottom w:val="single" w:sz="4" w:space="0" w:color="auto"/>
              <w:right w:val="nil"/>
            </w:tcBorders>
            <w:shd w:val="clear" w:color="auto" w:fill="auto"/>
            <w:noWrap/>
            <w:vAlign w:val="bottom"/>
            <w:hideMark/>
          </w:tcPr>
          <w:p w14:paraId="6886D0FE" w14:textId="77777777" w:rsidR="002E22DE" w:rsidRPr="004E4BE3" w:rsidRDefault="002E22DE" w:rsidP="00BD7A92">
            <w:pPr>
              <w:spacing w:before="120" w:after="120" w:line="480" w:lineRule="auto"/>
            </w:pPr>
            <w:proofErr w:type="spellStart"/>
            <w:r w:rsidRPr="004E4BE3">
              <w:t>Gp</w:t>
            </w:r>
            <w:proofErr w:type="spellEnd"/>
            <w:r>
              <w:t xml:space="preserve"> x Sex</w:t>
            </w:r>
          </w:p>
        </w:tc>
        <w:tc>
          <w:tcPr>
            <w:tcW w:w="1126" w:type="dxa"/>
            <w:tcBorders>
              <w:top w:val="nil"/>
              <w:left w:val="nil"/>
              <w:bottom w:val="single" w:sz="4" w:space="0" w:color="auto"/>
              <w:right w:val="nil"/>
            </w:tcBorders>
            <w:vAlign w:val="bottom"/>
          </w:tcPr>
          <w:p w14:paraId="170C9A42" w14:textId="77777777" w:rsidR="002E22DE" w:rsidRDefault="002E22DE" w:rsidP="00BD7A92">
            <w:pPr>
              <w:spacing w:before="120" w:after="120" w:line="480" w:lineRule="auto"/>
              <w:jc w:val="center"/>
            </w:pPr>
            <w:r>
              <w:t>1, 64</w:t>
            </w:r>
          </w:p>
        </w:tc>
        <w:tc>
          <w:tcPr>
            <w:tcW w:w="1126" w:type="dxa"/>
            <w:tcBorders>
              <w:top w:val="nil"/>
              <w:left w:val="nil"/>
              <w:bottom w:val="single" w:sz="4" w:space="0" w:color="auto"/>
              <w:right w:val="nil"/>
            </w:tcBorders>
            <w:shd w:val="clear" w:color="auto" w:fill="auto"/>
            <w:noWrap/>
            <w:vAlign w:val="bottom"/>
            <w:hideMark/>
          </w:tcPr>
          <w:p w14:paraId="5986A4BA" w14:textId="77777777" w:rsidR="002E22DE" w:rsidRPr="004E4BE3" w:rsidRDefault="002E22DE" w:rsidP="00BD7A92">
            <w:pPr>
              <w:spacing w:before="120" w:after="120" w:line="480" w:lineRule="auto"/>
              <w:jc w:val="center"/>
            </w:pPr>
            <w:r>
              <w:t>1.42</w:t>
            </w:r>
            <w:r w:rsidR="00E247E9">
              <w:t>5</w:t>
            </w:r>
          </w:p>
        </w:tc>
        <w:tc>
          <w:tcPr>
            <w:tcW w:w="1300" w:type="dxa"/>
            <w:tcBorders>
              <w:top w:val="nil"/>
              <w:left w:val="nil"/>
              <w:bottom w:val="single" w:sz="4" w:space="0" w:color="auto"/>
              <w:right w:val="nil"/>
            </w:tcBorders>
            <w:shd w:val="clear" w:color="auto" w:fill="auto"/>
            <w:noWrap/>
            <w:vAlign w:val="bottom"/>
            <w:hideMark/>
          </w:tcPr>
          <w:p w14:paraId="1D6A49BE" w14:textId="77777777" w:rsidR="002E22DE" w:rsidRPr="004E4BE3" w:rsidRDefault="002E22DE" w:rsidP="00BD7A92">
            <w:pPr>
              <w:spacing w:before="120" w:after="120" w:line="480" w:lineRule="auto"/>
              <w:jc w:val="center"/>
            </w:pPr>
            <w:r>
              <w:t>0.237</w:t>
            </w:r>
          </w:p>
        </w:tc>
        <w:tc>
          <w:tcPr>
            <w:tcW w:w="1300" w:type="dxa"/>
            <w:tcBorders>
              <w:top w:val="nil"/>
              <w:left w:val="nil"/>
              <w:bottom w:val="single" w:sz="4" w:space="0" w:color="auto"/>
              <w:right w:val="nil"/>
            </w:tcBorders>
            <w:shd w:val="clear" w:color="auto" w:fill="auto"/>
            <w:noWrap/>
            <w:vAlign w:val="bottom"/>
            <w:hideMark/>
          </w:tcPr>
          <w:p w14:paraId="119BAD28" w14:textId="77777777" w:rsidR="002E22DE" w:rsidRPr="004E4BE3" w:rsidRDefault="002E22DE" w:rsidP="00BD7A92">
            <w:pPr>
              <w:spacing w:before="120" w:after="120" w:line="480" w:lineRule="auto"/>
              <w:jc w:val="center"/>
            </w:pPr>
          </w:p>
        </w:tc>
      </w:tr>
    </w:tbl>
    <w:p w14:paraId="0DAA6CB8" w14:textId="06B2A34D" w:rsidR="00066FE0" w:rsidRDefault="00066FE0" w:rsidP="00BD7A92">
      <w:pPr>
        <w:spacing w:before="120" w:after="120" w:line="480" w:lineRule="auto"/>
      </w:pPr>
    </w:p>
    <w:p w14:paraId="49B0EA27" w14:textId="77777777" w:rsidR="00BD7A92" w:rsidRDefault="00066FE0" w:rsidP="00BD7A92">
      <w:pPr>
        <w:spacing w:before="120" w:after="120" w:line="480" w:lineRule="auto"/>
      </w:pPr>
      <w:r>
        <w:br w:type="page"/>
      </w:r>
    </w:p>
    <w:p w14:paraId="219D19A0" w14:textId="6BEE14B2" w:rsidR="00BD7A92" w:rsidRDefault="00BD7A92" w:rsidP="00BD7A92">
      <w:pPr>
        <w:spacing w:before="120" w:after="120" w:line="480" w:lineRule="auto"/>
        <w:rPr>
          <w:sz w:val="28"/>
        </w:rPr>
      </w:pPr>
      <w:r>
        <w:rPr>
          <w:sz w:val="28"/>
        </w:rPr>
        <w:t xml:space="preserve">Size corrected spore load in male and female hosts </w:t>
      </w:r>
    </w:p>
    <w:p w14:paraId="11D56E3C" w14:textId="08DCEE9C" w:rsidR="00BD7A92" w:rsidRDefault="00BD7A92" w:rsidP="00BD7A92">
      <w:pPr>
        <w:spacing w:before="120" w:after="120" w:line="480" w:lineRule="auto"/>
        <w:rPr>
          <w:rStyle w:val="Hyperlink"/>
          <w:color w:val="auto"/>
          <w:u w:val="none"/>
        </w:rPr>
      </w:pPr>
      <w:r>
        <w:rPr>
          <w:rStyle w:val="Hyperlink"/>
          <w:color w:val="auto"/>
          <w:u w:val="none"/>
        </w:rPr>
        <w:t xml:space="preserve">When accounting for standard body sized obtained from the literature (male = 2 mm and female = 5 mm, </w:t>
      </w:r>
      <w:proofErr w:type="spellStart"/>
      <w:r>
        <w:t>Benzie</w:t>
      </w:r>
      <w:proofErr w:type="spellEnd"/>
      <w:r>
        <w:t>, J. A. H., 2005</w:t>
      </w:r>
      <w:r>
        <w:rPr>
          <w:rStyle w:val="Hyperlink"/>
          <w:color w:val="auto"/>
          <w:u w:val="none"/>
        </w:rPr>
        <w:t xml:space="preserve">), we find evidence that pathogens were able to produce more transmission spores in female hosts, compared to male hosts. This suggest that the pathogens are better at utilising female resources, or, that females provide a higher quality resource patch, for pathogen proliferation. </w:t>
      </w:r>
    </w:p>
    <w:p w14:paraId="66F6D672" w14:textId="00F65C0F" w:rsidR="00066FE0" w:rsidRPr="00C700C9" w:rsidRDefault="00066FE0" w:rsidP="00BD7A92">
      <w:pPr>
        <w:spacing w:before="120" w:after="120" w:line="480" w:lineRule="auto"/>
        <w:rPr>
          <w:rStyle w:val="Hyperlink"/>
          <w:color w:val="auto"/>
          <w:u w:val="none"/>
        </w:rPr>
      </w:pPr>
      <w:r w:rsidRPr="004E4BE3">
        <w:rPr>
          <w:rStyle w:val="Hyperlink"/>
          <w:color w:val="auto"/>
          <w:u w:val="none"/>
        </w:rPr>
        <w:t>Table S</w:t>
      </w:r>
      <w:r>
        <w:rPr>
          <w:rStyle w:val="Hyperlink"/>
          <w:color w:val="auto"/>
          <w:u w:val="none"/>
        </w:rPr>
        <w:t xml:space="preserve">5 </w:t>
      </w:r>
      <w:r>
        <w:t>ANOVA results for full models for relative</w:t>
      </w:r>
      <w:r w:rsidR="00526058">
        <w:t xml:space="preserve"> pathogen</w:t>
      </w:r>
      <w:r>
        <w:t xml:space="preserve"> spore production in male and female hosts, corrected for standard </w:t>
      </w:r>
      <w:r w:rsidR="00BD7A92">
        <w:t xml:space="preserve">body </w:t>
      </w:r>
      <w:r>
        <w:t>sizes</w:t>
      </w:r>
      <w:r w:rsidR="00BD7A92">
        <w:t xml:space="preserve">. </w:t>
      </w:r>
      <w:r w:rsidR="00526058">
        <w:t>Relative spore load is predicted using host sex, pathogen genotype (C1 and C19) and their interaction as fixed effects.</w:t>
      </w:r>
    </w:p>
    <w:tbl>
      <w:tblPr>
        <w:tblW w:w="9114" w:type="dxa"/>
        <w:jc w:val="center"/>
        <w:tblLook w:val="04A0" w:firstRow="1" w:lastRow="0" w:firstColumn="1" w:lastColumn="0" w:noHBand="0" w:noVBand="1"/>
      </w:tblPr>
      <w:tblGrid>
        <w:gridCol w:w="3306"/>
        <w:gridCol w:w="1416"/>
        <w:gridCol w:w="1416"/>
        <w:gridCol w:w="1559"/>
        <w:gridCol w:w="1417"/>
      </w:tblGrid>
      <w:tr w:rsidR="00526058" w:rsidRPr="00AA2B52" w14:paraId="5657BDB9" w14:textId="77777777" w:rsidTr="00526058">
        <w:trPr>
          <w:trHeight w:val="329"/>
          <w:jc w:val="center"/>
        </w:trPr>
        <w:tc>
          <w:tcPr>
            <w:tcW w:w="3306" w:type="dxa"/>
            <w:tcBorders>
              <w:top w:val="single" w:sz="4" w:space="0" w:color="auto"/>
              <w:left w:val="nil"/>
              <w:bottom w:val="single" w:sz="4" w:space="0" w:color="auto"/>
              <w:right w:val="nil"/>
            </w:tcBorders>
            <w:shd w:val="clear" w:color="auto" w:fill="auto"/>
            <w:noWrap/>
            <w:vAlign w:val="bottom"/>
            <w:hideMark/>
          </w:tcPr>
          <w:p w14:paraId="544B26C4" w14:textId="77777777" w:rsidR="00526058" w:rsidRPr="004E4BE3" w:rsidRDefault="00526058" w:rsidP="00BD7A92">
            <w:pPr>
              <w:spacing w:before="120" w:after="120" w:line="480" w:lineRule="auto"/>
              <w:rPr>
                <w:b/>
                <w:bCs/>
              </w:rPr>
            </w:pPr>
            <w:r>
              <w:rPr>
                <w:b/>
                <w:bCs/>
              </w:rPr>
              <w:t>Source</w:t>
            </w:r>
          </w:p>
        </w:tc>
        <w:tc>
          <w:tcPr>
            <w:tcW w:w="1416" w:type="dxa"/>
            <w:tcBorders>
              <w:top w:val="single" w:sz="4" w:space="0" w:color="auto"/>
              <w:left w:val="nil"/>
              <w:bottom w:val="single" w:sz="4" w:space="0" w:color="auto"/>
              <w:right w:val="nil"/>
            </w:tcBorders>
            <w:vAlign w:val="center"/>
          </w:tcPr>
          <w:p w14:paraId="5D966AB9" w14:textId="7FD05275" w:rsidR="00526058" w:rsidRDefault="00526058" w:rsidP="00BD7A92">
            <w:pPr>
              <w:spacing w:before="120" w:after="120" w:line="480" w:lineRule="auto"/>
              <w:jc w:val="center"/>
              <w:rPr>
                <w:b/>
                <w:bCs/>
              </w:rPr>
            </w:pPr>
            <w:r w:rsidRPr="004E4BE3">
              <w:rPr>
                <w:b/>
                <w:bCs/>
              </w:rPr>
              <w:t>d.f.</w:t>
            </w:r>
          </w:p>
        </w:tc>
        <w:tc>
          <w:tcPr>
            <w:tcW w:w="1416" w:type="dxa"/>
            <w:tcBorders>
              <w:top w:val="single" w:sz="4" w:space="0" w:color="auto"/>
              <w:left w:val="nil"/>
              <w:bottom w:val="single" w:sz="4" w:space="0" w:color="auto"/>
              <w:right w:val="nil"/>
            </w:tcBorders>
            <w:shd w:val="clear" w:color="auto" w:fill="auto"/>
            <w:noWrap/>
            <w:vAlign w:val="center"/>
            <w:hideMark/>
          </w:tcPr>
          <w:p w14:paraId="621B1ABF" w14:textId="364DB145" w:rsidR="00526058" w:rsidRPr="004E4BE3" w:rsidRDefault="00526058" w:rsidP="00BD7A92">
            <w:pPr>
              <w:spacing w:before="120" w:after="120" w:line="480" w:lineRule="auto"/>
              <w:jc w:val="center"/>
              <w:rPr>
                <w:b/>
                <w:bCs/>
              </w:rPr>
            </w:pPr>
            <w:r>
              <w:rPr>
                <w:b/>
                <w:bCs/>
              </w:rPr>
              <w:t>F-value</w:t>
            </w:r>
          </w:p>
        </w:tc>
        <w:tc>
          <w:tcPr>
            <w:tcW w:w="1559" w:type="dxa"/>
            <w:tcBorders>
              <w:top w:val="single" w:sz="4" w:space="0" w:color="auto"/>
              <w:left w:val="nil"/>
              <w:bottom w:val="single" w:sz="4" w:space="0" w:color="auto"/>
              <w:right w:val="nil"/>
            </w:tcBorders>
            <w:shd w:val="clear" w:color="auto" w:fill="auto"/>
            <w:noWrap/>
            <w:vAlign w:val="center"/>
            <w:hideMark/>
          </w:tcPr>
          <w:p w14:paraId="13CBFCC2" w14:textId="77777777" w:rsidR="00526058" w:rsidRPr="004E4BE3" w:rsidRDefault="00526058" w:rsidP="00BD7A92">
            <w:pPr>
              <w:spacing w:before="120" w:after="120" w:line="480" w:lineRule="auto"/>
              <w:jc w:val="center"/>
              <w:rPr>
                <w:b/>
                <w:bCs/>
              </w:rPr>
            </w:pPr>
            <w:r w:rsidRPr="004E4BE3">
              <w:rPr>
                <w:b/>
                <w:bCs/>
              </w:rPr>
              <w:t>P-value</w:t>
            </w:r>
          </w:p>
        </w:tc>
        <w:tc>
          <w:tcPr>
            <w:tcW w:w="1417" w:type="dxa"/>
            <w:tcBorders>
              <w:top w:val="single" w:sz="4" w:space="0" w:color="auto"/>
              <w:left w:val="nil"/>
              <w:bottom w:val="single" w:sz="4" w:space="0" w:color="auto"/>
              <w:right w:val="nil"/>
            </w:tcBorders>
            <w:shd w:val="clear" w:color="auto" w:fill="auto"/>
            <w:noWrap/>
            <w:vAlign w:val="center"/>
            <w:hideMark/>
          </w:tcPr>
          <w:p w14:paraId="13AC5C25" w14:textId="77777777" w:rsidR="00526058" w:rsidRPr="004E4BE3" w:rsidRDefault="00526058" w:rsidP="00BD7A92">
            <w:pPr>
              <w:spacing w:before="120" w:after="120" w:line="480" w:lineRule="auto"/>
              <w:jc w:val="center"/>
              <w:rPr>
                <w:b/>
                <w:bCs/>
              </w:rPr>
            </w:pPr>
            <w:r w:rsidRPr="004E4BE3">
              <w:rPr>
                <w:b/>
                <w:bCs/>
              </w:rPr>
              <w:t>Sign. code</w:t>
            </w:r>
          </w:p>
        </w:tc>
      </w:tr>
      <w:tr w:rsidR="00526058" w:rsidRPr="00AA2B52" w14:paraId="12B10FF7" w14:textId="77777777" w:rsidTr="00526058">
        <w:trPr>
          <w:trHeight w:val="320"/>
          <w:jc w:val="center"/>
        </w:trPr>
        <w:tc>
          <w:tcPr>
            <w:tcW w:w="3306" w:type="dxa"/>
            <w:tcBorders>
              <w:top w:val="single" w:sz="4" w:space="0" w:color="auto"/>
              <w:left w:val="nil"/>
              <w:bottom w:val="nil"/>
              <w:right w:val="nil"/>
            </w:tcBorders>
            <w:shd w:val="clear" w:color="auto" w:fill="auto"/>
            <w:noWrap/>
            <w:vAlign w:val="bottom"/>
            <w:hideMark/>
          </w:tcPr>
          <w:p w14:paraId="7F164A94" w14:textId="77777777" w:rsidR="00526058" w:rsidRPr="004E4BE3" w:rsidRDefault="00526058" w:rsidP="00BD7A92">
            <w:pPr>
              <w:spacing w:before="120" w:after="120" w:line="480" w:lineRule="auto"/>
            </w:pPr>
            <w:r>
              <w:t>S</w:t>
            </w:r>
            <w:r w:rsidRPr="004E4BE3">
              <w:t>ex</w:t>
            </w:r>
          </w:p>
        </w:tc>
        <w:tc>
          <w:tcPr>
            <w:tcW w:w="1416" w:type="dxa"/>
            <w:tcBorders>
              <w:top w:val="single" w:sz="4" w:space="0" w:color="auto"/>
              <w:left w:val="nil"/>
              <w:bottom w:val="nil"/>
              <w:right w:val="nil"/>
            </w:tcBorders>
            <w:vAlign w:val="bottom"/>
          </w:tcPr>
          <w:p w14:paraId="1D9FCC06" w14:textId="75F84032" w:rsidR="00526058" w:rsidRDefault="00526058" w:rsidP="00BD7A92">
            <w:pPr>
              <w:spacing w:before="120" w:after="120" w:line="480" w:lineRule="auto"/>
              <w:jc w:val="center"/>
            </w:pPr>
            <w:r w:rsidRPr="004E4BE3">
              <w:t>1</w:t>
            </w:r>
            <w:r>
              <w:t>,64</w:t>
            </w:r>
          </w:p>
        </w:tc>
        <w:tc>
          <w:tcPr>
            <w:tcW w:w="1416" w:type="dxa"/>
            <w:tcBorders>
              <w:top w:val="single" w:sz="4" w:space="0" w:color="auto"/>
              <w:left w:val="nil"/>
              <w:bottom w:val="nil"/>
              <w:right w:val="nil"/>
            </w:tcBorders>
            <w:shd w:val="clear" w:color="auto" w:fill="auto"/>
            <w:noWrap/>
            <w:vAlign w:val="bottom"/>
            <w:hideMark/>
          </w:tcPr>
          <w:p w14:paraId="153810F2" w14:textId="6E89200F" w:rsidR="00526058" w:rsidRPr="004E4BE3" w:rsidRDefault="00526058" w:rsidP="00BD7A92">
            <w:pPr>
              <w:spacing w:before="120" w:after="120" w:line="480" w:lineRule="auto"/>
              <w:jc w:val="center"/>
            </w:pPr>
            <w:r>
              <w:t>23.0245</w:t>
            </w:r>
          </w:p>
        </w:tc>
        <w:tc>
          <w:tcPr>
            <w:tcW w:w="1559" w:type="dxa"/>
            <w:tcBorders>
              <w:top w:val="single" w:sz="4" w:space="0" w:color="auto"/>
              <w:left w:val="nil"/>
              <w:bottom w:val="nil"/>
              <w:right w:val="nil"/>
            </w:tcBorders>
            <w:shd w:val="clear" w:color="auto" w:fill="auto"/>
            <w:noWrap/>
            <w:vAlign w:val="bottom"/>
            <w:hideMark/>
          </w:tcPr>
          <w:p w14:paraId="3E3E8F2C" w14:textId="77777777" w:rsidR="00526058" w:rsidRPr="004E4BE3" w:rsidRDefault="00526058" w:rsidP="00BD7A92">
            <w:pPr>
              <w:spacing w:before="120" w:after="120" w:line="480" w:lineRule="auto"/>
              <w:jc w:val="center"/>
            </w:pPr>
            <w:r w:rsidRPr="004E4BE3">
              <w:t>&lt;0.001</w:t>
            </w:r>
          </w:p>
        </w:tc>
        <w:tc>
          <w:tcPr>
            <w:tcW w:w="1417" w:type="dxa"/>
            <w:tcBorders>
              <w:top w:val="single" w:sz="4" w:space="0" w:color="auto"/>
              <w:left w:val="nil"/>
              <w:bottom w:val="nil"/>
              <w:right w:val="nil"/>
            </w:tcBorders>
            <w:shd w:val="clear" w:color="auto" w:fill="auto"/>
            <w:noWrap/>
            <w:vAlign w:val="bottom"/>
            <w:hideMark/>
          </w:tcPr>
          <w:p w14:paraId="01075E16" w14:textId="77777777" w:rsidR="00526058" w:rsidRPr="004E4BE3" w:rsidRDefault="00526058" w:rsidP="00BD7A92">
            <w:pPr>
              <w:spacing w:before="120" w:after="120" w:line="480" w:lineRule="auto"/>
              <w:jc w:val="center"/>
            </w:pPr>
            <w:r w:rsidRPr="004E4BE3">
              <w:t>***</w:t>
            </w:r>
          </w:p>
        </w:tc>
      </w:tr>
      <w:tr w:rsidR="00526058" w:rsidRPr="00AA2B52" w14:paraId="2780869D" w14:textId="77777777" w:rsidTr="00526058">
        <w:trPr>
          <w:trHeight w:val="320"/>
          <w:jc w:val="center"/>
        </w:trPr>
        <w:tc>
          <w:tcPr>
            <w:tcW w:w="3306" w:type="dxa"/>
            <w:tcBorders>
              <w:top w:val="nil"/>
              <w:left w:val="nil"/>
              <w:bottom w:val="nil"/>
              <w:right w:val="nil"/>
            </w:tcBorders>
            <w:shd w:val="clear" w:color="auto" w:fill="auto"/>
            <w:noWrap/>
            <w:vAlign w:val="bottom"/>
            <w:hideMark/>
          </w:tcPr>
          <w:p w14:paraId="2DBE4362" w14:textId="7762E0B9" w:rsidR="00526058" w:rsidRPr="004E4BE3" w:rsidRDefault="00526058" w:rsidP="00BD7A92">
            <w:pPr>
              <w:spacing w:before="120" w:after="120" w:line="480" w:lineRule="auto"/>
            </w:pPr>
            <w:r>
              <w:t>Pathogen genotype</w:t>
            </w:r>
          </w:p>
        </w:tc>
        <w:tc>
          <w:tcPr>
            <w:tcW w:w="1416" w:type="dxa"/>
            <w:tcBorders>
              <w:top w:val="nil"/>
              <w:left w:val="nil"/>
              <w:bottom w:val="nil"/>
              <w:right w:val="nil"/>
            </w:tcBorders>
            <w:vAlign w:val="bottom"/>
          </w:tcPr>
          <w:p w14:paraId="6504F283" w14:textId="4FC3BB5E" w:rsidR="00526058" w:rsidRDefault="00526058" w:rsidP="00BD7A92">
            <w:pPr>
              <w:spacing w:before="120" w:after="120" w:line="480" w:lineRule="auto"/>
              <w:jc w:val="center"/>
            </w:pPr>
            <w:r w:rsidRPr="004E4BE3">
              <w:t>1</w:t>
            </w:r>
            <w:r>
              <w:t>,64</w:t>
            </w:r>
          </w:p>
        </w:tc>
        <w:tc>
          <w:tcPr>
            <w:tcW w:w="1416" w:type="dxa"/>
            <w:tcBorders>
              <w:top w:val="nil"/>
              <w:left w:val="nil"/>
              <w:bottom w:val="nil"/>
              <w:right w:val="nil"/>
            </w:tcBorders>
            <w:shd w:val="clear" w:color="auto" w:fill="auto"/>
            <w:noWrap/>
            <w:vAlign w:val="bottom"/>
            <w:hideMark/>
          </w:tcPr>
          <w:p w14:paraId="772BE4F9" w14:textId="1662BD4D" w:rsidR="00526058" w:rsidRPr="004E4BE3" w:rsidRDefault="00526058" w:rsidP="00BD7A92">
            <w:pPr>
              <w:spacing w:before="120" w:after="120" w:line="480" w:lineRule="auto"/>
              <w:jc w:val="center"/>
            </w:pPr>
            <w:r>
              <w:t>22.182</w:t>
            </w:r>
          </w:p>
        </w:tc>
        <w:tc>
          <w:tcPr>
            <w:tcW w:w="1559" w:type="dxa"/>
            <w:tcBorders>
              <w:top w:val="nil"/>
              <w:left w:val="nil"/>
              <w:bottom w:val="nil"/>
              <w:right w:val="nil"/>
            </w:tcBorders>
            <w:shd w:val="clear" w:color="auto" w:fill="auto"/>
            <w:noWrap/>
            <w:vAlign w:val="bottom"/>
            <w:hideMark/>
          </w:tcPr>
          <w:p w14:paraId="04EE3919" w14:textId="77777777" w:rsidR="00526058" w:rsidRPr="004E4BE3" w:rsidRDefault="00526058" w:rsidP="00BD7A92">
            <w:pPr>
              <w:spacing w:before="120" w:after="120" w:line="480" w:lineRule="auto"/>
              <w:jc w:val="center"/>
            </w:pPr>
            <w:r w:rsidRPr="004E4BE3">
              <w:t>&lt;0.001</w:t>
            </w:r>
          </w:p>
        </w:tc>
        <w:tc>
          <w:tcPr>
            <w:tcW w:w="1417" w:type="dxa"/>
            <w:tcBorders>
              <w:top w:val="nil"/>
              <w:left w:val="nil"/>
              <w:bottom w:val="nil"/>
              <w:right w:val="nil"/>
            </w:tcBorders>
            <w:shd w:val="clear" w:color="auto" w:fill="auto"/>
            <w:noWrap/>
            <w:vAlign w:val="bottom"/>
            <w:hideMark/>
          </w:tcPr>
          <w:p w14:paraId="421129E1" w14:textId="77777777" w:rsidR="00526058" w:rsidRPr="004E4BE3" w:rsidRDefault="00526058" w:rsidP="00BD7A92">
            <w:pPr>
              <w:spacing w:before="120" w:after="120" w:line="480" w:lineRule="auto"/>
              <w:jc w:val="center"/>
            </w:pPr>
            <w:r w:rsidRPr="004E4BE3">
              <w:t>***</w:t>
            </w:r>
          </w:p>
        </w:tc>
      </w:tr>
      <w:tr w:rsidR="00526058" w:rsidRPr="00AA2B52" w14:paraId="55F37DC0" w14:textId="77777777" w:rsidTr="00526058">
        <w:trPr>
          <w:trHeight w:val="320"/>
          <w:jc w:val="center"/>
        </w:trPr>
        <w:tc>
          <w:tcPr>
            <w:tcW w:w="3306" w:type="dxa"/>
            <w:tcBorders>
              <w:top w:val="nil"/>
              <w:left w:val="nil"/>
              <w:bottom w:val="single" w:sz="4" w:space="0" w:color="auto"/>
              <w:right w:val="nil"/>
            </w:tcBorders>
            <w:shd w:val="clear" w:color="auto" w:fill="auto"/>
            <w:noWrap/>
            <w:vAlign w:val="bottom"/>
            <w:hideMark/>
          </w:tcPr>
          <w:p w14:paraId="08B901C4" w14:textId="6643161E" w:rsidR="00526058" w:rsidRPr="004E4BE3" w:rsidRDefault="00526058" w:rsidP="00BD7A92">
            <w:pPr>
              <w:spacing w:before="120" w:after="120" w:line="480" w:lineRule="auto"/>
            </w:pPr>
            <w:r w:rsidRPr="004E4BE3">
              <w:t>Sex</w:t>
            </w:r>
            <w:r>
              <w:t xml:space="preserve"> x Pathogen genotype</w:t>
            </w:r>
          </w:p>
        </w:tc>
        <w:tc>
          <w:tcPr>
            <w:tcW w:w="1416" w:type="dxa"/>
            <w:tcBorders>
              <w:top w:val="nil"/>
              <w:left w:val="nil"/>
              <w:bottom w:val="single" w:sz="4" w:space="0" w:color="auto"/>
              <w:right w:val="nil"/>
            </w:tcBorders>
            <w:vAlign w:val="bottom"/>
          </w:tcPr>
          <w:p w14:paraId="4DE5FC90" w14:textId="22F7F312" w:rsidR="00526058" w:rsidRDefault="00526058" w:rsidP="00BD7A92">
            <w:pPr>
              <w:spacing w:before="120" w:after="120" w:line="480" w:lineRule="auto"/>
              <w:jc w:val="center"/>
            </w:pPr>
            <w:r w:rsidRPr="004E4BE3">
              <w:t>1</w:t>
            </w:r>
            <w:r>
              <w:t>,64</w:t>
            </w:r>
          </w:p>
        </w:tc>
        <w:tc>
          <w:tcPr>
            <w:tcW w:w="1416" w:type="dxa"/>
            <w:tcBorders>
              <w:top w:val="nil"/>
              <w:left w:val="nil"/>
              <w:bottom w:val="single" w:sz="4" w:space="0" w:color="auto"/>
              <w:right w:val="nil"/>
            </w:tcBorders>
            <w:shd w:val="clear" w:color="auto" w:fill="auto"/>
            <w:noWrap/>
            <w:vAlign w:val="bottom"/>
            <w:hideMark/>
          </w:tcPr>
          <w:p w14:paraId="3C856FAE" w14:textId="09D866A2" w:rsidR="00526058" w:rsidRPr="004E4BE3" w:rsidRDefault="00526058" w:rsidP="00BD7A92">
            <w:pPr>
              <w:spacing w:before="120" w:after="120" w:line="480" w:lineRule="auto"/>
              <w:jc w:val="center"/>
            </w:pPr>
            <w:r>
              <w:t>1.417</w:t>
            </w:r>
          </w:p>
        </w:tc>
        <w:tc>
          <w:tcPr>
            <w:tcW w:w="1559" w:type="dxa"/>
            <w:tcBorders>
              <w:top w:val="nil"/>
              <w:left w:val="nil"/>
              <w:bottom w:val="single" w:sz="4" w:space="0" w:color="auto"/>
              <w:right w:val="nil"/>
            </w:tcBorders>
            <w:shd w:val="clear" w:color="auto" w:fill="auto"/>
            <w:noWrap/>
            <w:vAlign w:val="bottom"/>
            <w:hideMark/>
          </w:tcPr>
          <w:p w14:paraId="16DEB27E" w14:textId="31AE8C85" w:rsidR="00526058" w:rsidRPr="004E4BE3" w:rsidRDefault="00526058" w:rsidP="00BD7A92">
            <w:pPr>
              <w:spacing w:before="120" w:after="120" w:line="480" w:lineRule="auto"/>
              <w:jc w:val="center"/>
            </w:pPr>
            <w:r>
              <w:t>0.238</w:t>
            </w:r>
          </w:p>
        </w:tc>
        <w:tc>
          <w:tcPr>
            <w:tcW w:w="1417" w:type="dxa"/>
            <w:tcBorders>
              <w:top w:val="nil"/>
              <w:left w:val="nil"/>
              <w:bottom w:val="single" w:sz="4" w:space="0" w:color="auto"/>
              <w:right w:val="nil"/>
            </w:tcBorders>
            <w:shd w:val="clear" w:color="auto" w:fill="auto"/>
            <w:noWrap/>
            <w:vAlign w:val="bottom"/>
            <w:hideMark/>
          </w:tcPr>
          <w:p w14:paraId="787259FF" w14:textId="22DD74B4" w:rsidR="00526058" w:rsidRPr="004E4BE3" w:rsidRDefault="00526058" w:rsidP="00BD7A92">
            <w:pPr>
              <w:spacing w:before="120" w:after="120" w:line="480" w:lineRule="auto"/>
              <w:jc w:val="center"/>
            </w:pPr>
          </w:p>
        </w:tc>
      </w:tr>
    </w:tbl>
    <w:p w14:paraId="2D01301C" w14:textId="77777777" w:rsidR="00066FE0" w:rsidRPr="004E4BE3" w:rsidRDefault="00066FE0" w:rsidP="00BD7A92">
      <w:pPr>
        <w:spacing w:before="120" w:after="120" w:line="480" w:lineRule="auto"/>
        <w:rPr>
          <w:rStyle w:val="Hyperlink"/>
          <w:b/>
          <w:color w:val="auto"/>
          <w:u w:val="none"/>
        </w:rPr>
      </w:pPr>
    </w:p>
    <w:p w14:paraId="059E04D8" w14:textId="39D466D1" w:rsidR="00526058" w:rsidRDefault="00526058" w:rsidP="00BD7A92">
      <w:pPr>
        <w:spacing w:line="480" w:lineRule="auto"/>
      </w:pPr>
      <w:r>
        <w:rPr>
          <w:noProof/>
        </w:rPr>
        <w:drawing>
          <wp:inline distT="0" distB="0" distL="0" distR="0" wp14:anchorId="24793AE4" wp14:editId="0A4C3F3E">
            <wp:extent cx="5676900" cy="3548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ze_correction_plot-2019-04-24.png"/>
                    <pic:cNvPicPr/>
                  </pic:nvPicPr>
                  <pic:blipFill>
                    <a:blip r:embed="rId9">
                      <a:extLst>
                        <a:ext uri="{28A0092B-C50C-407E-A947-70E740481C1C}">
                          <a14:useLocalDpi xmlns:a14="http://schemas.microsoft.com/office/drawing/2010/main" val="0"/>
                        </a:ext>
                      </a:extLst>
                    </a:blip>
                    <a:stretch>
                      <a:fillRect/>
                    </a:stretch>
                  </pic:blipFill>
                  <pic:spPr>
                    <a:xfrm>
                      <a:off x="0" y="0"/>
                      <a:ext cx="5712990" cy="3570934"/>
                    </a:xfrm>
                    <a:prstGeom prst="rect">
                      <a:avLst/>
                    </a:prstGeom>
                  </pic:spPr>
                </pic:pic>
              </a:graphicData>
            </a:graphic>
          </wp:inline>
        </w:drawing>
      </w:r>
    </w:p>
    <w:p w14:paraId="58EC923A" w14:textId="7664579C" w:rsidR="00BE0B01" w:rsidRDefault="00526058" w:rsidP="00BD7A92">
      <w:pPr>
        <w:spacing w:line="480" w:lineRule="auto"/>
      </w:pPr>
      <w:r>
        <w:t>Figure S1 Relative pathogen spore production corrected by standard body size (left: pathogen C1, right: pathogen C19) of males (blue) and females (green).</w:t>
      </w:r>
    </w:p>
    <w:p w14:paraId="5E198757" w14:textId="4165C5CE" w:rsidR="00944829" w:rsidRDefault="00944829" w:rsidP="00BD7A92">
      <w:pPr>
        <w:spacing w:before="120" w:after="120" w:line="480" w:lineRule="auto"/>
        <w:jc w:val="both"/>
        <w:rPr>
          <w:sz w:val="28"/>
        </w:rPr>
      </w:pPr>
      <w:r>
        <w:rPr>
          <w:sz w:val="28"/>
        </w:rPr>
        <w:br w:type="page"/>
      </w:r>
      <w:r w:rsidRPr="00112751">
        <w:rPr>
          <w:sz w:val="28"/>
        </w:rPr>
        <w:t xml:space="preserve">Cited literature in supplementary </w:t>
      </w:r>
      <w:r>
        <w:rPr>
          <w:sz w:val="28"/>
        </w:rPr>
        <w:t>material</w:t>
      </w:r>
    </w:p>
    <w:p w14:paraId="51D9AE87" w14:textId="6706104D" w:rsidR="00B9385C" w:rsidRPr="00B9385C" w:rsidRDefault="00B9385C" w:rsidP="00BD7A92">
      <w:pPr>
        <w:widowControl w:val="0"/>
        <w:autoSpaceDE w:val="0"/>
        <w:autoSpaceDN w:val="0"/>
        <w:adjustRightInd w:val="0"/>
        <w:spacing w:before="120" w:after="120" w:line="480" w:lineRule="auto"/>
        <w:ind w:left="480" w:hanging="480"/>
      </w:pPr>
      <w:r w:rsidRPr="00756BB9">
        <w:rPr>
          <w:noProof/>
        </w:rPr>
        <w:t>B</w:t>
      </w:r>
      <w:r>
        <w:rPr>
          <w:noProof/>
        </w:rPr>
        <w:t>enzie, J. A. H</w:t>
      </w:r>
      <w:r w:rsidRPr="00756BB9">
        <w:rPr>
          <w:noProof/>
        </w:rPr>
        <w:t>. (200</w:t>
      </w:r>
      <w:r>
        <w:rPr>
          <w:noProof/>
        </w:rPr>
        <w:t>5</w:t>
      </w:r>
      <w:r w:rsidRPr="00756BB9">
        <w:rPr>
          <w:noProof/>
        </w:rPr>
        <w:t xml:space="preserve">). </w:t>
      </w:r>
      <w:r>
        <w:rPr>
          <w:noProof/>
        </w:rPr>
        <w:t xml:space="preserve">Cladocera: the genus of </w:t>
      </w:r>
      <w:r w:rsidRPr="00B9385C">
        <w:rPr>
          <w:i/>
          <w:noProof/>
        </w:rPr>
        <w:t>Daphnia</w:t>
      </w:r>
      <w:r>
        <w:rPr>
          <w:noProof/>
        </w:rPr>
        <w:t xml:space="preserve"> (including </w:t>
      </w:r>
      <w:r w:rsidRPr="00B9385C">
        <w:rPr>
          <w:i/>
          <w:noProof/>
        </w:rPr>
        <w:t>Daphniopsis</w:t>
      </w:r>
      <w:r>
        <w:rPr>
          <w:noProof/>
        </w:rPr>
        <w:t xml:space="preserve">) (anomopoda </w:t>
      </w:r>
      <w:r w:rsidRPr="00B9385C">
        <w:rPr>
          <w:i/>
          <w:noProof/>
        </w:rPr>
        <w:t>Daphniidae</w:t>
      </w:r>
      <w:r>
        <w:rPr>
          <w:noProof/>
        </w:rPr>
        <w:t xml:space="preserve">). Guides to the identification of the microinvertebrates of the continental waters of the world. </w:t>
      </w:r>
      <w:r w:rsidRPr="00B9385C">
        <w:rPr>
          <w:i/>
          <w:noProof/>
        </w:rPr>
        <w:t>The Quarterly Review of Biology</w:t>
      </w:r>
      <w:r>
        <w:rPr>
          <w:noProof/>
        </w:rPr>
        <w:t>., 80(4). (doi: 10.1086/501297)</w:t>
      </w:r>
      <w:r w:rsidRPr="00B9385C">
        <w:t xml:space="preserve"> </w:t>
      </w:r>
    </w:p>
    <w:p w14:paraId="1469ECCD" w14:textId="70B2F5EE" w:rsidR="00944829" w:rsidRPr="00756BB9" w:rsidRDefault="00944829" w:rsidP="00BD7A92">
      <w:pPr>
        <w:widowControl w:val="0"/>
        <w:autoSpaceDE w:val="0"/>
        <w:autoSpaceDN w:val="0"/>
        <w:adjustRightInd w:val="0"/>
        <w:spacing w:before="120" w:after="120" w:line="480" w:lineRule="auto"/>
        <w:ind w:left="480" w:hanging="480"/>
        <w:rPr>
          <w:noProof/>
        </w:rPr>
      </w:pPr>
      <w:r w:rsidRPr="00756BB9">
        <w:rPr>
          <w:noProof/>
        </w:rPr>
        <w:t xml:space="preserve">Burns, C.W. (2000). Crowding-induced changes in growth, reproduction and morphology of Daphnia. </w:t>
      </w:r>
      <w:r w:rsidRPr="00756BB9">
        <w:rPr>
          <w:i/>
          <w:iCs/>
          <w:noProof/>
        </w:rPr>
        <w:t>Freshw. Biol.</w:t>
      </w:r>
      <w:r w:rsidRPr="00756BB9">
        <w:rPr>
          <w:noProof/>
        </w:rPr>
        <w:t>, 43, 19–29.</w:t>
      </w:r>
      <w:r w:rsidR="00756BB9" w:rsidRPr="00756BB9">
        <w:rPr>
          <w:noProof/>
        </w:rPr>
        <w:t xml:space="preserve"> (</w:t>
      </w:r>
      <w:r w:rsidR="00756BB9" w:rsidRPr="00756BB9">
        <w:rPr>
          <w:rFonts w:ascii="Calibri" w:hAnsi="Calibri" w:cs="Calibri"/>
          <w:noProof/>
        </w:rPr>
        <w:t>﻿</w:t>
      </w:r>
      <w:r w:rsidR="00756BB9" w:rsidRPr="00756BB9">
        <w:rPr>
          <w:noProof/>
        </w:rPr>
        <w:t>doi: https://doi.org/10.1046/j.1365-2427.2000.00510.x)</w:t>
      </w:r>
    </w:p>
    <w:p w14:paraId="3EAE1FEE" w14:textId="77777777" w:rsidR="00944829" w:rsidRPr="00756BB9" w:rsidRDefault="00944829" w:rsidP="00BD7A92">
      <w:pPr>
        <w:widowControl w:val="0"/>
        <w:autoSpaceDE w:val="0"/>
        <w:autoSpaceDN w:val="0"/>
        <w:adjustRightInd w:val="0"/>
        <w:spacing w:before="120" w:after="120" w:line="480" w:lineRule="auto"/>
        <w:ind w:left="480" w:hanging="480"/>
        <w:rPr>
          <w:noProof/>
        </w:rPr>
      </w:pPr>
      <w:r w:rsidRPr="00756BB9">
        <w:rPr>
          <w:noProof/>
        </w:rPr>
        <w:t xml:space="preserve">Ebert, D. (2005). </w:t>
      </w:r>
      <w:r w:rsidRPr="00756BB9">
        <w:rPr>
          <w:i/>
          <w:iCs/>
          <w:noProof/>
        </w:rPr>
        <w:t>Ecology, Epidemiology and Evolution of Parasitism in Daphnia</w:t>
      </w:r>
      <w:r w:rsidRPr="00756BB9">
        <w:rPr>
          <w:noProof/>
        </w:rPr>
        <w:t xml:space="preserve">. </w:t>
      </w:r>
      <w:r w:rsidRPr="00756BB9">
        <w:rPr>
          <w:i/>
          <w:iCs/>
          <w:noProof/>
        </w:rPr>
        <w:t>Natl. Libr. Med. (US), Natl. Cent. Biotechnol.</w:t>
      </w:r>
    </w:p>
    <w:p w14:paraId="390BD4CA" w14:textId="77777777" w:rsidR="00944829" w:rsidRPr="00756BB9" w:rsidRDefault="00944829" w:rsidP="00BD7A92">
      <w:pPr>
        <w:widowControl w:val="0"/>
        <w:autoSpaceDE w:val="0"/>
        <w:autoSpaceDN w:val="0"/>
        <w:adjustRightInd w:val="0"/>
        <w:spacing w:before="120" w:after="120" w:line="480" w:lineRule="auto"/>
        <w:ind w:left="480" w:hanging="480"/>
        <w:rPr>
          <w:noProof/>
        </w:rPr>
      </w:pPr>
      <w:r w:rsidRPr="00756BB9">
        <w:rPr>
          <w:noProof/>
        </w:rPr>
        <w:t xml:space="preserve">Ebert, D., Zschokke-Rohringer, C.D. &amp; Carius, H.J. (1998). Within–and between–population variation for resistance of Daphnia magna to the bacterial endoparasite </w:t>
      </w:r>
      <w:r w:rsidRPr="00756BB9">
        <w:rPr>
          <w:i/>
          <w:iCs/>
          <w:noProof/>
        </w:rPr>
        <w:t>Pasteuria ramosa</w:t>
      </w:r>
      <w:r w:rsidRPr="00756BB9">
        <w:rPr>
          <w:noProof/>
        </w:rPr>
        <w:t xml:space="preserve">. </w:t>
      </w:r>
      <w:r w:rsidRPr="00756BB9">
        <w:rPr>
          <w:i/>
          <w:iCs/>
          <w:noProof/>
        </w:rPr>
        <w:t>Proc. R. Soc. London. Ser. B Biol. Sci.</w:t>
      </w:r>
      <w:r w:rsidRPr="00756BB9">
        <w:rPr>
          <w:noProof/>
        </w:rPr>
        <w:t>, 265, 2127–2134.</w:t>
      </w:r>
      <w:r w:rsidR="00756BB9" w:rsidRPr="00756BB9">
        <w:rPr>
          <w:noProof/>
        </w:rPr>
        <w:t xml:space="preserve"> (doi: </w:t>
      </w:r>
      <w:r w:rsidR="00756BB9" w:rsidRPr="00756BB9">
        <w:rPr>
          <w:rFonts w:ascii="Calibri" w:hAnsi="Calibri" w:cs="Calibri"/>
          <w:noProof/>
        </w:rPr>
        <w:t>﻿</w:t>
      </w:r>
      <w:r w:rsidR="00756BB9" w:rsidRPr="00756BB9">
        <w:rPr>
          <w:noProof/>
        </w:rPr>
        <w:t xml:space="preserve">10.1098/rspb.1998.0549) </w:t>
      </w:r>
    </w:p>
    <w:p w14:paraId="15EF0F5E" w14:textId="77777777" w:rsidR="00944829" w:rsidRPr="00756BB9" w:rsidRDefault="00944829" w:rsidP="00BD7A92">
      <w:pPr>
        <w:widowControl w:val="0"/>
        <w:autoSpaceDE w:val="0"/>
        <w:autoSpaceDN w:val="0"/>
        <w:adjustRightInd w:val="0"/>
        <w:spacing w:before="120" w:after="120" w:line="480" w:lineRule="auto"/>
        <w:ind w:left="480" w:hanging="480"/>
        <w:rPr>
          <w:noProof/>
        </w:rPr>
      </w:pPr>
      <w:r w:rsidRPr="00756BB9">
        <w:rPr>
          <w:noProof/>
        </w:rPr>
        <w:t xml:space="preserve">Folt, C. &amp; Goldman, C.R. (1981). Allelopathy between Zooplankton : A Mechanism for Interference Competition. </w:t>
      </w:r>
      <w:r w:rsidRPr="00756BB9">
        <w:rPr>
          <w:i/>
          <w:iCs/>
          <w:noProof/>
        </w:rPr>
        <w:t>Sci. New Ser.</w:t>
      </w:r>
      <w:r w:rsidRPr="00756BB9">
        <w:rPr>
          <w:noProof/>
        </w:rPr>
        <w:t>, 213, 1133–1135.</w:t>
      </w:r>
    </w:p>
    <w:p w14:paraId="0F2D55A7" w14:textId="77777777" w:rsidR="00944829" w:rsidRPr="00756BB9" w:rsidRDefault="00944829" w:rsidP="00BD7A92">
      <w:pPr>
        <w:widowControl w:val="0"/>
        <w:autoSpaceDE w:val="0"/>
        <w:autoSpaceDN w:val="0"/>
        <w:adjustRightInd w:val="0"/>
        <w:spacing w:before="120" w:after="120" w:line="480" w:lineRule="auto"/>
        <w:ind w:left="480" w:hanging="480"/>
        <w:rPr>
          <w:noProof/>
        </w:rPr>
      </w:pPr>
      <w:r w:rsidRPr="00756BB9">
        <w:rPr>
          <w:noProof/>
        </w:rPr>
        <w:t xml:space="preserve">Goser, B. &amp; Ratte, H.T. (1994). Experimental evidence of negative interference in </w:t>
      </w:r>
      <w:r w:rsidRPr="00756BB9">
        <w:rPr>
          <w:i/>
          <w:noProof/>
        </w:rPr>
        <w:t>Daphnia</w:t>
      </w:r>
      <w:r w:rsidRPr="00756BB9">
        <w:rPr>
          <w:noProof/>
        </w:rPr>
        <w:t xml:space="preserve"> </w:t>
      </w:r>
      <w:r w:rsidRPr="00756BB9">
        <w:rPr>
          <w:i/>
          <w:noProof/>
        </w:rPr>
        <w:t>magna</w:t>
      </w:r>
      <w:r w:rsidRPr="00756BB9">
        <w:rPr>
          <w:noProof/>
        </w:rPr>
        <w:t xml:space="preserve">. </w:t>
      </w:r>
      <w:r w:rsidRPr="00756BB9">
        <w:rPr>
          <w:i/>
          <w:iCs/>
          <w:noProof/>
        </w:rPr>
        <w:t>Oecologia</w:t>
      </w:r>
      <w:r w:rsidRPr="00756BB9">
        <w:rPr>
          <w:noProof/>
        </w:rPr>
        <w:t>, 98, 354–361.</w:t>
      </w:r>
    </w:p>
    <w:p w14:paraId="593BAC9A" w14:textId="77777777" w:rsidR="00944829" w:rsidRPr="00756BB9" w:rsidRDefault="00944829" w:rsidP="00BD7A92">
      <w:pPr>
        <w:widowControl w:val="0"/>
        <w:autoSpaceDE w:val="0"/>
        <w:autoSpaceDN w:val="0"/>
        <w:adjustRightInd w:val="0"/>
        <w:spacing w:before="120" w:after="120" w:line="480" w:lineRule="auto"/>
        <w:ind w:left="480" w:hanging="480"/>
        <w:rPr>
          <w:noProof/>
        </w:rPr>
      </w:pPr>
      <w:r w:rsidRPr="00756BB9">
        <w:rPr>
          <w:noProof/>
        </w:rPr>
        <w:t xml:space="preserve">Kluttgen, B., Dulmer, U., Engels, M., Ratte, H.., Klüttgen, B., Dülmer, U., </w:t>
      </w:r>
      <w:r w:rsidRPr="00756BB9">
        <w:rPr>
          <w:i/>
          <w:iCs/>
          <w:noProof/>
        </w:rPr>
        <w:t>et al.</w:t>
      </w:r>
      <w:r w:rsidRPr="00756BB9">
        <w:rPr>
          <w:noProof/>
        </w:rPr>
        <w:t xml:space="preserve"> (1994). ADaM, an artificial freshwater for the culture of zooplankton. </w:t>
      </w:r>
      <w:r w:rsidRPr="00756BB9">
        <w:rPr>
          <w:i/>
          <w:iCs/>
          <w:noProof/>
        </w:rPr>
        <w:t>Water Res.</w:t>
      </w:r>
      <w:r w:rsidRPr="00756BB9">
        <w:rPr>
          <w:noProof/>
        </w:rPr>
        <w:t>, 28, 743–746.</w:t>
      </w:r>
    </w:p>
    <w:p w14:paraId="61596DFB" w14:textId="77777777" w:rsidR="00944829" w:rsidRPr="00756BB9" w:rsidRDefault="00944829" w:rsidP="00BD7A92">
      <w:pPr>
        <w:widowControl w:val="0"/>
        <w:autoSpaceDE w:val="0"/>
        <w:autoSpaceDN w:val="0"/>
        <w:adjustRightInd w:val="0"/>
        <w:spacing w:before="120" w:after="120" w:line="480" w:lineRule="auto"/>
        <w:ind w:left="480" w:hanging="480"/>
        <w:rPr>
          <w:noProof/>
        </w:rPr>
      </w:pPr>
      <w:r w:rsidRPr="00756BB9">
        <w:rPr>
          <w:noProof/>
        </w:rPr>
        <w:t xml:space="preserve">Lürling, M., Roozen, F., Van Donk, E. &amp; Goser, B. (2003). Response of </w:t>
      </w:r>
      <w:r w:rsidRPr="00756BB9">
        <w:rPr>
          <w:i/>
          <w:noProof/>
        </w:rPr>
        <w:t>Daphnia</w:t>
      </w:r>
      <w:r w:rsidRPr="00756BB9">
        <w:rPr>
          <w:noProof/>
        </w:rPr>
        <w:t xml:space="preserve"> to substances released from crowded congeners and conspecifics. </w:t>
      </w:r>
      <w:r w:rsidRPr="00756BB9">
        <w:rPr>
          <w:i/>
          <w:iCs/>
          <w:noProof/>
        </w:rPr>
        <w:t>J. Plankton Res.</w:t>
      </w:r>
      <w:r w:rsidRPr="00756BB9">
        <w:rPr>
          <w:noProof/>
        </w:rPr>
        <w:t>, 25, 967–978.</w:t>
      </w:r>
      <w:r w:rsidR="00756BB9" w:rsidRPr="00756BB9">
        <w:rPr>
          <w:noProof/>
        </w:rPr>
        <w:t xml:space="preserve"> (doi: </w:t>
      </w:r>
      <w:r w:rsidR="00756BB9" w:rsidRPr="00756BB9">
        <w:rPr>
          <w:rFonts w:ascii="Calibri" w:hAnsi="Calibri" w:cs="Calibri"/>
          <w:noProof/>
        </w:rPr>
        <w:t>﻿</w:t>
      </w:r>
      <w:r w:rsidR="00756BB9" w:rsidRPr="00756BB9">
        <w:rPr>
          <w:noProof/>
        </w:rPr>
        <w:t>10.1093/plankt/25.8.967)</w:t>
      </w:r>
    </w:p>
    <w:p w14:paraId="3EDD0E73" w14:textId="77777777" w:rsidR="00944829" w:rsidRPr="00756BB9" w:rsidRDefault="00944829" w:rsidP="00BD7A92">
      <w:pPr>
        <w:widowControl w:val="0"/>
        <w:autoSpaceDE w:val="0"/>
        <w:autoSpaceDN w:val="0"/>
        <w:adjustRightInd w:val="0"/>
        <w:spacing w:before="120" w:after="120" w:line="480" w:lineRule="auto"/>
        <w:ind w:left="480" w:hanging="480"/>
        <w:rPr>
          <w:noProof/>
        </w:rPr>
      </w:pPr>
      <w:r w:rsidRPr="00756BB9">
        <w:rPr>
          <w:noProof/>
        </w:rPr>
        <w:t xml:space="preserve">Michel, J., Ebert, D. &amp; Hall, M.D. (2016). The trans-generational impact of population density on host-parasite interactions. </w:t>
      </w:r>
      <w:r w:rsidRPr="00756BB9">
        <w:rPr>
          <w:i/>
          <w:iCs/>
          <w:noProof/>
        </w:rPr>
        <w:t>BMC Evol. Biol.</w:t>
      </w:r>
      <w:r w:rsidRPr="00756BB9">
        <w:rPr>
          <w:noProof/>
        </w:rPr>
        <w:t>, 16, 1–12.</w:t>
      </w:r>
      <w:r w:rsidR="00756BB9" w:rsidRPr="00756BB9">
        <w:rPr>
          <w:noProof/>
        </w:rPr>
        <w:t xml:space="preserve"> (doi: </w:t>
      </w:r>
      <w:r w:rsidR="00756BB9" w:rsidRPr="00756BB9">
        <w:rPr>
          <w:rFonts w:ascii="Calibri" w:hAnsi="Calibri" w:cs="Calibri"/>
          <w:noProof/>
        </w:rPr>
        <w:t>﻿</w:t>
      </w:r>
      <w:r w:rsidR="00756BB9" w:rsidRPr="00756BB9">
        <w:rPr>
          <w:noProof/>
        </w:rPr>
        <w:t xml:space="preserve">10.1186/s12862-016-0828-4) </w:t>
      </w:r>
    </w:p>
    <w:sectPr w:rsidR="00944829" w:rsidRPr="00756BB9" w:rsidSect="00112751">
      <w:footerReference w:type="even" r:id="rId10"/>
      <w:footerReference w:type="default" r:id="rId11"/>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E05EA" w14:textId="77777777" w:rsidR="00BD3354" w:rsidRDefault="00BD3354" w:rsidP="00F64CE5">
      <w:r>
        <w:separator/>
      </w:r>
    </w:p>
  </w:endnote>
  <w:endnote w:type="continuationSeparator" w:id="0">
    <w:p w14:paraId="403485D2" w14:textId="77777777" w:rsidR="00BD3354" w:rsidRDefault="00BD3354" w:rsidP="00F6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5C2E" w14:textId="77777777" w:rsidR="00F64CE5" w:rsidRDefault="00F64CE5" w:rsidP="00D549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BFCFC78" w14:textId="77777777" w:rsidR="00F64CE5" w:rsidRDefault="00F64CE5" w:rsidP="00F64C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ABD4" w14:textId="77777777" w:rsidR="00F64CE5" w:rsidRDefault="00F64CE5" w:rsidP="00D549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3F8BA7" w14:textId="77777777" w:rsidR="00F64CE5" w:rsidRDefault="00F64CE5" w:rsidP="00F64C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520D4" w14:textId="77777777" w:rsidR="00BD3354" w:rsidRDefault="00BD3354" w:rsidP="00F64CE5">
      <w:r>
        <w:separator/>
      </w:r>
    </w:p>
  </w:footnote>
  <w:footnote w:type="continuationSeparator" w:id="0">
    <w:p w14:paraId="74968589" w14:textId="77777777" w:rsidR="00BD3354" w:rsidRDefault="00BD3354" w:rsidP="00F64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768"/>
    <w:multiLevelType w:val="hybridMultilevel"/>
    <w:tmpl w:val="4C362FA4"/>
    <w:lvl w:ilvl="0" w:tplc="0B22726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A3A5B"/>
    <w:multiLevelType w:val="multilevel"/>
    <w:tmpl w:val="DBA02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2626F2"/>
    <w:multiLevelType w:val="hybridMultilevel"/>
    <w:tmpl w:val="203019B8"/>
    <w:lvl w:ilvl="0" w:tplc="400C95A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B336B"/>
    <w:multiLevelType w:val="hybridMultilevel"/>
    <w:tmpl w:val="92F68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85FC8"/>
    <w:multiLevelType w:val="hybridMultilevel"/>
    <w:tmpl w:val="ADBCB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62DDA"/>
    <w:multiLevelType w:val="hybridMultilevel"/>
    <w:tmpl w:val="30520C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70"/>
    <w:rsid w:val="00066FE0"/>
    <w:rsid w:val="000B2DC0"/>
    <w:rsid w:val="000C585C"/>
    <w:rsid w:val="000D2F97"/>
    <w:rsid w:val="000E4F15"/>
    <w:rsid w:val="000F6BF7"/>
    <w:rsid w:val="00112751"/>
    <w:rsid w:val="00140882"/>
    <w:rsid w:val="001D261E"/>
    <w:rsid w:val="001D37D7"/>
    <w:rsid w:val="001E4EAC"/>
    <w:rsid w:val="00201B4B"/>
    <w:rsid w:val="00242D60"/>
    <w:rsid w:val="00254925"/>
    <w:rsid w:val="002D1E1A"/>
    <w:rsid w:val="002E22DE"/>
    <w:rsid w:val="002E5573"/>
    <w:rsid w:val="003509DF"/>
    <w:rsid w:val="00384F8A"/>
    <w:rsid w:val="003F2E29"/>
    <w:rsid w:val="00435CBF"/>
    <w:rsid w:val="004658A5"/>
    <w:rsid w:val="00481ABA"/>
    <w:rsid w:val="00481F1E"/>
    <w:rsid w:val="004B11E2"/>
    <w:rsid w:val="004B6417"/>
    <w:rsid w:val="004D0B7D"/>
    <w:rsid w:val="004E205A"/>
    <w:rsid w:val="004E4BE3"/>
    <w:rsid w:val="00526058"/>
    <w:rsid w:val="005B4912"/>
    <w:rsid w:val="005E23A6"/>
    <w:rsid w:val="005F1B7E"/>
    <w:rsid w:val="006145FC"/>
    <w:rsid w:val="0065567A"/>
    <w:rsid w:val="006C4DEC"/>
    <w:rsid w:val="006E733D"/>
    <w:rsid w:val="0072565F"/>
    <w:rsid w:val="00732BC4"/>
    <w:rsid w:val="00756BB9"/>
    <w:rsid w:val="00775070"/>
    <w:rsid w:val="007A1537"/>
    <w:rsid w:val="007E2711"/>
    <w:rsid w:val="007E7F01"/>
    <w:rsid w:val="00845FE5"/>
    <w:rsid w:val="008755FB"/>
    <w:rsid w:val="00891455"/>
    <w:rsid w:val="008C0DA1"/>
    <w:rsid w:val="008F7D43"/>
    <w:rsid w:val="00921B8D"/>
    <w:rsid w:val="00941036"/>
    <w:rsid w:val="00944829"/>
    <w:rsid w:val="00982AEC"/>
    <w:rsid w:val="009A1D50"/>
    <w:rsid w:val="009B22A6"/>
    <w:rsid w:val="009C0F2A"/>
    <w:rsid w:val="00A403F3"/>
    <w:rsid w:val="00A5355D"/>
    <w:rsid w:val="00AA2B52"/>
    <w:rsid w:val="00AC17E2"/>
    <w:rsid w:val="00AC77BF"/>
    <w:rsid w:val="00B0749C"/>
    <w:rsid w:val="00B40A1C"/>
    <w:rsid w:val="00B51CA6"/>
    <w:rsid w:val="00B86089"/>
    <w:rsid w:val="00B879B0"/>
    <w:rsid w:val="00B9385C"/>
    <w:rsid w:val="00BD3354"/>
    <w:rsid w:val="00BD7A92"/>
    <w:rsid w:val="00BE0B01"/>
    <w:rsid w:val="00C01E3E"/>
    <w:rsid w:val="00C01F86"/>
    <w:rsid w:val="00C0584A"/>
    <w:rsid w:val="00C23E9B"/>
    <w:rsid w:val="00C3137C"/>
    <w:rsid w:val="00C700C9"/>
    <w:rsid w:val="00C70327"/>
    <w:rsid w:val="00CD576D"/>
    <w:rsid w:val="00D022BF"/>
    <w:rsid w:val="00D07A8C"/>
    <w:rsid w:val="00D32BCB"/>
    <w:rsid w:val="00D54915"/>
    <w:rsid w:val="00D70210"/>
    <w:rsid w:val="00D841C8"/>
    <w:rsid w:val="00D965AB"/>
    <w:rsid w:val="00DB16BA"/>
    <w:rsid w:val="00DB4449"/>
    <w:rsid w:val="00DB5EBB"/>
    <w:rsid w:val="00DB7A0F"/>
    <w:rsid w:val="00DE0E32"/>
    <w:rsid w:val="00DF07FF"/>
    <w:rsid w:val="00DF1DEF"/>
    <w:rsid w:val="00DF740C"/>
    <w:rsid w:val="00E247E9"/>
    <w:rsid w:val="00E43F16"/>
    <w:rsid w:val="00E7567B"/>
    <w:rsid w:val="00E834B9"/>
    <w:rsid w:val="00F64CE5"/>
    <w:rsid w:val="00F724EE"/>
    <w:rsid w:val="00F72FD7"/>
    <w:rsid w:val="00FC097F"/>
    <w:rsid w:val="00FC41A2"/>
    <w:rsid w:val="00FD7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0A223"/>
  <w14:defaultImageDpi w14:val="32767"/>
  <w15:chartTrackingRefBased/>
  <w15:docId w15:val="{C5B093A5-DEBE-7D43-AEDF-0205EBA7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6F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75070"/>
    <w:rPr>
      <w:sz w:val="18"/>
      <w:szCs w:val="18"/>
    </w:rPr>
  </w:style>
  <w:style w:type="paragraph" w:styleId="CommentText">
    <w:name w:val="annotation text"/>
    <w:basedOn w:val="Normal"/>
    <w:link w:val="CommentTextChar"/>
    <w:uiPriority w:val="99"/>
    <w:unhideWhenUsed/>
    <w:rsid w:val="00775070"/>
    <w:pPr>
      <w:spacing w:after="200"/>
    </w:pPr>
    <w:rPr>
      <w:rFonts w:ascii="Calibri" w:eastAsia="Calibri" w:hAnsi="Calibri"/>
    </w:rPr>
  </w:style>
  <w:style w:type="character" w:customStyle="1" w:styleId="CommentTextChar">
    <w:name w:val="Comment Text Char"/>
    <w:link w:val="CommentText"/>
    <w:uiPriority w:val="99"/>
    <w:rsid w:val="00775070"/>
    <w:rPr>
      <w:rFonts w:ascii="Calibri" w:eastAsia="Calibri" w:hAnsi="Calibri"/>
      <w:lang w:val="en-AU"/>
    </w:rPr>
  </w:style>
  <w:style w:type="paragraph" w:styleId="Title">
    <w:name w:val="Title"/>
    <w:basedOn w:val="Normal"/>
    <w:next w:val="Normal"/>
    <w:link w:val="TitleChar"/>
    <w:uiPriority w:val="2"/>
    <w:qFormat/>
    <w:rsid w:val="00775070"/>
    <w:pPr>
      <w:contextualSpacing/>
    </w:pPr>
    <w:rPr>
      <w:rFonts w:ascii="Cambria" w:hAnsi="Cambria"/>
      <w:spacing w:val="5"/>
      <w:kern w:val="28"/>
      <w:sz w:val="36"/>
      <w:szCs w:val="36"/>
    </w:rPr>
  </w:style>
  <w:style w:type="character" w:customStyle="1" w:styleId="TitleChar">
    <w:name w:val="Title Char"/>
    <w:link w:val="Title"/>
    <w:uiPriority w:val="2"/>
    <w:rsid w:val="00775070"/>
    <w:rPr>
      <w:rFonts w:ascii="Cambria" w:eastAsia="Times New Roman" w:hAnsi="Cambria" w:cs="Times New Roman"/>
      <w:spacing w:val="5"/>
      <w:kern w:val="28"/>
      <w:sz w:val="36"/>
      <w:szCs w:val="36"/>
      <w:lang w:val="en-AU"/>
    </w:rPr>
  </w:style>
  <w:style w:type="character" w:styleId="Hyperlink">
    <w:name w:val="Hyperlink"/>
    <w:uiPriority w:val="99"/>
    <w:unhideWhenUsed/>
    <w:rsid w:val="00775070"/>
    <w:rPr>
      <w:color w:val="0563C1"/>
      <w:u w:val="single"/>
    </w:rPr>
  </w:style>
  <w:style w:type="paragraph" w:styleId="BalloonText">
    <w:name w:val="Balloon Text"/>
    <w:basedOn w:val="Normal"/>
    <w:link w:val="BalloonTextChar"/>
    <w:uiPriority w:val="99"/>
    <w:semiHidden/>
    <w:unhideWhenUsed/>
    <w:rsid w:val="00775070"/>
    <w:rPr>
      <w:sz w:val="18"/>
      <w:szCs w:val="18"/>
    </w:rPr>
  </w:style>
  <w:style w:type="character" w:customStyle="1" w:styleId="BalloonTextChar">
    <w:name w:val="Balloon Text Char"/>
    <w:link w:val="BalloonText"/>
    <w:uiPriority w:val="99"/>
    <w:semiHidden/>
    <w:rsid w:val="00775070"/>
    <w:rPr>
      <w:rFonts w:ascii="Times New Roman" w:hAnsi="Times New Roman" w:cs="Times New Roman"/>
      <w:sz w:val="18"/>
      <w:szCs w:val="18"/>
      <w:lang w:val="en-US"/>
    </w:rPr>
  </w:style>
  <w:style w:type="paragraph" w:styleId="ListParagraph">
    <w:name w:val="List Paragraph"/>
    <w:basedOn w:val="Normal"/>
    <w:uiPriority w:val="34"/>
    <w:qFormat/>
    <w:rsid w:val="00C3137C"/>
    <w:pPr>
      <w:ind w:left="720"/>
      <w:contextualSpacing/>
    </w:pPr>
  </w:style>
  <w:style w:type="paragraph" w:styleId="CommentSubject">
    <w:name w:val="annotation subject"/>
    <w:basedOn w:val="CommentText"/>
    <w:next w:val="CommentText"/>
    <w:link w:val="CommentSubjectChar"/>
    <w:uiPriority w:val="99"/>
    <w:semiHidden/>
    <w:unhideWhenUsed/>
    <w:rsid w:val="008C0DA1"/>
    <w:pPr>
      <w:spacing w:after="0"/>
    </w:pPr>
    <w:rPr>
      <w:rFonts w:ascii="Times New Roman" w:hAnsi="Times New Roman"/>
      <w:b/>
      <w:bCs/>
      <w:sz w:val="20"/>
      <w:szCs w:val="20"/>
      <w:lang w:val="en-US"/>
    </w:rPr>
  </w:style>
  <w:style w:type="character" w:customStyle="1" w:styleId="CommentSubjectChar">
    <w:name w:val="Comment Subject Char"/>
    <w:link w:val="CommentSubject"/>
    <w:uiPriority w:val="99"/>
    <w:semiHidden/>
    <w:rsid w:val="008C0DA1"/>
    <w:rPr>
      <w:rFonts w:ascii="Times New Roman" w:eastAsia="Calibri" w:hAnsi="Times New Roman" w:cs="Times New Roman"/>
      <w:b/>
      <w:bCs/>
      <w:sz w:val="20"/>
      <w:szCs w:val="20"/>
      <w:lang w:val="en-US"/>
    </w:rPr>
  </w:style>
  <w:style w:type="paragraph" w:styleId="Footer">
    <w:name w:val="footer"/>
    <w:basedOn w:val="Normal"/>
    <w:link w:val="FooterChar"/>
    <w:uiPriority w:val="99"/>
    <w:unhideWhenUsed/>
    <w:rsid w:val="00F64CE5"/>
    <w:pPr>
      <w:tabs>
        <w:tab w:val="center" w:pos="4680"/>
        <w:tab w:val="right" w:pos="9360"/>
      </w:tabs>
    </w:pPr>
  </w:style>
  <w:style w:type="character" w:customStyle="1" w:styleId="FooterChar">
    <w:name w:val="Footer Char"/>
    <w:link w:val="Footer"/>
    <w:uiPriority w:val="99"/>
    <w:rsid w:val="00F64CE5"/>
    <w:rPr>
      <w:rFonts w:ascii="Times New Roman" w:hAnsi="Times New Roman" w:cs="Times New Roman"/>
      <w:lang w:val="en-US"/>
    </w:rPr>
  </w:style>
  <w:style w:type="character" w:styleId="PageNumber">
    <w:name w:val="page number"/>
    <w:basedOn w:val="DefaultParagraphFont"/>
    <w:uiPriority w:val="99"/>
    <w:semiHidden/>
    <w:unhideWhenUsed/>
    <w:rsid w:val="00F64CE5"/>
  </w:style>
  <w:style w:type="paragraph" w:styleId="Revision">
    <w:name w:val="Revision"/>
    <w:hidden/>
    <w:uiPriority w:val="99"/>
    <w:semiHidden/>
    <w:rsid w:val="00941036"/>
    <w:rPr>
      <w:rFonts w:ascii="Times New Roman" w:hAnsi="Times New Roman"/>
      <w:sz w:val="24"/>
      <w:szCs w:val="24"/>
      <w:lang w:val="en-US"/>
    </w:rPr>
  </w:style>
  <w:style w:type="character" w:styleId="LineNumber">
    <w:name w:val="line number"/>
    <w:uiPriority w:val="99"/>
    <w:semiHidden/>
    <w:unhideWhenUsed/>
    <w:rsid w:val="00112751"/>
  </w:style>
  <w:style w:type="character" w:customStyle="1" w:styleId="apple-converted-space">
    <w:name w:val="apple-converted-space"/>
    <w:rsid w:val="00066FE0"/>
  </w:style>
  <w:style w:type="character" w:styleId="HTMLCite">
    <w:name w:val="HTML Cite"/>
    <w:uiPriority w:val="99"/>
    <w:semiHidden/>
    <w:unhideWhenUsed/>
    <w:rsid w:val="00066F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91382">
      <w:bodyDiv w:val="1"/>
      <w:marLeft w:val="0"/>
      <w:marRight w:val="0"/>
      <w:marTop w:val="0"/>
      <w:marBottom w:val="0"/>
      <w:divBdr>
        <w:top w:val="none" w:sz="0" w:space="0" w:color="auto"/>
        <w:left w:val="none" w:sz="0" w:space="0" w:color="auto"/>
        <w:bottom w:val="none" w:sz="0" w:space="0" w:color="auto"/>
        <w:right w:val="none" w:sz="0" w:space="0" w:color="auto"/>
      </w:divBdr>
    </w:div>
    <w:div w:id="240482003">
      <w:bodyDiv w:val="1"/>
      <w:marLeft w:val="0"/>
      <w:marRight w:val="0"/>
      <w:marTop w:val="0"/>
      <w:marBottom w:val="0"/>
      <w:divBdr>
        <w:top w:val="none" w:sz="0" w:space="0" w:color="auto"/>
        <w:left w:val="none" w:sz="0" w:space="0" w:color="auto"/>
        <w:bottom w:val="none" w:sz="0" w:space="0" w:color="auto"/>
        <w:right w:val="none" w:sz="0" w:space="0" w:color="auto"/>
      </w:divBdr>
    </w:div>
    <w:div w:id="434785877">
      <w:bodyDiv w:val="1"/>
      <w:marLeft w:val="0"/>
      <w:marRight w:val="0"/>
      <w:marTop w:val="0"/>
      <w:marBottom w:val="0"/>
      <w:divBdr>
        <w:top w:val="none" w:sz="0" w:space="0" w:color="auto"/>
        <w:left w:val="none" w:sz="0" w:space="0" w:color="auto"/>
        <w:bottom w:val="none" w:sz="0" w:space="0" w:color="auto"/>
        <w:right w:val="none" w:sz="0" w:space="0" w:color="auto"/>
      </w:divBdr>
    </w:div>
    <w:div w:id="8671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noergaard@monas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D19315EE-E51D-D446-82FC-CF2C659F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Links>
    <vt:vector size="6" baseType="variant">
      <vt:variant>
        <vt:i4>1966202</vt:i4>
      </vt:variant>
      <vt:variant>
        <vt:i4>0</vt:i4>
      </vt:variant>
      <vt:variant>
        <vt:i4>0</vt:i4>
      </vt:variant>
      <vt:variant>
        <vt:i4>5</vt:i4>
      </vt:variant>
      <vt:variant>
        <vt:lpwstr>mailto:louise.noergaard@monash.edu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Solveig Noergaard</dc:creator>
  <cp:keywords/>
  <cp:lastModifiedBy>Louise Solveig Noergaard</cp:lastModifiedBy>
  <cp:revision>5</cp:revision>
  <dcterms:created xsi:type="dcterms:W3CDTF">2019-04-24T17:37:00Z</dcterms:created>
  <dcterms:modified xsi:type="dcterms:W3CDTF">2019-04-30T18:01:00Z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http://www.zotero.org/styles/biology-letters</vt:lpwstr>
  </property>
  <property fmtid="{D5CDD505-2E9C-101B-9397-08002B2CF9AE}" pid="7" name="Mendeley Recent Style Name 2_1">
    <vt:lpwstr>Biology Letters</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http://www.zotero.org/styles/evolutionary-biology</vt:lpwstr>
  </property>
  <property fmtid="{D5CDD505-2E9C-101B-9397-08002B2CF9AE}" pid="11" name="Mendeley Recent Style Name 4_1">
    <vt:lpwstr>Evolutionary Biology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http://www.zotero.org/styles/mammal-research</vt:lpwstr>
  </property>
  <property fmtid="{D5CDD505-2E9C-101B-9397-08002B2CF9AE}" pid="15" name="Mendeley Recent Style Name 6_1">
    <vt:lpwstr>Mammal Research</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http://www.zotero.org/styles/science</vt:lpwstr>
  </property>
  <property fmtid="{D5CDD505-2E9C-101B-9397-08002B2CF9AE}" pid="19" name="Mendeley Recent Style Name 8_1">
    <vt:lpwstr>Science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http://www.zotero.org/styles/biology-letters</vt:lpwstr>
  </property>
  <property fmtid="{D5CDD505-2E9C-101B-9397-08002B2CF9AE}" pid="24" name="Mendeley Unique User Id_1">
    <vt:lpwstr>9cde1162-af20-3805-8660-0271bdfcaec4</vt:lpwstr>
  </property>
</Properties>
</file>