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0CC" w:rsidRPr="00527F22" w:rsidRDefault="008130CC" w:rsidP="008130CC">
      <w:pPr>
        <w:spacing w:line="360" w:lineRule="auto"/>
        <w:rPr>
          <w:b/>
          <w:sz w:val="28"/>
        </w:rPr>
      </w:pPr>
      <w:r w:rsidRPr="00527F22">
        <w:rPr>
          <w:b/>
          <w:sz w:val="28"/>
        </w:rPr>
        <w:t xml:space="preserve">Supplementary </w:t>
      </w:r>
      <w:r>
        <w:rPr>
          <w:b/>
          <w:sz w:val="28"/>
        </w:rPr>
        <w:t>m</w:t>
      </w:r>
      <w:r w:rsidRPr="00527F22">
        <w:rPr>
          <w:b/>
          <w:sz w:val="28"/>
        </w:rPr>
        <w:t>aterial</w:t>
      </w:r>
    </w:p>
    <w:p w:rsidR="008130CC" w:rsidRPr="00527F22" w:rsidRDefault="008130CC" w:rsidP="008130CC">
      <w:pPr>
        <w:spacing w:after="0" w:line="360" w:lineRule="auto"/>
        <w:jc w:val="both"/>
        <w:rPr>
          <w:b/>
          <w:sz w:val="24"/>
          <w:szCs w:val="24"/>
        </w:rPr>
      </w:pPr>
      <w:r w:rsidRPr="00527F22">
        <w:rPr>
          <w:b/>
          <w:sz w:val="24"/>
          <w:szCs w:val="24"/>
        </w:rPr>
        <w:t>Methods used to synthe</w:t>
      </w:r>
      <w:r>
        <w:rPr>
          <w:b/>
          <w:sz w:val="24"/>
          <w:szCs w:val="24"/>
        </w:rPr>
        <w:t>sis</w:t>
      </w:r>
      <w:r w:rsidRPr="00527F22">
        <w:rPr>
          <w:b/>
          <w:sz w:val="24"/>
          <w:szCs w:val="24"/>
        </w:rPr>
        <w:t>e queen-characteristic esters and alkenes</w:t>
      </w:r>
    </w:p>
    <w:p w:rsidR="008130CC" w:rsidRPr="00527F22" w:rsidRDefault="008130CC" w:rsidP="008130CC">
      <w:pPr>
        <w:spacing w:after="0" w:line="360" w:lineRule="auto"/>
        <w:jc w:val="both"/>
        <w:rPr>
          <w:sz w:val="24"/>
          <w:szCs w:val="24"/>
        </w:rPr>
      </w:pPr>
    </w:p>
    <w:p w:rsidR="008130CC" w:rsidRPr="00394E6C" w:rsidRDefault="008130CC" w:rsidP="008130CC">
      <w:pPr>
        <w:spacing w:after="0" w:line="360" w:lineRule="auto"/>
        <w:jc w:val="both"/>
        <w:rPr>
          <w:i/>
          <w:sz w:val="24"/>
          <w:szCs w:val="24"/>
        </w:rPr>
      </w:pPr>
      <w:r w:rsidRPr="00394E6C">
        <w:rPr>
          <w:i/>
          <w:sz w:val="24"/>
          <w:szCs w:val="24"/>
        </w:rPr>
        <w:t xml:space="preserve">Synthesis of </w:t>
      </w:r>
      <w:proofErr w:type="spellStart"/>
      <w:r w:rsidRPr="00394E6C">
        <w:rPr>
          <w:i/>
          <w:sz w:val="24"/>
          <w:szCs w:val="24"/>
        </w:rPr>
        <w:t>myristyl</w:t>
      </w:r>
      <w:proofErr w:type="spellEnd"/>
      <w:r w:rsidRPr="00394E6C">
        <w:rPr>
          <w:i/>
          <w:sz w:val="24"/>
          <w:szCs w:val="24"/>
        </w:rPr>
        <w:t xml:space="preserve"> palmitoleate and palmityl palmitoleate</w:t>
      </w:r>
    </w:p>
    <w:p w:rsidR="008130CC" w:rsidRPr="00237B0D" w:rsidRDefault="008130CC" w:rsidP="008130CC">
      <w:pPr>
        <w:spacing w:after="0" w:line="360" w:lineRule="auto"/>
        <w:jc w:val="both"/>
        <w:rPr>
          <w:sz w:val="24"/>
          <w:szCs w:val="24"/>
        </w:rPr>
      </w:pPr>
    </w:p>
    <w:p w:rsidR="008130CC" w:rsidRDefault="008130CC" w:rsidP="008130CC">
      <w:pPr>
        <w:spacing w:after="120" w:line="360" w:lineRule="auto"/>
        <w:jc w:val="both"/>
        <w:rPr>
          <w:sz w:val="24"/>
          <w:szCs w:val="24"/>
        </w:rPr>
      </w:pPr>
      <w:r w:rsidRPr="00237B0D">
        <w:rPr>
          <w:sz w:val="24"/>
          <w:szCs w:val="24"/>
        </w:rPr>
        <w:t xml:space="preserve">A solution of </w:t>
      </w:r>
      <w:proofErr w:type="spellStart"/>
      <w:r w:rsidRPr="00237B0D">
        <w:rPr>
          <w:sz w:val="24"/>
          <w:szCs w:val="24"/>
        </w:rPr>
        <w:t>tetradecanol</w:t>
      </w:r>
      <w:proofErr w:type="spellEnd"/>
      <w:r w:rsidRPr="00237B0D">
        <w:rPr>
          <w:sz w:val="24"/>
          <w:szCs w:val="24"/>
        </w:rPr>
        <w:t xml:space="preserve"> (2.14 g, 10 mmol), palmitoleic acid (2.54 g, 10 mmol), and </w:t>
      </w:r>
      <w:proofErr w:type="spellStart"/>
      <w:r w:rsidRPr="00237B0D">
        <w:rPr>
          <w:sz w:val="24"/>
          <w:szCs w:val="24"/>
        </w:rPr>
        <w:t>dimethylaminopyridine</w:t>
      </w:r>
      <w:proofErr w:type="spellEnd"/>
      <w:r w:rsidRPr="00237B0D">
        <w:rPr>
          <w:sz w:val="24"/>
          <w:szCs w:val="24"/>
        </w:rPr>
        <w:t xml:space="preserve"> (50 mg) in 50 ml dry methylene chloride was cooled in an ice bath, and 1-ethyl-3-(3-</w:t>
      </w:r>
      <w:proofErr w:type="gramStart"/>
      <w:r w:rsidRPr="00237B0D">
        <w:rPr>
          <w:sz w:val="24"/>
          <w:szCs w:val="24"/>
        </w:rPr>
        <w:t>dimethylaminopropyl)carbodiimide</w:t>
      </w:r>
      <w:proofErr w:type="gramEnd"/>
      <w:r w:rsidRPr="00237B0D">
        <w:rPr>
          <w:sz w:val="24"/>
          <w:szCs w:val="24"/>
        </w:rPr>
        <w:t xml:space="preserve"> hydrochloride coupling reagent (2.4 g, 12.5 m</w:t>
      </w:r>
      <w:r>
        <w:rPr>
          <w:sz w:val="24"/>
          <w:szCs w:val="24"/>
        </w:rPr>
        <w:t xml:space="preserve">mol) was added in one portion. </w:t>
      </w:r>
      <w:r w:rsidRPr="00237B0D">
        <w:rPr>
          <w:sz w:val="24"/>
          <w:szCs w:val="24"/>
        </w:rPr>
        <w:t>The resulting mixture was warmed to room temperature and stirr</w:t>
      </w:r>
      <w:r>
        <w:rPr>
          <w:sz w:val="24"/>
          <w:szCs w:val="24"/>
        </w:rPr>
        <w:t xml:space="preserve">ed overnight. </w:t>
      </w:r>
      <w:r w:rsidRPr="00237B0D">
        <w:rPr>
          <w:sz w:val="24"/>
          <w:szCs w:val="24"/>
        </w:rPr>
        <w:t>The methylene chloride was then removed by rotary evaporation, and the residue was partiti</w:t>
      </w:r>
      <w:r>
        <w:rPr>
          <w:sz w:val="24"/>
          <w:szCs w:val="24"/>
        </w:rPr>
        <w:t xml:space="preserve">oned between water and hexane. </w:t>
      </w:r>
      <w:r w:rsidRPr="00237B0D">
        <w:rPr>
          <w:sz w:val="24"/>
          <w:szCs w:val="24"/>
        </w:rPr>
        <w:t>The hexane layer was washed with dilute aqueous NaHCO3 and brine, then dried over anhydrous Na2SO4.  The residue was purified by vacuum flash chromatography on silica gel, el</w:t>
      </w:r>
      <w:r>
        <w:rPr>
          <w:sz w:val="24"/>
          <w:szCs w:val="24"/>
        </w:rPr>
        <w:t xml:space="preserve">uting with 5% </w:t>
      </w:r>
      <w:proofErr w:type="spellStart"/>
      <w:r>
        <w:rPr>
          <w:sz w:val="24"/>
          <w:szCs w:val="24"/>
        </w:rPr>
        <w:t>EtOAc</w:t>
      </w:r>
      <w:proofErr w:type="spellEnd"/>
      <w:r>
        <w:rPr>
          <w:sz w:val="24"/>
          <w:szCs w:val="24"/>
        </w:rPr>
        <w:t xml:space="preserve"> in hexane. </w:t>
      </w:r>
      <w:r w:rsidRPr="00237B0D">
        <w:rPr>
          <w:sz w:val="24"/>
          <w:szCs w:val="24"/>
        </w:rPr>
        <w:t>The purified product was then dissolved in 40 ml warm EtOH and recry</w:t>
      </w:r>
      <w:r>
        <w:rPr>
          <w:sz w:val="24"/>
          <w:szCs w:val="24"/>
        </w:rPr>
        <w:t xml:space="preserve">stallised overnight at -20°C. </w:t>
      </w:r>
      <w:r w:rsidRPr="00237B0D">
        <w:rPr>
          <w:sz w:val="24"/>
          <w:szCs w:val="24"/>
        </w:rPr>
        <w:t xml:space="preserve">The product was filtered in a cold room, and on warming to room temperature, the solid white product melted to a viscous oil (3.33 g, 74%). </w:t>
      </w:r>
      <w:r w:rsidRPr="00237B0D">
        <w:rPr>
          <w:sz w:val="24"/>
          <w:szCs w:val="24"/>
          <w:vertAlign w:val="superscript"/>
        </w:rPr>
        <w:t>1</w:t>
      </w:r>
      <w:r w:rsidRPr="00237B0D">
        <w:rPr>
          <w:sz w:val="24"/>
          <w:szCs w:val="24"/>
        </w:rPr>
        <w:t>H NMR (CDCl</w:t>
      </w:r>
      <w:r w:rsidRPr="00237B0D">
        <w:rPr>
          <w:sz w:val="24"/>
          <w:szCs w:val="24"/>
          <w:vertAlign w:val="subscript"/>
        </w:rPr>
        <w:t>3</w:t>
      </w:r>
      <w:r w:rsidRPr="00237B0D">
        <w:rPr>
          <w:sz w:val="24"/>
          <w:szCs w:val="24"/>
        </w:rPr>
        <w:t>, 400 MHz)</w:t>
      </w:r>
      <w:r>
        <w:rPr>
          <w:sz w:val="24"/>
          <w:szCs w:val="24"/>
        </w:rPr>
        <w:t>:</w:t>
      </w:r>
      <w:r w:rsidRPr="00237B0D">
        <w:rPr>
          <w:sz w:val="24"/>
          <w:szCs w:val="24"/>
        </w:rPr>
        <w:t xml:space="preserve"> 5.37 (m, 2H), 4.08 (t, 2H, J = 6.7 Hz), 2.31 (t, 2H, J = 7.5 Hz), 2.03 (m, 4H), 1.63 (m, 4H), 1.2</w:t>
      </w:r>
      <w:r>
        <w:rPr>
          <w:sz w:val="24"/>
          <w:szCs w:val="24"/>
        </w:rPr>
        <w:t>ooo</w:t>
      </w:r>
      <w:r w:rsidRPr="00237B0D">
        <w:rPr>
          <w:sz w:val="24"/>
          <w:szCs w:val="24"/>
        </w:rPr>
        <w:t xml:space="preserve">5-1.42 (m, 38H), 0.90 (t, 6H, J = 6.6 Hz) ppm. </w:t>
      </w:r>
      <w:r w:rsidRPr="00237B0D">
        <w:rPr>
          <w:sz w:val="24"/>
          <w:szCs w:val="24"/>
          <w:vertAlign w:val="superscript"/>
        </w:rPr>
        <w:t>13</w:t>
      </w:r>
      <w:r w:rsidRPr="00237B0D">
        <w:rPr>
          <w:sz w:val="24"/>
          <w:szCs w:val="24"/>
        </w:rPr>
        <w:t>C NMR (CDCl</w:t>
      </w:r>
      <w:r w:rsidRPr="00237B0D">
        <w:rPr>
          <w:sz w:val="24"/>
          <w:szCs w:val="24"/>
          <w:vertAlign w:val="subscript"/>
        </w:rPr>
        <w:t>3</w:t>
      </w:r>
      <w:r w:rsidRPr="00237B0D">
        <w:rPr>
          <w:sz w:val="24"/>
          <w:szCs w:val="24"/>
        </w:rPr>
        <w:t>, 101 MHz)</w:t>
      </w:r>
      <w:r>
        <w:rPr>
          <w:sz w:val="24"/>
          <w:szCs w:val="24"/>
        </w:rPr>
        <w:t>:</w:t>
      </w:r>
      <w:r w:rsidRPr="00237B0D">
        <w:rPr>
          <w:sz w:val="24"/>
          <w:szCs w:val="24"/>
        </w:rPr>
        <w:t xml:space="preserve"> 174.00, 129.99, 129.76, 64.41, 34.31, 31.93, 31.79, 29.69, 29.59, 29.54, 29.37, 29.27, 29.18, 29.14, 29.00, 28.66, 27.23, 27.17, 25.95, 2</w:t>
      </w:r>
      <w:r>
        <w:rPr>
          <w:sz w:val="24"/>
          <w:szCs w:val="24"/>
        </w:rPr>
        <w:t xml:space="preserve">5.02, 22.70, 22.67, 14.11 ppm. </w:t>
      </w:r>
    </w:p>
    <w:p w:rsidR="008130CC" w:rsidRPr="00237B0D" w:rsidRDefault="008130CC" w:rsidP="008130CC">
      <w:pPr>
        <w:spacing w:after="0" w:line="360" w:lineRule="auto"/>
        <w:jc w:val="both"/>
        <w:rPr>
          <w:sz w:val="24"/>
          <w:szCs w:val="24"/>
        </w:rPr>
      </w:pPr>
      <w:r w:rsidRPr="00237B0D">
        <w:rPr>
          <w:sz w:val="24"/>
          <w:szCs w:val="24"/>
        </w:rPr>
        <w:t xml:space="preserve">Hexadecyl palmitoleate was made in analogous fashion, substituting hexadecanol for </w:t>
      </w:r>
      <w:proofErr w:type="spellStart"/>
      <w:r w:rsidRPr="00237B0D">
        <w:rPr>
          <w:sz w:val="24"/>
          <w:szCs w:val="24"/>
        </w:rPr>
        <w:t>tetradecanol</w:t>
      </w:r>
      <w:proofErr w:type="spellEnd"/>
      <w:r w:rsidRPr="00237B0D">
        <w:rPr>
          <w:sz w:val="24"/>
          <w:szCs w:val="24"/>
        </w:rPr>
        <w:t>. After initial purification by flash chromatography, the product was further purified by dissolution in 50 ml warm EtOH and recrystalli</w:t>
      </w:r>
      <w:r>
        <w:rPr>
          <w:sz w:val="24"/>
          <w:szCs w:val="24"/>
        </w:rPr>
        <w:t>s</w:t>
      </w:r>
      <w:r w:rsidRPr="00237B0D">
        <w:rPr>
          <w:sz w:val="24"/>
          <w:szCs w:val="24"/>
        </w:rPr>
        <w:t>ation at 4</w:t>
      </w:r>
      <w:r>
        <w:rPr>
          <w:sz w:val="24"/>
          <w:szCs w:val="24"/>
        </w:rPr>
        <w:t>°</w:t>
      </w:r>
      <w:r w:rsidRPr="00237B0D">
        <w:rPr>
          <w:sz w:val="24"/>
          <w:szCs w:val="24"/>
        </w:rPr>
        <w:t>C.  After filtering cold, the resulting white crystals melted on warming to room temperature, to a colo</w:t>
      </w:r>
      <w:r>
        <w:rPr>
          <w:sz w:val="24"/>
          <w:szCs w:val="24"/>
        </w:rPr>
        <w:t>u</w:t>
      </w:r>
      <w:r w:rsidRPr="00237B0D">
        <w:rPr>
          <w:sz w:val="24"/>
          <w:szCs w:val="24"/>
        </w:rPr>
        <w:t xml:space="preserve">rless oil (3.45 g, 72%). </w:t>
      </w:r>
      <w:r w:rsidRPr="00237B0D">
        <w:rPr>
          <w:sz w:val="24"/>
          <w:szCs w:val="24"/>
          <w:vertAlign w:val="superscript"/>
        </w:rPr>
        <w:t>1</w:t>
      </w:r>
      <w:r w:rsidRPr="00237B0D">
        <w:rPr>
          <w:sz w:val="24"/>
          <w:szCs w:val="24"/>
        </w:rPr>
        <w:t>H NMR (CDCl</w:t>
      </w:r>
      <w:r w:rsidRPr="00237B0D">
        <w:rPr>
          <w:sz w:val="24"/>
          <w:szCs w:val="24"/>
          <w:vertAlign w:val="subscript"/>
        </w:rPr>
        <w:t>3</w:t>
      </w:r>
      <w:r w:rsidRPr="00237B0D">
        <w:rPr>
          <w:sz w:val="24"/>
          <w:szCs w:val="24"/>
        </w:rPr>
        <w:t>, 400 MHz)</w:t>
      </w:r>
      <w:r>
        <w:rPr>
          <w:sz w:val="24"/>
          <w:szCs w:val="24"/>
        </w:rPr>
        <w:t>:</w:t>
      </w:r>
      <w:r w:rsidRPr="00237B0D">
        <w:rPr>
          <w:sz w:val="24"/>
          <w:szCs w:val="24"/>
        </w:rPr>
        <w:t xml:space="preserve"> 5.37 (m, 2H), 4.08 (t, 2H, J = 6.7 Hz), 2.31 (t, 2H, J = 7.5 Hz), 2.03 (m, 4H), 1.63 (m, 4H), 1.25-1.42 (m, 42H), 0.90 (t, 6H, J = 6.6 Hz) ppm.  </w:t>
      </w:r>
      <w:r w:rsidRPr="00237B0D">
        <w:rPr>
          <w:sz w:val="24"/>
          <w:szCs w:val="24"/>
          <w:vertAlign w:val="superscript"/>
        </w:rPr>
        <w:t>13</w:t>
      </w:r>
      <w:r w:rsidRPr="00237B0D">
        <w:rPr>
          <w:sz w:val="24"/>
          <w:szCs w:val="24"/>
        </w:rPr>
        <w:t>C NMR (CDCl</w:t>
      </w:r>
      <w:r w:rsidRPr="00237B0D">
        <w:rPr>
          <w:sz w:val="24"/>
          <w:szCs w:val="24"/>
          <w:vertAlign w:val="subscript"/>
        </w:rPr>
        <w:t>3</w:t>
      </w:r>
      <w:r w:rsidRPr="00237B0D">
        <w:rPr>
          <w:sz w:val="24"/>
          <w:szCs w:val="24"/>
        </w:rPr>
        <w:t>, 101 MHz)</w:t>
      </w:r>
      <w:r>
        <w:rPr>
          <w:sz w:val="24"/>
          <w:szCs w:val="24"/>
        </w:rPr>
        <w:t>:</w:t>
      </w:r>
      <w:r w:rsidRPr="00237B0D">
        <w:rPr>
          <w:sz w:val="24"/>
          <w:szCs w:val="24"/>
        </w:rPr>
        <w:t xml:space="preserve"> 174.00, 130.00, 129.77, 64.42, 34.41, 31.94, 31.79, 29.70, 29.59, 29.54, 29.37, 29.27, 29.18, 29.14, 29.00, 28.67, 27.23, 27.17, 25.954, 25.03, 22.70, 22.67, 14.11 ppm.</w:t>
      </w:r>
    </w:p>
    <w:p w:rsidR="008130CC" w:rsidRDefault="008130CC" w:rsidP="008130CC">
      <w:pPr>
        <w:spacing w:after="0" w:line="360" w:lineRule="auto"/>
        <w:jc w:val="both"/>
        <w:rPr>
          <w:sz w:val="24"/>
          <w:szCs w:val="24"/>
        </w:rPr>
      </w:pPr>
    </w:p>
    <w:p w:rsidR="008130CC" w:rsidRPr="00394E6C" w:rsidRDefault="008130CC" w:rsidP="008130CC">
      <w:pPr>
        <w:spacing w:after="0" w:line="360" w:lineRule="auto"/>
        <w:jc w:val="both"/>
        <w:rPr>
          <w:i/>
          <w:sz w:val="24"/>
          <w:szCs w:val="24"/>
        </w:rPr>
      </w:pPr>
      <w:r>
        <w:rPr>
          <w:i/>
          <w:sz w:val="24"/>
          <w:szCs w:val="24"/>
        </w:rPr>
        <w:t xml:space="preserve">Synthesis of </w:t>
      </w:r>
      <w:r w:rsidRPr="00394E6C">
        <w:rPr>
          <w:i/>
          <w:sz w:val="24"/>
          <w:szCs w:val="24"/>
        </w:rPr>
        <w:t xml:space="preserve">mixture of </w:t>
      </w:r>
      <w:r w:rsidRPr="001D2C18">
        <w:rPr>
          <w:i/>
          <w:sz w:val="24"/>
          <w:szCs w:val="24"/>
        </w:rPr>
        <w:t>(Z)-</w:t>
      </w:r>
      <w:r w:rsidRPr="00394E6C">
        <w:rPr>
          <w:i/>
          <w:sz w:val="24"/>
          <w:szCs w:val="24"/>
        </w:rPr>
        <w:t>15-tritriaco</w:t>
      </w:r>
      <w:r>
        <w:rPr>
          <w:i/>
          <w:sz w:val="24"/>
          <w:szCs w:val="24"/>
        </w:rPr>
        <w:t>nt</w:t>
      </w:r>
      <w:r w:rsidRPr="00394E6C">
        <w:rPr>
          <w:i/>
          <w:sz w:val="24"/>
          <w:szCs w:val="24"/>
        </w:rPr>
        <w:t xml:space="preserve">ene, </w:t>
      </w:r>
      <w:r w:rsidRPr="001D2C18">
        <w:rPr>
          <w:i/>
          <w:sz w:val="24"/>
          <w:szCs w:val="24"/>
        </w:rPr>
        <w:t>(Z)-</w:t>
      </w:r>
      <w:r w:rsidRPr="00394E6C">
        <w:rPr>
          <w:i/>
          <w:sz w:val="24"/>
          <w:szCs w:val="24"/>
        </w:rPr>
        <w:t>15-</w:t>
      </w:r>
      <w:r>
        <w:rPr>
          <w:i/>
          <w:sz w:val="24"/>
          <w:szCs w:val="24"/>
        </w:rPr>
        <w:t xml:space="preserve">pentatriacontene, </w:t>
      </w:r>
      <w:r w:rsidRPr="001D2C18">
        <w:rPr>
          <w:i/>
          <w:sz w:val="24"/>
          <w:szCs w:val="24"/>
        </w:rPr>
        <w:t>(Z)-</w:t>
      </w:r>
      <w:r w:rsidRPr="00394E6C">
        <w:rPr>
          <w:i/>
          <w:sz w:val="24"/>
          <w:szCs w:val="24"/>
        </w:rPr>
        <w:t>15-</w:t>
      </w:r>
      <w:r>
        <w:rPr>
          <w:i/>
          <w:sz w:val="24"/>
          <w:szCs w:val="24"/>
        </w:rPr>
        <w:t>heptatriacontene</w:t>
      </w:r>
      <w:r w:rsidRPr="00394E6C">
        <w:rPr>
          <w:i/>
          <w:sz w:val="24"/>
          <w:szCs w:val="24"/>
        </w:rPr>
        <w:t xml:space="preserve"> and </w:t>
      </w:r>
      <w:r w:rsidRPr="001D2C18">
        <w:rPr>
          <w:i/>
          <w:sz w:val="24"/>
          <w:szCs w:val="24"/>
        </w:rPr>
        <w:t>(Z)-</w:t>
      </w:r>
      <w:r w:rsidRPr="00394E6C">
        <w:rPr>
          <w:i/>
          <w:sz w:val="24"/>
          <w:szCs w:val="24"/>
        </w:rPr>
        <w:t>15-nonatriaco</w:t>
      </w:r>
      <w:r>
        <w:rPr>
          <w:i/>
          <w:sz w:val="24"/>
          <w:szCs w:val="24"/>
        </w:rPr>
        <w:t>nt</w:t>
      </w:r>
      <w:r w:rsidRPr="00394E6C">
        <w:rPr>
          <w:i/>
          <w:sz w:val="24"/>
          <w:szCs w:val="24"/>
        </w:rPr>
        <w:t>ene</w:t>
      </w:r>
    </w:p>
    <w:p w:rsidR="008130CC" w:rsidRPr="00F577D4" w:rsidRDefault="008130CC" w:rsidP="008130CC">
      <w:pPr>
        <w:spacing w:after="0" w:line="360" w:lineRule="auto"/>
        <w:rPr>
          <w:lang w:val="en-US"/>
        </w:rPr>
      </w:pPr>
    </w:p>
    <w:p w:rsidR="008130CC" w:rsidRPr="005421B4" w:rsidRDefault="008130CC" w:rsidP="008130CC">
      <w:pPr>
        <w:spacing w:after="0" w:line="360" w:lineRule="auto"/>
        <w:jc w:val="both"/>
        <w:rPr>
          <w:sz w:val="24"/>
          <w:szCs w:val="24"/>
        </w:rPr>
      </w:pPr>
      <w:r w:rsidRPr="005421B4">
        <w:rPr>
          <w:sz w:val="24"/>
          <w:szCs w:val="24"/>
        </w:rPr>
        <w:t xml:space="preserve">Pyridinium dichromate (1.88 g, 7 mmol) and powdered 4 </w:t>
      </w:r>
      <w:proofErr w:type="spellStart"/>
      <w:r w:rsidRPr="005421B4">
        <w:rPr>
          <w:sz w:val="24"/>
          <w:szCs w:val="24"/>
        </w:rPr>
        <w:t>Ångstrom</w:t>
      </w:r>
      <w:proofErr w:type="spellEnd"/>
      <w:r w:rsidRPr="005421B4">
        <w:rPr>
          <w:sz w:val="24"/>
          <w:szCs w:val="24"/>
        </w:rPr>
        <w:t xml:space="preserve"> molecular sieve were ground together with a mortar and pestle, then added in one portion to a methylene chloride solution of a mixture of </w:t>
      </w:r>
      <w:proofErr w:type="spellStart"/>
      <w:r w:rsidRPr="005421B4">
        <w:rPr>
          <w:sz w:val="24"/>
          <w:szCs w:val="24"/>
        </w:rPr>
        <w:t>octadecanol</w:t>
      </w:r>
      <w:proofErr w:type="spellEnd"/>
      <w:r w:rsidRPr="005421B4">
        <w:rPr>
          <w:sz w:val="24"/>
          <w:szCs w:val="24"/>
        </w:rPr>
        <w:t xml:space="preserve"> (0.280 g, 1 mmol), </w:t>
      </w:r>
      <w:proofErr w:type="spellStart"/>
      <w:r w:rsidRPr="005421B4">
        <w:rPr>
          <w:sz w:val="24"/>
          <w:szCs w:val="24"/>
        </w:rPr>
        <w:t>eicosanol</w:t>
      </w:r>
      <w:proofErr w:type="spellEnd"/>
      <w:r w:rsidRPr="005421B4">
        <w:rPr>
          <w:sz w:val="24"/>
          <w:szCs w:val="24"/>
        </w:rPr>
        <w:t xml:space="preserve"> (0.290 g, 0.97 mmol), </w:t>
      </w:r>
      <w:proofErr w:type="spellStart"/>
      <w:r w:rsidRPr="005421B4">
        <w:rPr>
          <w:sz w:val="24"/>
          <w:szCs w:val="24"/>
        </w:rPr>
        <w:t>docosanol</w:t>
      </w:r>
      <w:proofErr w:type="spellEnd"/>
      <w:r w:rsidRPr="005421B4">
        <w:rPr>
          <w:sz w:val="24"/>
          <w:szCs w:val="24"/>
        </w:rPr>
        <w:t xml:space="preserve"> (0.295 g, 0.91 mmol), and </w:t>
      </w:r>
      <w:proofErr w:type="spellStart"/>
      <w:r w:rsidRPr="005421B4">
        <w:rPr>
          <w:sz w:val="24"/>
          <w:szCs w:val="24"/>
        </w:rPr>
        <w:t>tetracosanol</w:t>
      </w:r>
      <w:proofErr w:type="spellEnd"/>
      <w:r w:rsidRPr="005421B4">
        <w:rPr>
          <w:sz w:val="24"/>
          <w:szCs w:val="24"/>
        </w:rPr>
        <w:t xml:space="preserve"> (0.225 g, 0.63 mmol).  The mixture was stirred two hours, then diluted with 150 ml hexane, and filtered through a plug of activated charcoal layered over </w:t>
      </w:r>
      <w:proofErr w:type="spellStart"/>
      <w:r w:rsidRPr="005421B4">
        <w:rPr>
          <w:sz w:val="24"/>
          <w:szCs w:val="24"/>
        </w:rPr>
        <w:t>celite</w:t>
      </w:r>
      <w:proofErr w:type="spellEnd"/>
      <w:r w:rsidRPr="005421B4">
        <w:rPr>
          <w:sz w:val="24"/>
          <w:szCs w:val="24"/>
        </w:rPr>
        <w:t xml:space="preserve"> filtering aid, rinsing with 50 ml 3:1 hexane in methylene chloride.  The solution was concentrated, and the residue was purified by flash chromatography on silica gel, eluting with 5% ethyl acetate in hexane. The resulting white solid was taken up in ~ 10 ml dry tetrahydrofuran and used immediately in the next step.</w:t>
      </w:r>
    </w:p>
    <w:p w:rsidR="008130CC" w:rsidRPr="00237B0D" w:rsidRDefault="008130CC" w:rsidP="008130CC">
      <w:pPr>
        <w:spacing w:after="0" w:line="360" w:lineRule="auto"/>
        <w:jc w:val="both"/>
        <w:rPr>
          <w:sz w:val="24"/>
          <w:szCs w:val="24"/>
        </w:rPr>
      </w:pPr>
    </w:p>
    <w:p w:rsidR="008130CC" w:rsidRDefault="008130CC" w:rsidP="008130CC">
      <w:pPr>
        <w:spacing w:after="0" w:line="360" w:lineRule="auto"/>
        <w:jc w:val="both"/>
        <w:rPr>
          <w:sz w:val="24"/>
          <w:szCs w:val="24"/>
        </w:rPr>
      </w:pPr>
      <w:r w:rsidRPr="00237B0D">
        <w:rPr>
          <w:sz w:val="24"/>
          <w:szCs w:val="24"/>
        </w:rPr>
        <w:t xml:space="preserve">A solution of </w:t>
      </w:r>
      <w:proofErr w:type="spellStart"/>
      <w:r w:rsidRPr="00237B0D">
        <w:rPr>
          <w:sz w:val="24"/>
          <w:szCs w:val="24"/>
        </w:rPr>
        <w:t>pentadecyltriphenylphosphonium</w:t>
      </w:r>
      <w:proofErr w:type="spellEnd"/>
      <w:r w:rsidRPr="00237B0D">
        <w:rPr>
          <w:sz w:val="24"/>
          <w:szCs w:val="24"/>
        </w:rPr>
        <w:t xml:space="preserve"> bromide (3.87 g, 7 mmol) in 50 ml dry THF under argon was cooled to -15</w:t>
      </w:r>
      <w:r>
        <w:rPr>
          <w:sz w:val="24"/>
          <w:szCs w:val="24"/>
        </w:rPr>
        <w:t>°</w:t>
      </w:r>
      <w:r w:rsidRPr="00237B0D">
        <w:rPr>
          <w:sz w:val="24"/>
          <w:szCs w:val="24"/>
        </w:rPr>
        <w:t xml:space="preserve">C in an ice-salt bath, and sodium </w:t>
      </w:r>
      <w:proofErr w:type="spellStart"/>
      <w:r w:rsidRPr="00237B0D">
        <w:rPr>
          <w:sz w:val="24"/>
          <w:szCs w:val="24"/>
        </w:rPr>
        <w:t>hexamethyldilazide</w:t>
      </w:r>
      <w:proofErr w:type="spellEnd"/>
      <w:r w:rsidRPr="00237B0D">
        <w:rPr>
          <w:sz w:val="24"/>
          <w:szCs w:val="24"/>
        </w:rPr>
        <w:t xml:space="preserve"> (2.5 M in THF) was added dropwise until the solution maintained a pale orange-yellow colo</w:t>
      </w:r>
      <w:r>
        <w:rPr>
          <w:sz w:val="24"/>
          <w:szCs w:val="24"/>
        </w:rPr>
        <w:t>u</w:t>
      </w:r>
      <w:r w:rsidRPr="00237B0D">
        <w:rPr>
          <w:sz w:val="24"/>
          <w:szCs w:val="24"/>
        </w:rPr>
        <w:t xml:space="preserve">r, followed by the dropwise addition of a further 3.5 ml (7 mmol) of the sodium </w:t>
      </w:r>
      <w:proofErr w:type="spellStart"/>
      <w:r w:rsidRPr="00237B0D">
        <w:rPr>
          <w:sz w:val="24"/>
          <w:szCs w:val="24"/>
        </w:rPr>
        <w:t>hexamethyldilazide</w:t>
      </w:r>
      <w:proofErr w:type="spellEnd"/>
      <w:r w:rsidRPr="00237B0D">
        <w:rPr>
          <w:sz w:val="24"/>
          <w:szCs w:val="24"/>
        </w:rPr>
        <w:t xml:space="preserve"> solution.  The resulting solution was stirred for </w:t>
      </w:r>
      <w:r>
        <w:rPr>
          <w:sz w:val="24"/>
          <w:szCs w:val="24"/>
        </w:rPr>
        <w:t>one</w:t>
      </w:r>
      <w:r w:rsidRPr="00237B0D">
        <w:rPr>
          <w:sz w:val="24"/>
          <w:szCs w:val="24"/>
        </w:rPr>
        <w:t xml:space="preserve"> hour at -15</w:t>
      </w:r>
      <w:r>
        <w:rPr>
          <w:sz w:val="24"/>
          <w:szCs w:val="24"/>
        </w:rPr>
        <w:t>°</w:t>
      </w:r>
      <w:r w:rsidRPr="00237B0D">
        <w:rPr>
          <w:sz w:val="24"/>
          <w:szCs w:val="24"/>
        </w:rPr>
        <w:t xml:space="preserve">C, </w:t>
      </w:r>
      <w:r w:rsidRPr="001D2C18">
        <w:rPr>
          <w:sz w:val="24"/>
          <w:szCs w:val="24"/>
        </w:rPr>
        <w:t>then the tetrahydrofuran solution</w:t>
      </w:r>
      <w:r w:rsidRPr="00237B0D" w:rsidDel="00F577D4">
        <w:rPr>
          <w:sz w:val="24"/>
          <w:szCs w:val="24"/>
        </w:rPr>
        <w:t xml:space="preserve"> </w:t>
      </w:r>
      <w:r w:rsidRPr="00237B0D">
        <w:rPr>
          <w:sz w:val="24"/>
          <w:szCs w:val="24"/>
        </w:rPr>
        <w:t xml:space="preserve">of </w:t>
      </w:r>
      <w:proofErr w:type="spellStart"/>
      <w:r w:rsidRPr="00237B0D">
        <w:rPr>
          <w:sz w:val="24"/>
          <w:szCs w:val="24"/>
        </w:rPr>
        <w:t>octadecanal</w:t>
      </w:r>
      <w:proofErr w:type="spellEnd"/>
      <w:r w:rsidRPr="00237B0D">
        <w:rPr>
          <w:sz w:val="24"/>
          <w:szCs w:val="24"/>
        </w:rPr>
        <w:t xml:space="preserve">, </w:t>
      </w:r>
      <w:proofErr w:type="spellStart"/>
      <w:r w:rsidRPr="00237B0D">
        <w:rPr>
          <w:sz w:val="24"/>
          <w:szCs w:val="24"/>
        </w:rPr>
        <w:t>eicosanal</w:t>
      </w:r>
      <w:proofErr w:type="spellEnd"/>
      <w:r w:rsidRPr="00237B0D">
        <w:rPr>
          <w:sz w:val="24"/>
          <w:szCs w:val="24"/>
        </w:rPr>
        <w:t xml:space="preserve">, </w:t>
      </w:r>
      <w:proofErr w:type="spellStart"/>
      <w:r w:rsidRPr="00237B0D">
        <w:rPr>
          <w:sz w:val="24"/>
          <w:szCs w:val="24"/>
        </w:rPr>
        <w:t>docosanal</w:t>
      </w:r>
      <w:proofErr w:type="spellEnd"/>
      <w:r w:rsidRPr="00237B0D">
        <w:rPr>
          <w:sz w:val="24"/>
          <w:szCs w:val="24"/>
        </w:rPr>
        <w:t xml:space="preserve">, and </w:t>
      </w:r>
      <w:proofErr w:type="spellStart"/>
      <w:r w:rsidRPr="00237B0D">
        <w:rPr>
          <w:sz w:val="24"/>
          <w:szCs w:val="24"/>
        </w:rPr>
        <w:t>tetracosanal</w:t>
      </w:r>
      <w:proofErr w:type="spellEnd"/>
      <w:r w:rsidRPr="00237B0D">
        <w:rPr>
          <w:sz w:val="24"/>
          <w:szCs w:val="24"/>
        </w:rPr>
        <w:t xml:space="preserve"> in 10 ml THF was added by syringe pump over 30 min. The resulting mixture </w:t>
      </w:r>
      <w:proofErr w:type="gramStart"/>
      <w:r w:rsidRPr="00237B0D">
        <w:rPr>
          <w:sz w:val="24"/>
          <w:szCs w:val="24"/>
        </w:rPr>
        <w:t>was allowed to</w:t>
      </w:r>
      <w:proofErr w:type="gramEnd"/>
      <w:r w:rsidRPr="00237B0D">
        <w:rPr>
          <w:sz w:val="24"/>
          <w:szCs w:val="24"/>
        </w:rPr>
        <w:t xml:space="preserve"> warm slowly to room temperature overnight, then quenched with dilute aqueous NH</w:t>
      </w:r>
      <w:r w:rsidRPr="00237B0D">
        <w:rPr>
          <w:sz w:val="24"/>
          <w:szCs w:val="24"/>
          <w:vertAlign w:val="subscript"/>
        </w:rPr>
        <w:t>4</w:t>
      </w:r>
      <w:r w:rsidRPr="00237B0D">
        <w:rPr>
          <w:sz w:val="24"/>
          <w:szCs w:val="24"/>
        </w:rPr>
        <w:t>Cl and extracted with hexane. The organic layer was washed with water and brine, dried over Na</w:t>
      </w:r>
      <w:r w:rsidRPr="00237B0D">
        <w:rPr>
          <w:sz w:val="24"/>
          <w:szCs w:val="24"/>
          <w:vertAlign w:val="subscript"/>
        </w:rPr>
        <w:t>2</w:t>
      </w:r>
      <w:r w:rsidRPr="00237B0D">
        <w:rPr>
          <w:sz w:val="24"/>
          <w:szCs w:val="24"/>
        </w:rPr>
        <w:t>SO</w:t>
      </w:r>
      <w:r w:rsidRPr="00237B0D">
        <w:rPr>
          <w:sz w:val="24"/>
          <w:szCs w:val="24"/>
          <w:vertAlign w:val="subscript"/>
        </w:rPr>
        <w:t>4</w:t>
      </w:r>
      <w:r w:rsidRPr="00237B0D">
        <w:rPr>
          <w:sz w:val="24"/>
          <w:szCs w:val="24"/>
        </w:rPr>
        <w:t xml:space="preserve"> and concentrated. The residue was triturated with hexane, and the soluble portion was purified by flash chromatography on silica gel, eluting with hexane. The fractions containing alkenes were combined, yielding the alkenes as a viscous oil, in proportions</w:t>
      </w:r>
      <w:r>
        <w:rPr>
          <w:sz w:val="24"/>
          <w:szCs w:val="24"/>
        </w:rPr>
        <w:t xml:space="preserve"> equal to those found in the extracts</w:t>
      </w:r>
      <w:r w:rsidRPr="00237B0D">
        <w:rPr>
          <w:sz w:val="24"/>
          <w:szCs w:val="24"/>
        </w:rPr>
        <w:t>.</w:t>
      </w:r>
    </w:p>
    <w:p w:rsidR="008130CC" w:rsidRDefault="008130CC" w:rsidP="008130CC">
      <w:pPr>
        <w:spacing w:line="360" w:lineRule="auto"/>
        <w:rPr>
          <w:b/>
        </w:rPr>
      </w:pPr>
    </w:p>
    <w:p w:rsidR="008130CC" w:rsidRDefault="008130CC" w:rsidP="008130CC">
      <w:pPr>
        <w:spacing w:line="360" w:lineRule="auto"/>
        <w:rPr>
          <w:b/>
        </w:rPr>
      </w:pPr>
    </w:p>
    <w:p w:rsidR="008130CC" w:rsidRDefault="008130CC" w:rsidP="008130CC">
      <w:pPr>
        <w:spacing w:line="360" w:lineRule="auto"/>
        <w:rPr>
          <w:b/>
        </w:rPr>
      </w:pPr>
    </w:p>
    <w:p w:rsidR="008130CC" w:rsidRDefault="008130CC" w:rsidP="008130CC">
      <w:pPr>
        <w:spacing w:line="360" w:lineRule="auto"/>
        <w:rPr>
          <w:b/>
        </w:rPr>
      </w:pPr>
    </w:p>
    <w:p w:rsidR="008130CC" w:rsidRDefault="008130CC" w:rsidP="008130CC">
      <w:pPr>
        <w:spacing w:line="360" w:lineRule="auto"/>
        <w:rPr>
          <w:b/>
        </w:rPr>
      </w:pPr>
    </w:p>
    <w:p w:rsidR="008130CC" w:rsidRDefault="008130CC" w:rsidP="008130CC">
      <w:pPr>
        <w:spacing w:line="360" w:lineRule="auto"/>
        <w:rPr>
          <w:b/>
          <w:sz w:val="28"/>
        </w:rPr>
      </w:pPr>
    </w:p>
    <w:p w:rsidR="008130CC" w:rsidRPr="00716335" w:rsidRDefault="008130CC" w:rsidP="008130CC">
      <w:pPr>
        <w:spacing w:line="360" w:lineRule="auto"/>
        <w:rPr>
          <w:b/>
          <w:sz w:val="28"/>
        </w:rPr>
      </w:pPr>
      <w:r w:rsidRPr="00716335">
        <w:rPr>
          <w:b/>
          <w:sz w:val="28"/>
        </w:rPr>
        <w:lastRenderedPageBreak/>
        <w:t>SUPPLEMENTAL FIGURES</w:t>
      </w:r>
    </w:p>
    <w:p w:rsidR="008130CC" w:rsidRDefault="008130CC" w:rsidP="008130CC">
      <w:pPr>
        <w:spacing w:line="360" w:lineRule="auto"/>
        <w:rPr>
          <w:b/>
        </w:rPr>
      </w:pPr>
      <w:r>
        <w:rPr>
          <w:b/>
        </w:rPr>
        <w:t xml:space="preserve"> </w:t>
      </w:r>
      <w:r w:rsidRPr="00955DD9">
        <w:rPr>
          <w:noProof/>
          <w:lang w:eastAsia="en-GB"/>
        </w:rPr>
        <w:drawing>
          <wp:inline distT="0" distB="0" distL="0" distR="0" wp14:anchorId="2F5849D9" wp14:editId="6915DB0D">
            <wp:extent cx="5760720" cy="470752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707527"/>
                    </a:xfrm>
                    <a:prstGeom prst="rect">
                      <a:avLst/>
                    </a:prstGeom>
                    <a:noFill/>
                    <a:ln>
                      <a:noFill/>
                    </a:ln>
                  </pic:spPr>
                </pic:pic>
              </a:graphicData>
            </a:graphic>
          </wp:inline>
        </w:drawing>
      </w:r>
    </w:p>
    <w:p w:rsidR="008130CC" w:rsidRDefault="008130CC" w:rsidP="008130CC">
      <w:pPr>
        <w:spacing w:line="360" w:lineRule="auto"/>
        <w:jc w:val="both"/>
        <w:rPr>
          <w:b/>
        </w:rPr>
      </w:pPr>
      <w:r>
        <w:rPr>
          <w:b/>
        </w:rPr>
        <w:t xml:space="preserve">Fig. S1. </w:t>
      </w:r>
      <w:r w:rsidRPr="00551588">
        <w:t xml:space="preserve">Relative peak areas observed </w:t>
      </w:r>
      <w:r>
        <w:t xml:space="preserve">in workers (W), egg-laying queens (Q) and virgin queens (VQ) </w:t>
      </w:r>
      <w:r w:rsidRPr="00551588">
        <w:t>for the putative queen pheromones that we shortlisted from the GC</w:t>
      </w:r>
      <w:r>
        <w:t>-</w:t>
      </w:r>
      <w:r w:rsidRPr="00551588">
        <w:t>MS analysis of total cuticular</w:t>
      </w:r>
      <w:r>
        <w:t xml:space="preserve"> extracts (</w:t>
      </w:r>
      <w:r w:rsidRPr="0071162F">
        <w:rPr>
          <w:i/>
        </w:rPr>
        <w:t>cf</w:t>
      </w:r>
      <w:r>
        <w:t>. Fig. 1 &amp; Table 1). Columns and whiskers show the expected marginal means and 95% confidence intervals of robust linear models fit on log</w:t>
      </w:r>
      <w:r w:rsidRPr="002769EA">
        <w:rPr>
          <w:vertAlign w:val="subscript"/>
        </w:rPr>
        <w:t>10</w:t>
      </w:r>
      <w:r>
        <w:t xml:space="preserve"> transformed relative peak areas. Asterisks indicate significance following </w:t>
      </w:r>
      <w:r w:rsidRPr="00610209">
        <w:rPr>
          <w:i/>
        </w:rPr>
        <w:t>FDR</w:t>
      </w:r>
      <w:r>
        <w:t xml:space="preserve"> correction for multiple testing across the tests performed for all compounds (Y axis is shown on a square root scale). All compounds were significantly (</w:t>
      </w:r>
      <w:r w:rsidRPr="00551588">
        <w:rPr>
          <w:i/>
        </w:rPr>
        <w:t>p</w:t>
      </w:r>
      <w:r>
        <w:t xml:space="preserve"> &lt; 0.001) more abundant on the cuticle of egg-laying queens compared to that of workers or virgin, non-egg-laying queens.</w:t>
      </w:r>
    </w:p>
    <w:p w:rsidR="008130CC" w:rsidRDefault="008130CC" w:rsidP="008130CC">
      <w:pPr>
        <w:spacing w:line="360" w:lineRule="auto"/>
        <w:rPr>
          <w:b/>
        </w:rPr>
        <w:sectPr w:rsidR="008130CC" w:rsidSect="00C97339">
          <w:footerReference w:type="default" r:id="rId8"/>
          <w:pgSz w:w="11906" w:h="16838"/>
          <w:pgMar w:top="1418" w:right="1418" w:bottom="1418" w:left="1418" w:header="709" w:footer="709" w:gutter="0"/>
          <w:cols w:space="708"/>
          <w:docGrid w:linePitch="360"/>
        </w:sectPr>
      </w:pPr>
    </w:p>
    <w:p w:rsidR="008130CC" w:rsidRPr="00716335" w:rsidRDefault="008130CC" w:rsidP="008130CC">
      <w:pPr>
        <w:spacing w:line="360" w:lineRule="auto"/>
        <w:rPr>
          <w:b/>
          <w:sz w:val="28"/>
        </w:rPr>
      </w:pPr>
      <w:r>
        <w:rPr>
          <w:b/>
          <w:sz w:val="28"/>
        </w:rPr>
        <w:lastRenderedPageBreak/>
        <w:t>SUPPLEMENTAL TABLES</w:t>
      </w:r>
    </w:p>
    <w:p w:rsidR="008130CC" w:rsidRPr="00277091" w:rsidRDefault="008130CC" w:rsidP="008130CC">
      <w:pPr>
        <w:spacing w:line="360" w:lineRule="auto"/>
      </w:pPr>
      <w:r>
        <w:rPr>
          <w:b/>
        </w:rPr>
        <w:t xml:space="preserve">Table S1. </w:t>
      </w:r>
      <w:r>
        <w:t xml:space="preserve">Cuticular compounds present on workers, virgin queens and egg-laying queens. The compounds are clustered per reproductive class (see also heatmap Fig. 1).  Identifications were done based on chemical profiles obtained from 20 workers, 18 virgin queens and eleven egg-laying queens. The Cohen’s </w:t>
      </w:r>
      <w:r>
        <w:rPr>
          <w:i/>
        </w:rPr>
        <w:t>d</w:t>
      </w:r>
      <w:r>
        <w:t xml:space="preserve"> effect size of each comparison between classes is given for every compound. Additionally, the relative peak areas of each compound were compared between reproductive classes using a robust linear model with </w:t>
      </w:r>
      <w:r>
        <w:rPr>
          <w:i/>
        </w:rPr>
        <w:t>p</w:t>
      </w:r>
      <w:r>
        <w:t xml:space="preserve">-values </w:t>
      </w:r>
      <w:r w:rsidRPr="0071162F">
        <w:rPr>
          <w:i/>
        </w:rPr>
        <w:t>FDR</w:t>
      </w:r>
      <w:r>
        <w:t xml:space="preserve"> corrected for multiple testing. Significances are indicated by asterisks.</w:t>
      </w:r>
    </w:p>
    <w:tbl>
      <w:tblPr>
        <w:tblW w:w="16869" w:type="dxa"/>
        <w:tblInd w:w="70" w:type="dxa"/>
        <w:tblLayout w:type="fixed"/>
        <w:tblCellMar>
          <w:left w:w="70" w:type="dxa"/>
          <w:right w:w="70" w:type="dxa"/>
        </w:tblCellMar>
        <w:tblLook w:val="04A0" w:firstRow="1" w:lastRow="0" w:firstColumn="1" w:lastColumn="0" w:noHBand="0" w:noVBand="1"/>
      </w:tblPr>
      <w:tblGrid>
        <w:gridCol w:w="2765"/>
        <w:gridCol w:w="1985"/>
        <w:gridCol w:w="1276"/>
        <w:gridCol w:w="889"/>
        <w:gridCol w:w="847"/>
        <w:gridCol w:w="846"/>
        <w:gridCol w:w="847"/>
        <w:gridCol w:w="816"/>
        <w:gridCol w:w="816"/>
        <w:gridCol w:w="816"/>
        <w:gridCol w:w="816"/>
        <w:gridCol w:w="816"/>
        <w:gridCol w:w="816"/>
        <w:gridCol w:w="816"/>
        <w:gridCol w:w="816"/>
        <w:gridCol w:w="816"/>
        <w:gridCol w:w="70"/>
      </w:tblGrid>
      <w:tr w:rsidR="008130CC" w:rsidRPr="007974E5" w:rsidTr="006D3A63">
        <w:trPr>
          <w:trHeight w:val="630"/>
        </w:trPr>
        <w:tc>
          <w:tcPr>
            <w:tcW w:w="2765" w:type="dxa"/>
            <w:tcBorders>
              <w:top w:val="single" w:sz="4" w:space="0" w:color="auto"/>
              <w:left w:val="nil"/>
              <w:bottom w:val="single" w:sz="4" w:space="0" w:color="auto"/>
              <w:right w:val="nil"/>
            </w:tcBorders>
            <w:shd w:val="clear" w:color="auto" w:fill="auto"/>
            <w:vAlign w:val="bottom"/>
            <w:hideMark/>
          </w:tcPr>
          <w:p w:rsidR="008130CC" w:rsidRPr="007974E5" w:rsidRDefault="008130CC" w:rsidP="006D3A63">
            <w:pPr>
              <w:spacing w:line="360" w:lineRule="auto"/>
              <w:rPr>
                <w:rFonts w:ascii="Calibri" w:hAnsi="Calibri" w:cs="Calibri"/>
                <w:b/>
                <w:bCs/>
                <w:color w:val="000000"/>
                <w:sz w:val="16"/>
                <w:lang w:val="nl-BE"/>
              </w:rPr>
            </w:pPr>
            <w:r w:rsidRPr="007974E5">
              <w:rPr>
                <w:rFonts w:ascii="Calibri" w:hAnsi="Calibri" w:cs="Calibri"/>
                <w:b/>
                <w:bCs/>
                <w:color w:val="000000"/>
                <w:sz w:val="16"/>
              </w:rPr>
              <w:t>Compound</w:t>
            </w:r>
            <w:r w:rsidRPr="007974E5">
              <w:rPr>
                <w:rFonts w:ascii="Calibri" w:hAnsi="Calibri" w:cs="Calibri"/>
                <w:b/>
                <w:bCs/>
                <w:color w:val="000000"/>
                <w:sz w:val="16"/>
              </w:rPr>
              <w:br/>
              <w:t>name</w:t>
            </w:r>
          </w:p>
        </w:tc>
        <w:tc>
          <w:tcPr>
            <w:tcW w:w="1985" w:type="dxa"/>
            <w:tcBorders>
              <w:top w:val="single" w:sz="4" w:space="0" w:color="auto"/>
              <w:left w:val="nil"/>
              <w:bottom w:val="single" w:sz="4" w:space="0" w:color="auto"/>
              <w:right w:val="nil"/>
            </w:tcBorders>
            <w:shd w:val="clear" w:color="auto" w:fill="auto"/>
            <w:vAlign w:val="bottom"/>
            <w:hideMark/>
          </w:tcPr>
          <w:p w:rsidR="008130CC" w:rsidRPr="007974E5" w:rsidRDefault="008130CC" w:rsidP="006D3A63">
            <w:pPr>
              <w:spacing w:line="360" w:lineRule="auto"/>
              <w:rPr>
                <w:rFonts w:ascii="Calibri" w:hAnsi="Calibri" w:cs="Calibri"/>
                <w:b/>
                <w:bCs/>
                <w:color w:val="000000"/>
                <w:sz w:val="16"/>
              </w:rPr>
            </w:pPr>
            <w:r w:rsidRPr="007974E5">
              <w:rPr>
                <w:rFonts w:ascii="Calibri" w:hAnsi="Calibri" w:cs="Calibri"/>
                <w:b/>
                <w:bCs/>
                <w:color w:val="000000"/>
                <w:sz w:val="16"/>
              </w:rPr>
              <w:t xml:space="preserve">Compound </w:t>
            </w:r>
            <w:r w:rsidRPr="007974E5">
              <w:rPr>
                <w:rFonts w:ascii="Calibri" w:hAnsi="Calibri" w:cs="Calibri"/>
                <w:b/>
                <w:bCs/>
                <w:color w:val="000000"/>
                <w:sz w:val="16"/>
              </w:rPr>
              <w:br/>
              <w:t>cluster</w:t>
            </w:r>
          </w:p>
        </w:tc>
        <w:tc>
          <w:tcPr>
            <w:tcW w:w="1276" w:type="dxa"/>
            <w:tcBorders>
              <w:top w:val="single" w:sz="4" w:space="0" w:color="auto"/>
              <w:left w:val="nil"/>
              <w:bottom w:val="single" w:sz="4" w:space="0" w:color="auto"/>
              <w:right w:val="nil"/>
            </w:tcBorders>
            <w:shd w:val="clear" w:color="auto" w:fill="auto"/>
            <w:vAlign w:val="bottom"/>
            <w:hideMark/>
          </w:tcPr>
          <w:p w:rsidR="008130CC" w:rsidRPr="007974E5" w:rsidRDefault="008130CC" w:rsidP="006D3A63">
            <w:pPr>
              <w:spacing w:line="360" w:lineRule="auto"/>
              <w:rPr>
                <w:rFonts w:ascii="Calibri" w:hAnsi="Calibri" w:cs="Calibri"/>
                <w:b/>
                <w:bCs/>
                <w:color w:val="000000"/>
                <w:sz w:val="16"/>
              </w:rPr>
            </w:pPr>
            <w:r w:rsidRPr="007974E5">
              <w:rPr>
                <w:rFonts w:ascii="Calibri" w:hAnsi="Calibri" w:cs="Calibri"/>
                <w:b/>
                <w:bCs/>
                <w:color w:val="000000"/>
                <w:sz w:val="16"/>
              </w:rPr>
              <w:t>Compound</w:t>
            </w:r>
            <w:r w:rsidRPr="007974E5">
              <w:rPr>
                <w:rFonts w:ascii="Calibri" w:hAnsi="Calibri" w:cs="Calibri"/>
                <w:b/>
                <w:bCs/>
                <w:color w:val="000000"/>
                <w:sz w:val="16"/>
              </w:rPr>
              <w:br/>
              <w:t>class</w:t>
            </w:r>
          </w:p>
        </w:tc>
        <w:tc>
          <w:tcPr>
            <w:tcW w:w="889" w:type="dxa"/>
            <w:tcBorders>
              <w:top w:val="single" w:sz="4" w:space="0" w:color="auto"/>
              <w:left w:val="nil"/>
              <w:bottom w:val="single" w:sz="4" w:space="0" w:color="auto"/>
              <w:right w:val="nil"/>
            </w:tcBorders>
            <w:shd w:val="clear" w:color="auto" w:fill="auto"/>
            <w:vAlign w:val="bottom"/>
            <w:hideMark/>
          </w:tcPr>
          <w:p w:rsidR="008130CC" w:rsidRPr="007974E5" w:rsidRDefault="008130CC" w:rsidP="006D3A63">
            <w:pPr>
              <w:spacing w:line="360" w:lineRule="auto"/>
              <w:rPr>
                <w:rFonts w:ascii="Calibri" w:hAnsi="Calibri" w:cs="Calibri"/>
                <w:b/>
                <w:bCs/>
                <w:color w:val="000000"/>
                <w:sz w:val="16"/>
              </w:rPr>
            </w:pPr>
            <w:r w:rsidRPr="007974E5">
              <w:rPr>
                <w:rFonts w:ascii="Calibri" w:hAnsi="Calibri" w:cs="Calibri"/>
                <w:b/>
                <w:bCs/>
                <w:color w:val="000000"/>
                <w:sz w:val="16"/>
              </w:rPr>
              <w:t>Retention</w:t>
            </w:r>
            <w:r w:rsidRPr="007974E5">
              <w:rPr>
                <w:rFonts w:ascii="Calibri" w:hAnsi="Calibri" w:cs="Calibri"/>
                <w:b/>
                <w:bCs/>
                <w:color w:val="000000"/>
                <w:sz w:val="16"/>
              </w:rPr>
              <w:br/>
              <w:t>index</w:t>
            </w:r>
          </w:p>
        </w:tc>
        <w:tc>
          <w:tcPr>
            <w:tcW w:w="847" w:type="dxa"/>
            <w:tcBorders>
              <w:top w:val="single" w:sz="4" w:space="0" w:color="auto"/>
              <w:left w:val="nil"/>
              <w:bottom w:val="single" w:sz="4" w:space="0" w:color="auto"/>
              <w:right w:val="nil"/>
            </w:tcBorders>
            <w:shd w:val="clear" w:color="auto" w:fill="auto"/>
            <w:vAlign w:val="bottom"/>
            <w:hideMark/>
          </w:tcPr>
          <w:p w:rsidR="008130CC" w:rsidRPr="007974E5" w:rsidRDefault="008130CC" w:rsidP="006D3A63">
            <w:pPr>
              <w:spacing w:line="360" w:lineRule="auto"/>
              <w:jc w:val="center"/>
              <w:rPr>
                <w:rFonts w:ascii="Calibri" w:hAnsi="Calibri" w:cs="Calibri"/>
                <w:b/>
                <w:bCs/>
                <w:color w:val="000000"/>
                <w:sz w:val="16"/>
              </w:rPr>
            </w:pPr>
            <w:r w:rsidRPr="007974E5">
              <w:rPr>
                <w:rFonts w:ascii="Calibri" w:hAnsi="Calibri" w:cs="Calibri"/>
                <w:b/>
                <w:bCs/>
                <w:color w:val="000000"/>
                <w:sz w:val="16"/>
              </w:rPr>
              <w:t xml:space="preserve">Cohens </w:t>
            </w:r>
            <w:r w:rsidRPr="007974E5">
              <w:rPr>
                <w:rFonts w:ascii="Calibri" w:hAnsi="Calibri" w:cs="Calibri"/>
                <w:b/>
                <w:bCs/>
                <w:i/>
                <w:iCs/>
                <w:color w:val="000000"/>
                <w:sz w:val="16"/>
              </w:rPr>
              <w:t>d</w:t>
            </w:r>
            <w:r w:rsidRPr="007974E5">
              <w:rPr>
                <w:rFonts w:ascii="Calibri" w:hAnsi="Calibri" w:cs="Calibri"/>
                <w:b/>
                <w:bCs/>
                <w:color w:val="000000"/>
                <w:sz w:val="16"/>
              </w:rPr>
              <w:br/>
              <w:t>Q vs. W</w:t>
            </w:r>
          </w:p>
        </w:tc>
        <w:tc>
          <w:tcPr>
            <w:tcW w:w="846" w:type="dxa"/>
            <w:tcBorders>
              <w:top w:val="single" w:sz="4" w:space="0" w:color="auto"/>
              <w:left w:val="nil"/>
              <w:bottom w:val="single" w:sz="4" w:space="0" w:color="auto"/>
              <w:right w:val="nil"/>
            </w:tcBorders>
            <w:shd w:val="clear" w:color="auto" w:fill="auto"/>
            <w:vAlign w:val="bottom"/>
            <w:hideMark/>
          </w:tcPr>
          <w:p w:rsidR="008130CC" w:rsidRPr="007974E5" w:rsidRDefault="008130CC" w:rsidP="006D3A63">
            <w:pPr>
              <w:spacing w:line="360" w:lineRule="auto"/>
              <w:jc w:val="center"/>
              <w:rPr>
                <w:rFonts w:ascii="Calibri" w:hAnsi="Calibri" w:cs="Calibri"/>
                <w:b/>
                <w:bCs/>
                <w:color w:val="000000"/>
                <w:sz w:val="16"/>
              </w:rPr>
            </w:pPr>
            <w:r w:rsidRPr="007974E5">
              <w:rPr>
                <w:rFonts w:ascii="Calibri" w:hAnsi="Calibri" w:cs="Calibri"/>
                <w:b/>
                <w:bCs/>
                <w:color w:val="000000"/>
                <w:sz w:val="16"/>
              </w:rPr>
              <w:t xml:space="preserve">Cohens </w:t>
            </w:r>
            <w:r w:rsidRPr="007974E5">
              <w:rPr>
                <w:rFonts w:ascii="Calibri" w:hAnsi="Calibri" w:cs="Calibri"/>
                <w:b/>
                <w:bCs/>
                <w:i/>
                <w:iCs/>
                <w:color w:val="000000"/>
                <w:sz w:val="16"/>
              </w:rPr>
              <w:t>d</w:t>
            </w:r>
            <w:r w:rsidRPr="007974E5">
              <w:rPr>
                <w:rFonts w:ascii="Calibri" w:hAnsi="Calibri" w:cs="Calibri"/>
                <w:b/>
                <w:bCs/>
                <w:i/>
                <w:iCs/>
                <w:color w:val="000000"/>
                <w:sz w:val="16"/>
              </w:rPr>
              <w:br/>
            </w:r>
            <w:r w:rsidRPr="007974E5">
              <w:rPr>
                <w:rFonts w:ascii="Calibri" w:hAnsi="Calibri" w:cs="Calibri"/>
                <w:b/>
                <w:bCs/>
                <w:color w:val="000000"/>
                <w:sz w:val="16"/>
              </w:rPr>
              <w:t>Q vs. VQ</w:t>
            </w:r>
          </w:p>
        </w:tc>
        <w:tc>
          <w:tcPr>
            <w:tcW w:w="847" w:type="dxa"/>
            <w:tcBorders>
              <w:top w:val="single" w:sz="4" w:space="0" w:color="auto"/>
              <w:left w:val="nil"/>
              <w:bottom w:val="single" w:sz="4" w:space="0" w:color="auto"/>
              <w:right w:val="nil"/>
            </w:tcBorders>
            <w:shd w:val="clear" w:color="auto" w:fill="auto"/>
            <w:vAlign w:val="bottom"/>
            <w:hideMark/>
          </w:tcPr>
          <w:p w:rsidR="008130CC" w:rsidRPr="007974E5" w:rsidRDefault="008130CC" w:rsidP="006D3A63">
            <w:pPr>
              <w:spacing w:line="360" w:lineRule="auto"/>
              <w:jc w:val="center"/>
              <w:rPr>
                <w:rFonts w:ascii="Calibri" w:hAnsi="Calibri" w:cs="Calibri"/>
                <w:b/>
                <w:bCs/>
                <w:color w:val="000000"/>
                <w:sz w:val="16"/>
              </w:rPr>
            </w:pPr>
            <w:r w:rsidRPr="007974E5">
              <w:rPr>
                <w:rFonts w:ascii="Calibri" w:hAnsi="Calibri" w:cs="Calibri"/>
                <w:b/>
                <w:bCs/>
                <w:color w:val="000000"/>
                <w:sz w:val="16"/>
              </w:rPr>
              <w:t xml:space="preserve">Cohens </w:t>
            </w:r>
            <w:r w:rsidRPr="007974E5">
              <w:rPr>
                <w:rFonts w:ascii="Calibri" w:hAnsi="Calibri" w:cs="Calibri"/>
                <w:b/>
                <w:bCs/>
                <w:i/>
                <w:iCs/>
                <w:color w:val="000000"/>
                <w:sz w:val="16"/>
              </w:rPr>
              <w:t>d</w:t>
            </w:r>
            <w:r w:rsidRPr="007974E5">
              <w:rPr>
                <w:rFonts w:ascii="Calibri" w:hAnsi="Calibri" w:cs="Calibri"/>
                <w:b/>
                <w:bCs/>
                <w:i/>
                <w:iCs/>
                <w:color w:val="000000"/>
                <w:sz w:val="16"/>
              </w:rPr>
              <w:br/>
            </w:r>
            <w:r w:rsidRPr="007974E5">
              <w:rPr>
                <w:rFonts w:ascii="Calibri" w:hAnsi="Calibri" w:cs="Calibri"/>
                <w:b/>
                <w:bCs/>
                <w:color w:val="000000"/>
                <w:sz w:val="16"/>
              </w:rPr>
              <w:t>VQ vs. W</w:t>
            </w:r>
          </w:p>
        </w:tc>
        <w:tc>
          <w:tcPr>
            <w:tcW w:w="816" w:type="dxa"/>
            <w:tcBorders>
              <w:top w:val="single" w:sz="4" w:space="0" w:color="auto"/>
              <w:left w:val="nil"/>
              <w:bottom w:val="single" w:sz="4" w:space="0" w:color="auto"/>
              <w:right w:val="nil"/>
            </w:tcBorders>
            <w:shd w:val="clear" w:color="auto" w:fill="auto"/>
            <w:vAlign w:val="bottom"/>
            <w:hideMark/>
          </w:tcPr>
          <w:p w:rsidR="008130CC" w:rsidRPr="007974E5" w:rsidRDefault="008130CC" w:rsidP="006D3A63">
            <w:pPr>
              <w:spacing w:line="360" w:lineRule="auto"/>
              <w:jc w:val="center"/>
              <w:rPr>
                <w:rFonts w:ascii="Calibri" w:hAnsi="Calibri" w:cs="Calibri"/>
                <w:b/>
                <w:bCs/>
                <w:color w:val="000000"/>
                <w:sz w:val="16"/>
              </w:rPr>
            </w:pPr>
            <w:r>
              <w:rPr>
                <w:rFonts w:ascii="Calibri" w:hAnsi="Calibri" w:cs="Calibri"/>
                <w:b/>
                <w:bCs/>
                <w:color w:val="000000"/>
                <w:sz w:val="16"/>
              </w:rPr>
              <w:t xml:space="preserve">Rel. peak area </w:t>
            </w:r>
            <w:r w:rsidRPr="007974E5">
              <w:rPr>
                <w:rFonts w:ascii="Calibri" w:hAnsi="Calibri" w:cs="Calibri"/>
                <w:b/>
                <w:bCs/>
                <w:color w:val="000000"/>
                <w:sz w:val="16"/>
              </w:rPr>
              <w:t>Q</w:t>
            </w:r>
          </w:p>
        </w:tc>
        <w:tc>
          <w:tcPr>
            <w:tcW w:w="816" w:type="dxa"/>
            <w:tcBorders>
              <w:top w:val="single" w:sz="4" w:space="0" w:color="auto"/>
              <w:left w:val="nil"/>
              <w:bottom w:val="single" w:sz="4" w:space="0" w:color="auto"/>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b/>
                <w:bCs/>
                <w:color w:val="000000"/>
                <w:sz w:val="16"/>
              </w:rPr>
            </w:pPr>
            <w:r w:rsidRPr="007974E5">
              <w:rPr>
                <w:rFonts w:ascii="Calibri" w:hAnsi="Calibri" w:cs="Calibri"/>
                <w:b/>
                <w:bCs/>
                <w:i/>
                <w:color w:val="000000"/>
                <w:sz w:val="16"/>
              </w:rPr>
              <w:t>SD</w:t>
            </w:r>
          </w:p>
        </w:tc>
        <w:tc>
          <w:tcPr>
            <w:tcW w:w="816" w:type="dxa"/>
            <w:tcBorders>
              <w:top w:val="single" w:sz="4" w:space="0" w:color="auto"/>
              <w:left w:val="nil"/>
              <w:bottom w:val="single" w:sz="4" w:space="0" w:color="auto"/>
              <w:right w:val="nil"/>
            </w:tcBorders>
            <w:shd w:val="clear" w:color="auto" w:fill="auto"/>
            <w:vAlign w:val="bottom"/>
            <w:hideMark/>
          </w:tcPr>
          <w:p w:rsidR="008130CC" w:rsidRPr="007974E5" w:rsidRDefault="008130CC" w:rsidP="006D3A63">
            <w:pPr>
              <w:spacing w:line="360" w:lineRule="auto"/>
              <w:jc w:val="center"/>
              <w:rPr>
                <w:rFonts w:ascii="Calibri" w:hAnsi="Calibri" w:cs="Calibri"/>
                <w:b/>
                <w:bCs/>
                <w:color w:val="000000"/>
                <w:sz w:val="16"/>
              </w:rPr>
            </w:pPr>
            <w:r>
              <w:rPr>
                <w:rFonts w:ascii="Calibri" w:hAnsi="Calibri" w:cs="Calibri"/>
                <w:b/>
                <w:bCs/>
                <w:color w:val="000000"/>
                <w:sz w:val="16"/>
              </w:rPr>
              <w:t xml:space="preserve">Rel. peak area </w:t>
            </w:r>
            <w:r w:rsidRPr="007974E5">
              <w:rPr>
                <w:rFonts w:ascii="Calibri" w:hAnsi="Calibri" w:cs="Calibri"/>
                <w:b/>
                <w:bCs/>
                <w:color w:val="000000"/>
                <w:sz w:val="16"/>
              </w:rPr>
              <w:t>VQ</w:t>
            </w:r>
          </w:p>
        </w:tc>
        <w:tc>
          <w:tcPr>
            <w:tcW w:w="816" w:type="dxa"/>
            <w:tcBorders>
              <w:top w:val="single" w:sz="4" w:space="0" w:color="auto"/>
              <w:left w:val="nil"/>
              <w:bottom w:val="single" w:sz="4" w:space="0" w:color="auto"/>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b/>
                <w:bCs/>
                <w:i/>
                <w:color w:val="000000"/>
                <w:sz w:val="16"/>
              </w:rPr>
            </w:pPr>
            <w:r w:rsidRPr="007974E5">
              <w:rPr>
                <w:rFonts w:ascii="Calibri" w:hAnsi="Calibri" w:cs="Calibri"/>
                <w:b/>
                <w:bCs/>
                <w:i/>
                <w:color w:val="000000"/>
                <w:sz w:val="16"/>
              </w:rPr>
              <w:t>SD</w:t>
            </w:r>
          </w:p>
        </w:tc>
        <w:tc>
          <w:tcPr>
            <w:tcW w:w="816" w:type="dxa"/>
            <w:tcBorders>
              <w:top w:val="single" w:sz="4" w:space="0" w:color="auto"/>
              <w:left w:val="nil"/>
              <w:bottom w:val="single" w:sz="4" w:space="0" w:color="auto"/>
              <w:right w:val="nil"/>
            </w:tcBorders>
            <w:shd w:val="clear" w:color="auto" w:fill="auto"/>
            <w:vAlign w:val="bottom"/>
            <w:hideMark/>
          </w:tcPr>
          <w:p w:rsidR="008130CC" w:rsidRPr="007974E5" w:rsidRDefault="008130CC" w:rsidP="006D3A63">
            <w:pPr>
              <w:spacing w:line="360" w:lineRule="auto"/>
              <w:jc w:val="center"/>
              <w:rPr>
                <w:rFonts w:ascii="Calibri" w:hAnsi="Calibri" w:cs="Calibri"/>
                <w:b/>
                <w:bCs/>
                <w:color w:val="000000"/>
                <w:sz w:val="16"/>
              </w:rPr>
            </w:pPr>
            <w:r>
              <w:rPr>
                <w:rFonts w:ascii="Calibri" w:hAnsi="Calibri" w:cs="Calibri"/>
                <w:b/>
                <w:bCs/>
                <w:color w:val="000000"/>
                <w:sz w:val="16"/>
              </w:rPr>
              <w:t xml:space="preserve">Rel. peak area </w:t>
            </w:r>
            <w:r w:rsidRPr="007974E5">
              <w:rPr>
                <w:rFonts w:ascii="Calibri" w:hAnsi="Calibri" w:cs="Calibri"/>
                <w:b/>
                <w:bCs/>
                <w:color w:val="000000"/>
                <w:sz w:val="16"/>
              </w:rPr>
              <w:t>W</w:t>
            </w:r>
          </w:p>
        </w:tc>
        <w:tc>
          <w:tcPr>
            <w:tcW w:w="816" w:type="dxa"/>
            <w:tcBorders>
              <w:top w:val="single" w:sz="4" w:space="0" w:color="auto"/>
              <w:left w:val="nil"/>
              <w:bottom w:val="single" w:sz="4" w:space="0" w:color="auto"/>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b/>
                <w:bCs/>
                <w:i/>
                <w:color w:val="000000"/>
                <w:sz w:val="16"/>
              </w:rPr>
            </w:pPr>
            <w:r w:rsidRPr="007974E5">
              <w:rPr>
                <w:rFonts w:ascii="Calibri" w:hAnsi="Calibri" w:cs="Calibri"/>
                <w:b/>
                <w:bCs/>
                <w:i/>
                <w:color w:val="000000"/>
                <w:sz w:val="16"/>
              </w:rPr>
              <w:t>SD</w:t>
            </w:r>
          </w:p>
        </w:tc>
        <w:tc>
          <w:tcPr>
            <w:tcW w:w="816" w:type="dxa"/>
            <w:tcBorders>
              <w:top w:val="single" w:sz="4" w:space="0" w:color="auto"/>
              <w:left w:val="nil"/>
              <w:bottom w:val="single" w:sz="4" w:space="0" w:color="auto"/>
              <w:right w:val="nil"/>
            </w:tcBorders>
            <w:shd w:val="clear" w:color="auto" w:fill="auto"/>
            <w:vAlign w:val="bottom"/>
            <w:hideMark/>
          </w:tcPr>
          <w:p w:rsidR="008130CC" w:rsidRPr="007974E5" w:rsidRDefault="008130CC" w:rsidP="006D3A63">
            <w:pPr>
              <w:spacing w:line="360" w:lineRule="auto"/>
              <w:jc w:val="center"/>
              <w:rPr>
                <w:rFonts w:ascii="Calibri" w:hAnsi="Calibri" w:cs="Calibri"/>
                <w:b/>
                <w:bCs/>
                <w:color w:val="000000"/>
                <w:sz w:val="16"/>
              </w:rPr>
            </w:pPr>
            <w:r w:rsidRPr="007974E5">
              <w:rPr>
                <w:rFonts w:ascii="Calibri" w:hAnsi="Calibri" w:cs="Calibri"/>
                <w:b/>
                <w:bCs/>
                <w:i/>
                <w:iCs/>
                <w:color w:val="000000"/>
                <w:sz w:val="16"/>
              </w:rPr>
              <w:t>P</w:t>
            </w:r>
            <w:r>
              <w:rPr>
                <w:rFonts w:ascii="Calibri" w:hAnsi="Calibri" w:cs="Calibri"/>
                <w:b/>
                <w:bCs/>
                <w:i/>
                <w:iCs/>
                <w:color w:val="000000"/>
                <w:sz w:val="16"/>
                <w:vertAlign w:val="subscript"/>
              </w:rPr>
              <w:t>FDR</w:t>
            </w:r>
            <w:r w:rsidRPr="007974E5">
              <w:rPr>
                <w:rFonts w:ascii="Calibri" w:hAnsi="Calibri" w:cs="Calibri"/>
                <w:b/>
                <w:bCs/>
                <w:color w:val="000000"/>
                <w:sz w:val="16"/>
              </w:rPr>
              <w:br/>
              <w:t>Q vs. W</w:t>
            </w:r>
          </w:p>
        </w:tc>
        <w:tc>
          <w:tcPr>
            <w:tcW w:w="816" w:type="dxa"/>
            <w:tcBorders>
              <w:top w:val="single" w:sz="4" w:space="0" w:color="auto"/>
              <w:left w:val="nil"/>
              <w:bottom w:val="single" w:sz="4" w:space="0" w:color="auto"/>
              <w:right w:val="nil"/>
            </w:tcBorders>
            <w:shd w:val="clear" w:color="auto" w:fill="auto"/>
            <w:vAlign w:val="bottom"/>
            <w:hideMark/>
          </w:tcPr>
          <w:p w:rsidR="008130CC" w:rsidRPr="007974E5" w:rsidRDefault="008130CC" w:rsidP="006D3A63">
            <w:pPr>
              <w:spacing w:line="360" w:lineRule="auto"/>
              <w:jc w:val="center"/>
              <w:rPr>
                <w:rFonts w:ascii="Calibri" w:hAnsi="Calibri" w:cs="Calibri"/>
                <w:b/>
                <w:bCs/>
                <w:color w:val="000000"/>
                <w:sz w:val="16"/>
              </w:rPr>
            </w:pPr>
            <w:r w:rsidRPr="007974E5">
              <w:rPr>
                <w:rFonts w:ascii="Calibri" w:hAnsi="Calibri" w:cs="Calibri"/>
                <w:b/>
                <w:bCs/>
                <w:i/>
                <w:iCs/>
                <w:color w:val="000000"/>
                <w:sz w:val="16"/>
              </w:rPr>
              <w:t>P</w:t>
            </w:r>
            <w:r>
              <w:rPr>
                <w:rFonts w:ascii="Calibri" w:hAnsi="Calibri" w:cs="Calibri"/>
                <w:b/>
                <w:bCs/>
                <w:i/>
                <w:iCs/>
                <w:color w:val="000000"/>
                <w:sz w:val="16"/>
                <w:vertAlign w:val="subscript"/>
              </w:rPr>
              <w:t>FDR</w:t>
            </w:r>
            <w:r w:rsidRPr="007974E5">
              <w:rPr>
                <w:rFonts w:ascii="Calibri" w:hAnsi="Calibri" w:cs="Calibri"/>
                <w:b/>
                <w:bCs/>
                <w:color w:val="000000"/>
                <w:sz w:val="16"/>
              </w:rPr>
              <w:br/>
              <w:t>Q vs. VQ</w:t>
            </w:r>
          </w:p>
        </w:tc>
        <w:tc>
          <w:tcPr>
            <w:tcW w:w="886" w:type="dxa"/>
            <w:gridSpan w:val="2"/>
            <w:tcBorders>
              <w:top w:val="single" w:sz="4" w:space="0" w:color="auto"/>
              <w:left w:val="nil"/>
              <w:bottom w:val="single" w:sz="4" w:space="0" w:color="auto"/>
              <w:right w:val="nil"/>
            </w:tcBorders>
            <w:shd w:val="clear" w:color="auto" w:fill="auto"/>
            <w:vAlign w:val="bottom"/>
            <w:hideMark/>
          </w:tcPr>
          <w:p w:rsidR="008130CC" w:rsidRPr="007974E5" w:rsidRDefault="008130CC" w:rsidP="006D3A63">
            <w:pPr>
              <w:spacing w:line="360" w:lineRule="auto"/>
              <w:jc w:val="center"/>
              <w:rPr>
                <w:rFonts w:ascii="Calibri" w:hAnsi="Calibri" w:cs="Calibri"/>
                <w:b/>
                <w:bCs/>
                <w:color w:val="000000"/>
                <w:sz w:val="16"/>
              </w:rPr>
            </w:pPr>
            <w:r w:rsidRPr="007974E5">
              <w:rPr>
                <w:rFonts w:ascii="Calibri" w:hAnsi="Calibri" w:cs="Calibri"/>
                <w:b/>
                <w:bCs/>
                <w:i/>
                <w:iCs/>
                <w:color w:val="000000"/>
                <w:sz w:val="16"/>
              </w:rPr>
              <w:t>P</w:t>
            </w:r>
            <w:r>
              <w:rPr>
                <w:rFonts w:ascii="Calibri" w:hAnsi="Calibri" w:cs="Calibri"/>
                <w:b/>
                <w:bCs/>
                <w:i/>
                <w:iCs/>
                <w:color w:val="000000"/>
                <w:sz w:val="16"/>
                <w:vertAlign w:val="subscript"/>
              </w:rPr>
              <w:t>FDR</w:t>
            </w:r>
            <w:r w:rsidRPr="007974E5">
              <w:rPr>
                <w:rFonts w:ascii="Calibri" w:hAnsi="Calibri" w:cs="Calibri"/>
                <w:b/>
                <w:bCs/>
                <w:color w:val="000000"/>
                <w:sz w:val="16"/>
              </w:rPr>
              <w:br/>
              <w:t>VQ vs. W</w:t>
            </w:r>
          </w:p>
        </w:tc>
      </w:tr>
      <w:tr w:rsidR="008130CC" w:rsidRPr="007974E5" w:rsidTr="006D3A63">
        <w:trPr>
          <w:trHeight w:val="300"/>
        </w:trPr>
        <w:tc>
          <w:tcPr>
            <w:tcW w:w="2765" w:type="dxa"/>
            <w:tcBorders>
              <w:top w:val="single" w:sz="4" w:space="0" w:color="auto"/>
              <w:left w:val="nil"/>
              <w:bottom w:val="nil"/>
              <w:right w:val="nil"/>
            </w:tcBorders>
            <w:shd w:val="clear" w:color="auto" w:fill="auto"/>
            <w:noWrap/>
            <w:vAlign w:val="bottom"/>
            <w:hideMark/>
          </w:tcPr>
          <w:p w:rsidR="008130CC" w:rsidRPr="007974E5" w:rsidRDefault="008130CC" w:rsidP="006D3A63">
            <w:pPr>
              <w:spacing w:before="80" w:line="360" w:lineRule="auto"/>
              <w:rPr>
                <w:rFonts w:ascii="Calibri" w:hAnsi="Calibri" w:cs="Calibri"/>
                <w:color w:val="000000"/>
                <w:sz w:val="16"/>
              </w:rPr>
            </w:pPr>
            <w:r>
              <w:rPr>
                <w:rFonts w:ascii="Calibri" w:hAnsi="Calibri" w:cs="Calibri"/>
                <w:color w:val="000000"/>
                <w:sz w:val="16"/>
                <w:szCs w:val="16"/>
              </w:rPr>
              <w:t>1-dodecene</w:t>
            </w:r>
          </w:p>
        </w:tc>
        <w:tc>
          <w:tcPr>
            <w:tcW w:w="1985" w:type="dxa"/>
            <w:tcBorders>
              <w:top w:val="single" w:sz="4" w:space="0" w:color="auto"/>
              <w:left w:val="nil"/>
              <w:bottom w:val="nil"/>
              <w:right w:val="nil"/>
            </w:tcBorders>
            <w:shd w:val="clear" w:color="auto" w:fill="auto"/>
            <w:noWrap/>
            <w:vAlign w:val="bottom"/>
            <w:hideMark/>
          </w:tcPr>
          <w:p w:rsidR="008130CC" w:rsidRPr="007974E5" w:rsidRDefault="008130CC" w:rsidP="006D3A63">
            <w:pPr>
              <w:spacing w:before="80"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single" w:sz="4" w:space="0" w:color="auto"/>
              <w:left w:val="nil"/>
              <w:bottom w:val="nil"/>
              <w:right w:val="nil"/>
            </w:tcBorders>
            <w:shd w:val="clear" w:color="auto" w:fill="auto"/>
            <w:noWrap/>
            <w:vAlign w:val="bottom"/>
            <w:hideMark/>
          </w:tcPr>
          <w:p w:rsidR="008130CC" w:rsidRPr="007974E5" w:rsidRDefault="008130CC" w:rsidP="006D3A63">
            <w:pPr>
              <w:spacing w:before="80"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single" w:sz="4" w:space="0" w:color="auto"/>
              <w:left w:val="nil"/>
              <w:bottom w:val="nil"/>
              <w:right w:val="nil"/>
            </w:tcBorders>
            <w:shd w:val="clear" w:color="auto" w:fill="auto"/>
            <w:noWrap/>
            <w:vAlign w:val="bottom"/>
            <w:hideMark/>
          </w:tcPr>
          <w:p w:rsidR="008130CC" w:rsidRPr="00361068" w:rsidRDefault="008130CC" w:rsidP="006D3A63">
            <w:pPr>
              <w:spacing w:before="80" w:line="360" w:lineRule="auto"/>
              <w:jc w:val="center"/>
              <w:rPr>
                <w:rFonts w:cstheme="minorHAnsi"/>
                <w:color w:val="000000"/>
                <w:sz w:val="16"/>
                <w:szCs w:val="16"/>
              </w:rPr>
            </w:pPr>
            <w:r w:rsidRPr="00361068">
              <w:rPr>
                <w:rFonts w:cstheme="minorHAnsi"/>
                <w:color w:val="000000"/>
                <w:sz w:val="16"/>
                <w:szCs w:val="16"/>
              </w:rPr>
              <w:t>1191</w:t>
            </w:r>
          </w:p>
        </w:tc>
        <w:tc>
          <w:tcPr>
            <w:tcW w:w="847" w:type="dxa"/>
            <w:tcBorders>
              <w:top w:val="single" w:sz="4" w:space="0" w:color="auto"/>
              <w:left w:val="nil"/>
              <w:bottom w:val="nil"/>
              <w:right w:val="nil"/>
            </w:tcBorders>
            <w:shd w:val="clear" w:color="auto" w:fill="auto"/>
            <w:noWrap/>
            <w:vAlign w:val="bottom"/>
            <w:hideMark/>
          </w:tcPr>
          <w:p w:rsidR="008130CC" w:rsidRPr="007974E5" w:rsidRDefault="008130CC" w:rsidP="006D3A63">
            <w:pPr>
              <w:spacing w:before="80" w:line="360" w:lineRule="auto"/>
              <w:jc w:val="center"/>
              <w:rPr>
                <w:rFonts w:ascii="Calibri" w:hAnsi="Calibri" w:cs="Calibri"/>
                <w:color w:val="000000"/>
                <w:sz w:val="16"/>
              </w:rPr>
            </w:pPr>
            <w:r>
              <w:rPr>
                <w:rFonts w:ascii="Calibri" w:hAnsi="Calibri" w:cs="Calibri"/>
                <w:color w:val="000000"/>
                <w:sz w:val="16"/>
                <w:szCs w:val="16"/>
              </w:rPr>
              <w:t>-1.53</w:t>
            </w:r>
          </w:p>
        </w:tc>
        <w:tc>
          <w:tcPr>
            <w:tcW w:w="846" w:type="dxa"/>
            <w:tcBorders>
              <w:top w:val="single" w:sz="4" w:space="0" w:color="auto"/>
              <w:left w:val="nil"/>
              <w:bottom w:val="nil"/>
              <w:right w:val="nil"/>
            </w:tcBorders>
            <w:shd w:val="clear" w:color="auto" w:fill="auto"/>
            <w:noWrap/>
            <w:vAlign w:val="bottom"/>
            <w:hideMark/>
          </w:tcPr>
          <w:p w:rsidR="008130CC" w:rsidRPr="007974E5" w:rsidRDefault="008130CC" w:rsidP="006D3A63">
            <w:pPr>
              <w:spacing w:before="80" w:line="360" w:lineRule="auto"/>
              <w:jc w:val="center"/>
              <w:rPr>
                <w:rFonts w:ascii="Calibri" w:hAnsi="Calibri" w:cs="Calibri"/>
                <w:color w:val="000000"/>
                <w:sz w:val="16"/>
              </w:rPr>
            </w:pPr>
            <w:r>
              <w:rPr>
                <w:rFonts w:ascii="Calibri" w:hAnsi="Calibri" w:cs="Calibri"/>
                <w:color w:val="000000"/>
                <w:sz w:val="16"/>
                <w:szCs w:val="16"/>
              </w:rPr>
              <w:t>-0.02</w:t>
            </w:r>
          </w:p>
        </w:tc>
        <w:tc>
          <w:tcPr>
            <w:tcW w:w="847" w:type="dxa"/>
            <w:tcBorders>
              <w:top w:val="single" w:sz="4" w:space="0" w:color="auto"/>
              <w:left w:val="nil"/>
              <w:bottom w:val="nil"/>
              <w:right w:val="nil"/>
            </w:tcBorders>
            <w:shd w:val="clear" w:color="auto" w:fill="auto"/>
            <w:noWrap/>
            <w:vAlign w:val="bottom"/>
            <w:hideMark/>
          </w:tcPr>
          <w:p w:rsidR="008130CC" w:rsidRPr="007974E5" w:rsidRDefault="008130CC" w:rsidP="006D3A63">
            <w:pPr>
              <w:spacing w:before="80" w:line="360" w:lineRule="auto"/>
              <w:jc w:val="center"/>
              <w:rPr>
                <w:rFonts w:ascii="Calibri" w:hAnsi="Calibri" w:cs="Calibri"/>
                <w:color w:val="000000"/>
                <w:sz w:val="16"/>
              </w:rPr>
            </w:pPr>
            <w:r>
              <w:rPr>
                <w:rFonts w:ascii="Calibri" w:hAnsi="Calibri" w:cs="Calibri"/>
                <w:color w:val="000000"/>
                <w:sz w:val="16"/>
                <w:szCs w:val="16"/>
              </w:rPr>
              <w:t>-1.51</w:t>
            </w:r>
          </w:p>
        </w:tc>
        <w:tc>
          <w:tcPr>
            <w:tcW w:w="816" w:type="dxa"/>
            <w:tcBorders>
              <w:top w:val="single" w:sz="4" w:space="0" w:color="auto"/>
              <w:left w:val="nil"/>
              <w:bottom w:val="nil"/>
              <w:right w:val="nil"/>
            </w:tcBorders>
            <w:shd w:val="clear" w:color="auto" w:fill="auto"/>
            <w:noWrap/>
            <w:vAlign w:val="bottom"/>
            <w:hideMark/>
          </w:tcPr>
          <w:p w:rsidR="008130CC" w:rsidRPr="007974E5" w:rsidRDefault="008130CC" w:rsidP="006D3A63">
            <w:pPr>
              <w:spacing w:before="80"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single" w:sz="4" w:space="0" w:color="auto"/>
              <w:left w:val="nil"/>
              <w:bottom w:val="nil"/>
              <w:right w:val="nil"/>
            </w:tcBorders>
            <w:shd w:val="clear" w:color="auto" w:fill="auto"/>
            <w:noWrap/>
            <w:vAlign w:val="bottom"/>
            <w:hideMark/>
          </w:tcPr>
          <w:p w:rsidR="008130CC" w:rsidRPr="007974E5" w:rsidRDefault="008130CC" w:rsidP="006D3A63">
            <w:pPr>
              <w:spacing w:before="80"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single" w:sz="4" w:space="0" w:color="auto"/>
              <w:left w:val="nil"/>
              <w:bottom w:val="nil"/>
              <w:right w:val="nil"/>
            </w:tcBorders>
            <w:shd w:val="clear" w:color="auto" w:fill="auto"/>
            <w:noWrap/>
            <w:vAlign w:val="bottom"/>
            <w:hideMark/>
          </w:tcPr>
          <w:p w:rsidR="008130CC" w:rsidRPr="007974E5" w:rsidRDefault="008130CC" w:rsidP="006D3A63">
            <w:pPr>
              <w:spacing w:before="80"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single" w:sz="4" w:space="0" w:color="auto"/>
              <w:left w:val="nil"/>
              <w:bottom w:val="nil"/>
              <w:right w:val="nil"/>
            </w:tcBorders>
            <w:shd w:val="clear" w:color="auto" w:fill="auto"/>
            <w:noWrap/>
            <w:vAlign w:val="bottom"/>
            <w:hideMark/>
          </w:tcPr>
          <w:p w:rsidR="008130CC" w:rsidRPr="007974E5" w:rsidRDefault="008130CC" w:rsidP="006D3A63">
            <w:pPr>
              <w:spacing w:before="80"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single" w:sz="4" w:space="0" w:color="auto"/>
              <w:left w:val="nil"/>
              <w:bottom w:val="nil"/>
              <w:right w:val="nil"/>
            </w:tcBorders>
            <w:shd w:val="clear" w:color="auto" w:fill="auto"/>
            <w:noWrap/>
            <w:vAlign w:val="bottom"/>
            <w:hideMark/>
          </w:tcPr>
          <w:p w:rsidR="008130CC" w:rsidRPr="007974E5" w:rsidRDefault="008130CC" w:rsidP="006D3A63">
            <w:pPr>
              <w:spacing w:before="80" w:line="360" w:lineRule="auto"/>
              <w:jc w:val="center"/>
              <w:rPr>
                <w:rFonts w:ascii="Calibri" w:hAnsi="Calibri" w:cs="Calibri"/>
                <w:color w:val="000000"/>
                <w:sz w:val="16"/>
              </w:rPr>
            </w:pPr>
            <w:r>
              <w:rPr>
                <w:rFonts w:ascii="Calibri" w:hAnsi="Calibri" w:cs="Calibri"/>
                <w:color w:val="000000"/>
                <w:sz w:val="16"/>
                <w:szCs w:val="16"/>
              </w:rPr>
              <w:t>0.07%</w:t>
            </w:r>
          </w:p>
        </w:tc>
        <w:tc>
          <w:tcPr>
            <w:tcW w:w="816" w:type="dxa"/>
            <w:tcBorders>
              <w:top w:val="single" w:sz="4" w:space="0" w:color="auto"/>
              <w:left w:val="nil"/>
              <w:bottom w:val="nil"/>
              <w:right w:val="nil"/>
            </w:tcBorders>
            <w:shd w:val="clear" w:color="auto" w:fill="auto"/>
            <w:noWrap/>
            <w:vAlign w:val="bottom"/>
            <w:hideMark/>
          </w:tcPr>
          <w:p w:rsidR="008130CC" w:rsidRPr="007974E5" w:rsidRDefault="008130CC" w:rsidP="006D3A63">
            <w:pPr>
              <w:spacing w:before="80"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single" w:sz="4" w:space="0" w:color="auto"/>
              <w:left w:val="nil"/>
              <w:bottom w:val="nil"/>
              <w:right w:val="nil"/>
            </w:tcBorders>
            <w:shd w:val="clear" w:color="auto" w:fill="auto"/>
            <w:noWrap/>
            <w:vAlign w:val="bottom"/>
            <w:hideMark/>
          </w:tcPr>
          <w:p w:rsidR="008130CC" w:rsidRPr="007974E5" w:rsidRDefault="008130CC" w:rsidP="006D3A63">
            <w:pPr>
              <w:spacing w:before="80"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single" w:sz="4" w:space="0" w:color="auto"/>
              <w:left w:val="nil"/>
              <w:bottom w:val="nil"/>
              <w:right w:val="nil"/>
            </w:tcBorders>
            <w:shd w:val="clear" w:color="auto" w:fill="auto"/>
            <w:noWrap/>
            <w:vAlign w:val="bottom"/>
            <w:hideMark/>
          </w:tcPr>
          <w:p w:rsidR="008130CC" w:rsidRPr="007974E5" w:rsidRDefault="008130CC" w:rsidP="006D3A63">
            <w:pPr>
              <w:spacing w:before="80"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single" w:sz="4" w:space="0" w:color="auto"/>
              <w:left w:val="nil"/>
              <w:bottom w:val="nil"/>
              <w:right w:val="nil"/>
            </w:tcBorders>
            <w:shd w:val="clear" w:color="auto" w:fill="auto"/>
            <w:noWrap/>
            <w:vAlign w:val="bottom"/>
            <w:hideMark/>
          </w:tcPr>
          <w:p w:rsidR="008130CC" w:rsidRPr="007974E5" w:rsidRDefault="008130CC" w:rsidP="006D3A63">
            <w:pPr>
              <w:spacing w:before="80"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decanal</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aldehydes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1202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-0.75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-0.76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geraniol</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terpenoids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1254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-2.72</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-2.64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3-methyldodecane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1273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-4.51</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-3.85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5,7-dimethyldodecane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1283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-4.12</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-0.68</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-3.44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spellStart"/>
            <w:r>
              <w:rPr>
                <w:rFonts w:ascii="Calibri" w:hAnsi="Calibri" w:cs="Calibri"/>
                <w:color w:val="000000"/>
                <w:sz w:val="16"/>
                <w:szCs w:val="16"/>
              </w:rPr>
              <w:t>tridecane</w:t>
            </w:r>
            <w:proofErr w:type="spellEnd"/>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1300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-2.64</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-1.90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-0.74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3,5-dimethyldodecane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1322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-4.04</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-3.53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7-+5-methyltridecane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1350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-3.05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3-methyltridecane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1360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0.33</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1-tetradecene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1391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1.35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-3.33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4.68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tetradecane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1400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-3.85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-3.97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5,7-dimethyltetradecane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1492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-4.83</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-4.59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lastRenderedPageBreak/>
              <w:t>pentadecane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1500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-4.68</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-4.40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7-methylpentadecane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1546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-4.35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3-methylpentadecane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1567</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-4.83</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-4.62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gramStart"/>
            <w:r>
              <w:rPr>
                <w:rFonts w:ascii="Calibri" w:hAnsi="Calibri" w:cs="Calibri"/>
                <w:color w:val="000000"/>
                <w:sz w:val="16"/>
                <w:szCs w:val="16"/>
              </w:rPr>
              <w:t>5,x</w:t>
            </w:r>
            <w:proofErr w:type="gramEnd"/>
            <w:r>
              <w:rPr>
                <w:rFonts w:ascii="Calibri" w:hAnsi="Calibri" w:cs="Calibri"/>
                <w:color w:val="000000"/>
                <w:sz w:val="16"/>
                <w:szCs w:val="16"/>
              </w:rPr>
              <w:t>-dimethylpentadecane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83DF9" w:rsidRDefault="008130CC" w:rsidP="006D3A63">
            <w:pPr>
              <w:spacing w:line="360" w:lineRule="auto"/>
              <w:jc w:val="center"/>
              <w:rPr>
                <w:rFonts w:ascii="Calibri" w:hAnsi="Calibri" w:cs="Calibri"/>
                <w:color w:val="000000"/>
                <w:sz w:val="16"/>
              </w:rPr>
            </w:pPr>
            <w:r w:rsidRPr="00361068">
              <w:rPr>
                <w:rFonts w:cstheme="minorHAnsi"/>
                <w:color w:val="000000"/>
                <w:sz w:val="16"/>
                <w:szCs w:val="16"/>
              </w:rPr>
              <w:t>1575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-4.62</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-4.45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gramStart"/>
            <w:r>
              <w:rPr>
                <w:rFonts w:ascii="Calibri" w:hAnsi="Calibri" w:cs="Calibri"/>
                <w:color w:val="000000"/>
                <w:sz w:val="16"/>
                <w:szCs w:val="16"/>
              </w:rPr>
              <w:t>5,y</w:t>
            </w:r>
            <w:proofErr w:type="gramEnd"/>
            <w:r>
              <w:rPr>
                <w:rFonts w:ascii="Calibri" w:hAnsi="Calibri" w:cs="Calibri"/>
                <w:color w:val="000000"/>
                <w:sz w:val="16"/>
                <w:szCs w:val="16"/>
              </w:rPr>
              <w:t>-dimethylpentadecane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83DF9" w:rsidRDefault="008130CC" w:rsidP="006D3A63">
            <w:pPr>
              <w:spacing w:line="360" w:lineRule="auto"/>
              <w:jc w:val="center"/>
              <w:rPr>
                <w:rFonts w:ascii="Calibri" w:hAnsi="Calibri" w:cs="Calibri"/>
                <w:color w:val="000000"/>
                <w:sz w:val="16"/>
              </w:rPr>
            </w:pPr>
            <w:r w:rsidRPr="00361068">
              <w:rPr>
                <w:rFonts w:cstheme="minorHAnsi"/>
                <w:color w:val="000000"/>
                <w:sz w:val="16"/>
                <w:szCs w:val="16"/>
              </w:rPr>
              <w:t>1583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-3.30</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-2.47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1-hexadecene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1592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1.38</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-3.53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4.90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hexadecane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1600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-3.65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heptadecane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1700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-4.50</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-0.38</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-4.13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gramStart"/>
            <w:r>
              <w:rPr>
                <w:rFonts w:ascii="Calibri" w:hAnsi="Calibri" w:cs="Calibri"/>
                <w:color w:val="000000"/>
                <w:sz w:val="16"/>
                <w:szCs w:val="16"/>
              </w:rPr>
              <w:t>3,x</w:t>
            </w:r>
            <w:proofErr w:type="gramEnd"/>
            <w:r>
              <w:rPr>
                <w:rFonts w:ascii="Calibri" w:hAnsi="Calibri" w:cs="Calibri"/>
                <w:color w:val="000000"/>
                <w:sz w:val="16"/>
                <w:szCs w:val="16"/>
              </w:rPr>
              <w:t>-dimethylhexadecane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1709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-4.29</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-4.45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3,11-dimethylhexadecane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1715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-4.65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-4.50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7-methylheptadecane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1744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-4.62</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-4.41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gramStart"/>
            <w:r>
              <w:rPr>
                <w:rFonts w:ascii="Calibri" w:hAnsi="Calibri" w:cs="Calibri"/>
                <w:color w:val="000000"/>
                <w:sz w:val="16"/>
                <w:szCs w:val="16"/>
              </w:rPr>
              <w:t>5,x</w:t>
            </w:r>
            <w:proofErr w:type="gramEnd"/>
            <w:r>
              <w:rPr>
                <w:rFonts w:ascii="Calibri" w:hAnsi="Calibri" w:cs="Calibri"/>
                <w:color w:val="000000"/>
                <w:sz w:val="16"/>
                <w:szCs w:val="16"/>
              </w:rPr>
              <w:t>-dimethylheptadecane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1778</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-2.62</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-0.70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-1.91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gramStart"/>
            <w:r>
              <w:rPr>
                <w:rFonts w:ascii="Calibri" w:hAnsi="Calibri" w:cs="Calibri"/>
                <w:color w:val="000000"/>
                <w:sz w:val="16"/>
                <w:szCs w:val="16"/>
              </w:rPr>
              <w:t>5,y</w:t>
            </w:r>
            <w:proofErr w:type="gramEnd"/>
            <w:r>
              <w:rPr>
                <w:rFonts w:ascii="Calibri" w:hAnsi="Calibri" w:cs="Calibri"/>
                <w:color w:val="000000"/>
                <w:sz w:val="16"/>
                <w:szCs w:val="16"/>
              </w:rPr>
              <w:t>-dimethylheptadecane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1785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-3.91</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-3.46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1-octadecene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1793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-3.26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3.44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octadecane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1800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-4.82</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-4.50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0.76%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gramStart"/>
            <w:r>
              <w:rPr>
                <w:rFonts w:ascii="Calibri" w:hAnsi="Calibri" w:cs="Calibri"/>
                <w:color w:val="000000"/>
                <w:sz w:val="16"/>
                <w:szCs w:val="16"/>
              </w:rPr>
              <w:t>3,x</w:t>
            </w:r>
            <w:proofErr w:type="gramEnd"/>
            <w:r>
              <w:rPr>
                <w:rFonts w:ascii="Calibri" w:hAnsi="Calibri" w:cs="Calibri"/>
                <w:color w:val="000000"/>
                <w:sz w:val="16"/>
                <w:szCs w:val="16"/>
              </w:rPr>
              <w:t>-dimethylheptadecane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1818</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0.52</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1.71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5-nonadecene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1877</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-0.64</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-3.85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3.21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nonadecane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1900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0.83</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-3.21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gramStart"/>
            <w:r>
              <w:rPr>
                <w:rFonts w:ascii="Calibri" w:hAnsi="Calibri" w:cs="Calibri"/>
                <w:color w:val="000000"/>
                <w:sz w:val="16"/>
                <w:szCs w:val="16"/>
              </w:rPr>
              <w:t>3,x</w:t>
            </w:r>
            <w:proofErr w:type="gramEnd"/>
            <w:r>
              <w:rPr>
                <w:rFonts w:ascii="Calibri" w:hAnsi="Calibri" w:cs="Calibri"/>
                <w:color w:val="000000"/>
                <w:sz w:val="16"/>
                <w:szCs w:val="16"/>
              </w:rPr>
              <w:t>-dimethyloctadecane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1913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-4.47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-3.95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5-methylnonadecane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1949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-4.02</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-3.91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gramStart"/>
            <w:r>
              <w:rPr>
                <w:rFonts w:ascii="Calibri" w:hAnsi="Calibri" w:cs="Calibri"/>
                <w:color w:val="000000"/>
                <w:sz w:val="16"/>
                <w:szCs w:val="16"/>
              </w:rPr>
              <w:lastRenderedPageBreak/>
              <w:t>9,x</w:t>
            </w:r>
            <w:proofErr w:type="gramEnd"/>
            <w:r>
              <w:rPr>
                <w:rFonts w:ascii="Calibri" w:hAnsi="Calibri" w:cs="Calibri"/>
                <w:color w:val="000000"/>
                <w:sz w:val="16"/>
                <w:szCs w:val="16"/>
              </w:rPr>
              <w:t>-dimethylnonadecane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1962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-1.72</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-2.30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gramStart"/>
            <w:r>
              <w:rPr>
                <w:rFonts w:ascii="Calibri" w:hAnsi="Calibri" w:cs="Calibri"/>
                <w:color w:val="000000"/>
                <w:sz w:val="16"/>
                <w:szCs w:val="16"/>
              </w:rPr>
              <w:t>7,x</w:t>
            </w:r>
            <w:proofErr w:type="gramEnd"/>
            <w:r>
              <w:rPr>
                <w:rFonts w:ascii="Calibri" w:hAnsi="Calibri" w:cs="Calibri"/>
                <w:color w:val="000000"/>
                <w:sz w:val="16"/>
                <w:szCs w:val="16"/>
              </w:rPr>
              <w:t>-dimethylnonadecane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1972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-2.84</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-2.92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gramStart"/>
            <w:r>
              <w:rPr>
                <w:rFonts w:ascii="Calibri" w:hAnsi="Calibri" w:cs="Calibri"/>
                <w:color w:val="000000"/>
                <w:sz w:val="16"/>
                <w:szCs w:val="16"/>
              </w:rPr>
              <w:t>5,x</w:t>
            </w:r>
            <w:proofErr w:type="gramEnd"/>
            <w:r>
              <w:rPr>
                <w:rFonts w:ascii="Calibri" w:hAnsi="Calibri" w:cs="Calibri"/>
                <w:color w:val="000000"/>
                <w:sz w:val="16"/>
                <w:szCs w:val="16"/>
              </w:rPr>
              <w:t>-dimethylnonadecane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1994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-1.88</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-0.37</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-1.51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spellStart"/>
            <w:r>
              <w:rPr>
                <w:rFonts w:ascii="Calibri" w:hAnsi="Calibri" w:cs="Calibri"/>
                <w:color w:val="000000"/>
                <w:sz w:val="16"/>
                <w:szCs w:val="16"/>
              </w:rPr>
              <w:t>eicosane</w:t>
            </w:r>
            <w:proofErr w:type="spellEnd"/>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2000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-4.81</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-4.73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0.97%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5-methyleicosane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2050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-0.67</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7-heneicosene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2075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-2.83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3.28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1-octadecanol</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alcohols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2086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-3.27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-2.84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spellStart"/>
            <w:r>
              <w:rPr>
                <w:rFonts w:ascii="Calibri" w:hAnsi="Calibri" w:cs="Calibri"/>
                <w:color w:val="000000"/>
                <w:sz w:val="16"/>
                <w:szCs w:val="16"/>
              </w:rPr>
              <w:t>heneicosane</w:t>
            </w:r>
            <w:proofErr w:type="spellEnd"/>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2100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-5.60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5.56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2.07%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5,11-dimethylheneicosane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2166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-2.77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spellStart"/>
            <w:r>
              <w:rPr>
                <w:rFonts w:ascii="Calibri" w:hAnsi="Calibri" w:cs="Calibri"/>
                <w:color w:val="000000"/>
                <w:sz w:val="16"/>
                <w:szCs w:val="16"/>
              </w:rPr>
              <w:t>docosane</w:t>
            </w:r>
            <w:proofErr w:type="spellEnd"/>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2200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-4.65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-3.65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gramStart"/>
            <w:r>
              <w:rPr>
                <w:rFonts w:ascii="Calibri" w:hAnsi="Calibri" w:cs="Calibri"/>
                <w:color w:val="000000"/>
                <w:sz w:val="16"/>
                <w:szCs w:val="16"/>
              </w:rPr>
              <w:t>3,x</w:t>
            </w:r>
            <w:proofErr w:type="gramEnd"/>
            <w:r>
              <w:rPr>
                <w:rFonts w:ascii="Calibri" w:hAnsi="Calibri" w:cs="Calibri"/>
                <w:color w:val="000000"/>
                <w:sz w:val="16"/>
                <w:szCs w:val="16"/>
              </w:rPr>
              <w:t>-dimethylheneicosane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2208</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0.18</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9-eicosen-1-ol</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alcohols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2263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-0.52</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9-tricosene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2274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-0.80</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-3.16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2.36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7-tricosene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2281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-0.90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1-tricosene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2295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-3.59</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0.27</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-3.86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spellStart"/>
            <w:r>
              <w:rPr>
                <w:rFonts w:ascii="Calibri" w:hAnsi="Calibri" w:cs="Calibri"/>
                <w:color w:val="000000"/>
                <w:sz w:val="16"/>
                <w:szCs w:val="16"/>
              </w:rPr>
              <w:t>tricosane</w:t>
            </w:r>
            <w:proofErr w:type="spellEnd"/>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2300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0.30</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-3.60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3.90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2.75%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1.73%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11.47%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3.69%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9-methyltricosane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2336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-2.48</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-2.86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7-methyltricosane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2345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0.97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1.63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5-methyltricosane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2349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3-methyltricosane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2371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-2.71</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-1.90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lastRenderedPageBreak/>
              <w:t>5,11-dimethyltricosane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2378</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-3.86</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5,9-dimethyltricosane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2394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-0.81</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-0.92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spellStart"/>
            <w:r>
              <w:rPr>
                <w:rFonts w:ascii="Calibri" w:hAnsi="Calibri" w:cs="Calibri"/>
                <w:color w:val="000000"/>
                <w:sz w:val="16"/>
                <w:szCs w:val="16"/>
              </w:rPr>
              <w:t>tetracosane</w:t>
            </w:r>
            <w:proofErr w:type="spellEnd"/>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2400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-5.39</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-5.19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1.23%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3,13-dimethyltricosane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2405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-2.63</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-1.97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3,11-dimethyltricosane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2413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-0.54</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9-pentacosene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2473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-2.37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-1.93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7-pentacosene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2481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-1.99</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-2.35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spellStart"/>
            <w:r>
              <w:rPr>
                <w:rFonts w:ascii="Calibri" w:hAnsi="Calibri" w:cs="Calibri"/>
                <w:color w:val="000000"/>
                <w:sz w:val="16"/>
                <w:szCs w:val="16"/>
              </w:rPr>
              <w:t>pentacosane</w:t>
            </w:r>
            <w:proofErr w:type="spellEnd"/>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2500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0.43</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5.41%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5.67%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4.35%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1.91%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4.12%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1.28%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13-+11-methylpentacosane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2532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-1.16</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-2.75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1.59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9-methylpentacosane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2537</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-3.84</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-0.90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-2.94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7-methylpentacosane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2545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-3.71</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-3.64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5-methylpentacosane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2549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-1.64</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-2.01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9,13-dimethylpentacosane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2579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-3.93</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-2.32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-1.61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gridAfter w:val="1"/>
          <w:wAfter w:w="70" w:type="dxa"/>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gramStart"/>
            <w:r>
              <w:rPr>
                <w:rFonts w:ascii="Calibri" w:hAnsi="Calibri" w:cs="Calibri"/>
                <w:color w:val="000000"/>
                <w:sz w:val="16"/>
                <w:szCs w:val="16"/>
              </w:rPr>
              <w:t>5,x</w:t>
            </w:r>
            <w:proofErr w:type="gramEnd"/>
            <w:r>
              <w:rPr>
                <w:rFonts w:ascii="Calibri" w:hAnsi="Calibri" w:cs="Calibri"/>
                <w:color w:val="000000"/>
                <w:sz w:val="16"/>
                <w:szCs w:val="16"/>
              </w:rPr>
              <w:t>-dimethylpentacosane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2586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-3.87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5,9-dimethylpentacosane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2595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-0.71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spellStart"/>
            <w:r>
              <w:rPr>
                <w:rFonts w:ascii="Calibri" w:hAnsi="Calibri" w:cs="Calibri"/>
                <w:color w:val="000000"/>
                <w:sz w:val="16"/>
                <w:szCs w:val="16"/>
              </w:rPr>
              <w:t>hexacosane</w:t>
            </w:r>
            <w:proofErr w:type="spellEnd"/>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2600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-5.15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-0.18</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-4.98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1.48%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9-heptacosene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2674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-5.95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-5.45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7-heptacosene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2682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-2.96</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-2.84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spellStart"/>
            <w:r>
              <w:rPr>
                <w:rFonts w:ascii="Calibri" w:hAnsi="Calibri" w:cs="Calibri"/>
                <w:color w:val="000000"/>
                <w:sz w:val="16"/>
                <w:szCs w:val="16"/>
              </w:rPr>
              <w:t>heptacosane</w:t>
            </w:r>
            <w:proofErr w:type="spellEnd"/>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2700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11.57%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4.42%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12.33%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3.32%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8.59%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13-+11-+9-methylheptacosane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2731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-0.18</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-3.31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4.23%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1.93%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lastRenderedPageBreak/>
              <w:t>7-methylheptacosane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2739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1.00</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-1.27</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2.27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gramStart"/>
            <w:r>
              <w:rPr>
                <w:rFonts w:ascii="Calibri" w:hAnsi="Calibri" w:cs="Calibri"/>
                <w:color w:val="000000"/>
                <w:sz w:val="16"/>
                <w:szCs w:val="16"/>
              </w:rPr>
              <w:t>5,x</w:t>
            </w:r>
            <w:proofErr w:type="gramEnd"/>
            <w:r>
              <w:rPr>
                <w:rFonts w:ascii="Calibri" w:hAnsi="Calibri" w:cs="Calibri"/>
                <w:color w:val="000000"/>
                <w:sz w:val="16"/>
                <w:szCs w:val="16"/>
              </w:rPr>
              <w:t>-dimethylheptacosane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2787</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-3.35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0.75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5,15-dimethylheptacosane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2795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-3.77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0.77</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-4.53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spellStart"/>
            <w:r>
              <w:rPr>
                <w:rFonts w:ascii="Calibri" w:hAnsi="Calibri" w:cs="Calibri"/>
                <w:color w:val="000000"/>
                <w:sz w:val="16"/>
                <w:szCs w:val="16"/>
              </w:rPr>
              <w:t>octacosane</w:t>
            </w:r>
            <w:proofErr w:type="spellEnd"/>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2800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-5.39</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-5.78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1.61%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3,15-+3,13-dimethylheptacosane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2818</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-2.98</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-3.60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14-nonacosene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2866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3.24</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3.33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9-+10-nonacosene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2876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-4.15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-3.09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8-nonacosene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2879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-3.30</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spellStart"/>
            <w:r>
              <w:rPr>
                <w:rFonts w:ascii="Calibri" w:hAnsi="Calibri" w:cs="Calibri"/>
                <w:color w:val="000000"/>
                <w:sz w:val="16"/>
                <w:szCs w:val="16"/>
              </w:rPr>
              <w:t>nonacosane</w:t>
            </w:r>
            <w:proofErr w:type="spellEnd"/>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2900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0.71</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12.03%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8.86%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1.70%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2.60%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15-+13-+11-methylnonacosane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2929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-0.18</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-2.90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2.72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4.13%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spellStart"/>
            <w:r>
              <w:rPr>
                <w:rFonts w:ascii="Calibri" w:hAnsi="Calibri" w:cs="Calibri"/>
                <w:color w:val="000000"/>
                <w:sz w:val="16"/>
                <w:szCs w:val="16"/>
              </w:rPr>
              <w:t>tetradecanoic</w:t>
            </w:r>
            <w:proofErr w:type="spellEnd"/>
            <w:r>
              <w:rPr>
                <w:rFonts w:ascii="Calibri" w:hAnsi="Calibri" w:cs="Calibri"/>
                <w:color w:val="000000"/>
                <w:sz w:val="16"/>
                <w:szCs w:val="16"/>
              </w:rPr>
              <w:t xml:space="preserve"> acid, tetradecyl ester</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esters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2965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4.12</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3.43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1.56%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13,17-+11,15-dimethylnonacosane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dimethylalkanes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2995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triacontane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3000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-4.09</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1.22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-5.31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1.39%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9,23-hentriacontadiene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alkadienes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3058</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-1.62</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-1.46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1.66%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15-hentriacontene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3066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0.94%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10-hentriacontene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3074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-2.17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-2.15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3.60%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1.34%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3.64%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6.63%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1.64%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8-hentriacontene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3081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-1.57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-0.17</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-1.40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2.75%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2.97%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0.92%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4.84%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1.78%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hentriacontane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3100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1.19</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10.76%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7.15%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2.26%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7.03%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2.42%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15-+13-+9-methylhentriacontane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3128</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-2.81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2.64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9-hexadecenoic acid, tetradecyl ester</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esters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3149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2.97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2.09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2.49%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1.21%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0.76%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spellStart"/>
            <w:r>
              <w:rPr>
                <w:rFonts w:ascii="Calibri" w:hAnsi="Calibri" w:cs="Calibri"/>
                <w:color w:val="000000"/>
                <w:sz w:val="16"/>
                <w:szCs w:val="16"/>
              </w:rPr>
              <w:lastRenderedPageBreak/>
              <w:t>tetradecanoic</w:t>
            </w:r>
            <w:proofErr w:type="spellEnd"/>
            <w:r>
              <w:rPr>
                <w:rFonts w:ascii="Calibri" w:hAnsi="Calibri" w:cs="Calibri"/>
                <w:color w:val="000000"/>
                <w:sz w:val="16"/>
                <w:szCs w:val="16"/>
              </w:rPr>
              <w:t xml:space="preserve"> acid, hexadecyl ester</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esters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3164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5.87</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5.70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3.26%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10-dotriacontene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3176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-1.08</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-0.95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dotriacontane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3200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-4.03</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-3.69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9,23-tritriacontadiene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alkadienes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3254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-3.33</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1.08</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-4.41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15-tritriacontene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3266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6.82</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7.49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2.22%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12-tritriacontene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3270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1.35%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1.34%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10-tritriacontene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3277</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-0.14</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0.91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10.17%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1.67%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13.04%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10.56%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1.41%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8-tritriacontene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3283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-0.18</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-0.52</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0.70%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tritriacontane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3300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1.35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1.56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2.38%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1.49%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13-+11-+9-methyltritriacontane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methylalkanes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3327</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-0.12</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-3.05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2.93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0.75%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9-octadecenoic acid, tetradecyl ester</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esters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3343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3.72</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3.66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2.09%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9-hexadecenoic acid, hexadecyl ester</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esters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3350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4.43</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4.48</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2.45%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spellStart"/>
            <w:r>
              <w:rPr>
                <w:rFonts w:ascii="Calibri" w:hAnsi="Calibri" w:cs="Calibri"/>
                <w:color w:val="000000"/>
                <w:sz w:val="16"/>
                <w:szCs w:val="16"/>
              </w:rPr>
              <w:t>hexadecanoic</w:t>
            </w:r>
            <w:proofErr w:type="spellEnd"/>
            <w:r>
              <w:rPr>
                <w:rFonts w:ascii="Calibri" w:hAnsi="Calibri" w:cs="Calibri"/>
                <w:color w:val="000000"/>
                <w:sz w:val="16"/>
                <w:szCs w:val="16"/>
              </w:rPr>
              <w:t xml:space="preserve"> acid, hexadecyl ester</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esters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3364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4.72</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4.64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tetratriacontane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3400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-4.44</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0.96%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9,23-pentatriacontadiene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alkadienes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3451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-1.85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0.99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-2.84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15-pentatriacontene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3466</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5.99</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6.14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2.28%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0.78%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12-+14-pentatriacontene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3471</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1.65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10-pentatriacontene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3477</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1.30</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pentatriacontane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3500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-0.95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9-octadecenoic acid, hexadecyl ester</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esters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3544</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3.34</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3.33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2.68%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0.43%</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lastRenderedPageBreak/>
              <w:t>9-hexadecenoic acid, octadecyl ester</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esters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3553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0.28</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0.89%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hexatriacontane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3600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-3.95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-3.71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15-heptatriacontene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3669</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5.63</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5.70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9-octadecenoic acid, octadecyl ester</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virgin queen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esters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3747</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1.36</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-1.23</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2.59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0.66%</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0.38%</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0.49%</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0.17%</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0.15%</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octatriacontane</w:t>
            </w:r>
          </w:p>
        </w:tc>
        <w:tc>
          <w:tcPr>
            <w:tcW w:w="1985"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alkanes</w:t>
            </w:r>
          </w:p>
        </w:tc>
        <w:tc>
          <w:tcPr>
            <w:tcW w:w="889" w:type="dxa"/>
            <w:tcBorders>
              <w:top w:val="nil"/>
              <w:left w:val="nil"/>
              <w:bottom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3800</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-2.95</w:t>
            </w:r>
          </w:p>
        </w:tc>
        <w:tc>
          <w:tcPr>
            <w:tcW w:w="84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0.05</w:t>
            </w:r>
          </w:p>
        </w:tc>
        <w:tc>
          <w:tcPr>
            <w:tcW w:w="847"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-3.00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0.41%</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0.20%</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bottom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proofErr w:type="spellStart"/>
            <w:r>
              <w:rPr>
                <w:rFonts w:ascii="Calibri" w:hAnsi="Calibri" w:cs="Calibri"/>
                <w:color w:val="000000"/>
                <w:sz w:val="16"/>
                <w:szCs w:val="16"/>
              </w:rPr>
              <w:t>hexadecanoic</w:t>
            </w:r>
            <w:proofErr w:type="spellEnd"/>
            <w:r>
              <w:rPr>
                <w:rFonts w:ascii="Calibri" w:hAnsi="Calibri" w:cs="Calibri"/>
                <w:color w:val="000000"/>
                <w:sz w:val="16"/>
                <w:szCs w:val="16"/>
              </w:rPr>
              <w:t xml:space="preserve"> acid, </w:t>
            </w:r>
            <w:proofErr w:type="spellStart"/>
            <w:r>
              <w:rPr>
                <w:rFonts w:ascii="Calibri" w:hAnsi="Calibri" w:cs="Calibri"/>
                <w:color w:val="000000"/>
                <w:sz w:val="16"/>
                <w:szCs w:val="16"/>
              </w:rPr>
              <w:t>eicosyl</w:t>
            </w:r>
            <w:proofErr w:type="spellEnd"/>
            <w:r>
              <w:rPr>
                <w:rFonts w:ascii="Calibri" w:hAnsi="Calibri" w:cs="Calibri"/>
                <w:color w:val="000000"/>
                <w:sz w:val="16"/>
                <w:szCs w:val="16"/>
              </w:rPr>
              <w:t xml:space="preserve"> ester</w:t>
            </w:r>
          </w:p>
        </w:tc>
        <w:tc>
          <w:tcPr>
            <w:tcW w:w="1985" w:type="dxa"/>
            <w:tcBorders>
              <w:top w:val="nil"/>
              <w:left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worker characteristic</w:t>
            </w:r>
          </w:p>
        </w:tc>
        <w:tc>
          <w:tcPr>
            <w:tcW w:w="1276" w:type="dxa"/>
            <w:tcBorders>
              <w:top w:val="nil"/>
              <w:left w:val="nil"/>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esters</w:t>
            </w:r>
          </w:p>
        </w:tc>
        <w:tc>
          <w:tcPr>
            <w:tcW w:w="889" w:type="dxa"/>
            <w:tcBorders>
              <w:top w:val="nil"/>
              <w:left w:val="nil"/>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3826</w:t>
            </w:r>
          </w:p>
        </w:tc>
        <w:tc>
          <w:tcPr>
            <w:tcW w:w="847" w:type="dxa"/>
            <w:tcBorders>
              <w:top w:val="nil"/>
              <w:left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-1.19</w:t>
            </w:r>
          </w:p>
        </w:tc>
        <w:tc>
          <w:tcPr>
            <w:tcW w:w="846" w:type="dxa"/>
            <w:tcBorders>
              <w:top w:val="nil"/>
              <w:left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-0.55</w:t>
            </w:r>
          </w:p>
        </w:tc>
        <w:tc>
          <w:tcPr>
            <w:tcW w:w="847" w:type="dxa"/>
            <w:tcBorders>
              <w:top w:val="nil"/>
              <w:left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-0.64</w:t>
            </w:r>
          </w:p>
        </w:tc>
        <w:tc>
          <w:tcPr>
            <w:tcW w:w="816" w:type="dxa"/>
            <w:tcBorders>
              <w:top w:val="nil"/>
              <w:left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2.60%</w:t>
            </w:r>
          </w:p>
        </w:tc>
        <w:tc>
          <w:tcPr>
            <w:tcW w:w="816" w:type="dxa"/>
            <w:tcBorders>
              <w:top w:val="nil"/>
              <w:left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1.80%</w:t>
            </w:r>
          </w:p>
        </w:tc>
        <w:tc>
          <w:tcPr>
            <w:tcW w:w="816" w:type="dxa"/>
            <w:tcBorders>
              <w:top w:val="nil"/>
              <w:left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5.29%</w:t>
            </w:r>
          </w:p>
        </w:tc>
        <w:tc>
          <w:tcPr>
            <w:tcW w:w="816" w:type="dxa"/>
            <w:tcBorders>
              <w:top w:val="nil"/>
              <w:left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7.11%</w:t>
            </w:r>
          </w:p>
        </w:tc>
        <w:tc>
          <w:tcPr>
            <w:tcW w:w="816" w:type="dxa"/>
            <w:tcBorders>
              <w:top w:val="nil"/>
              <w:left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8.38%</w:t>
            </w:r>
          </w:p>
        </w:tc>
        <w:tc>
          <w:tcPr>
            <w:tcW w:w="816" w:type="dxa"/>
            <w:tcBorders>
              <w:top w:val="nil"/>
              <w:left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3.15%</w:t>
            </w:r>
          </w:p>
        </w:tc>
        <w:tc>
          <w:tcPr>
            <w:tcW w:w="816" w:type="dxa"/>
            <w:tcBorders>
              <w:top w:val="nil"/>
              <w:left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 xml:space="preserve"> </w:t>
            </w:r>
          </w:p>
        </w:tc>
        <w:tc>
          <w:tcPr>
            <w:tcW w:w="886" w:type="dxa"/>
            <w:gridSpan w:val="2"/>
            <w:tcBorders>
              <w:top w:val="nil"/>
              <w:left w:val="nil"/>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r w:rsidR="008130CC" w:rsidRPr="007974E5" w:rsidTr="006D3A63">
        <w:trPr>
          <w:trHeight w:val="300"/>
        </w:trPr>
        <w:tc>
          <w:tcPr>
            <w:tcW w:w="2765" w:type="dxa"/>
            <w:tcBorders>
              <w:top w:val="nil"/>
              <w:left w:val="nil"/>
              <w:bottom w:val="single" w:sz="4" w:space="0" w:color="auto"/>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15-nonatriacontene</w:t>
            </w:r>
          </w:p>
        </w:tc>
        <w:tc>
          <w:tcPr>
            <w:tcW w:w="1985" w:type="dxa"/>
            <w:tcBorders>
              <w:top w:val="nil"/>
              <w:left w:val="nil"/>
              <w:bottom w:val="single" w:sz="4" w:space="0" w:color="auto"/>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queen characteristic</w:t>
            </w:r>
          </w:p>
        </w:tc>
        <w:tc>
          <w:tcPr>
            <w:tcW w:w="1276" w:type="dxa"/>
            <w:tcBorders>
              <w:top w:val="nil"/>
              <w:left w:val="nil"/>
              <w:bottom w:val="single" w:sz="4" w:space="0" w:color="auto"/>
              <w:right w:val="nil"/>
            </w:tcBorders>
            <w:shd w:val="clear" w:color="auto" w:fill="auto"/>
            <w:noWrap/>
            <w:vAlign w:val="bottom"/>
            <w:hideMark/>
          </w:tcPr>
          <w:p w:rsidR="008130CC" w:rsidRPr="007974E5" w:rsidRDefault="008130CC" w:rsidP="006D3A63">
            <w:pPr>
              <w:spacing w:line="360" w:lineRule="auto"/>
              <w:rPr>
                <w:rFonts w:ascii="Calibri" w:hAnsi="Calibri" w:cs="Calibri"/>
                <w:color w:val="000000"/>
                <w:sz w:val="16"/>
              </w:rPr>
            </w:pPr>
            <w:r>
              <w:rPr>
                <w:rFonts w:ascii="Calibri" w:hAnsi="Calibri" w:cs="Calibri"/>
                <w:color w:val="000000"/>
                <w:sz w:val="16"/>
                <w:szCs w:val="16"/>
              </w:rPr>
              <w:t>alkenes</w:t>
            </w:r>
          </w:p>
        </w:tc>
        <w:tc>
          <w:tcPr>
            <w:tcW w:w="889" w:type="dxa"/>
            <w:tcBorders>
              <w:top w:val="nil"/>
              <w:left w:val="nil"/>
              <w:bottom w:val="single" w:sz="4" w:space="0" w:color="auto"/>
              <w:right w:val="nil"/>
            </w:tcBorders>
            <w:shd w:val="clear" w:color="auto" w:fill="auto"/>
            <w:noWrap/>
            <w:vAlign w:val="bottom"/>
            <w:hideMark/>
          </w:tcPr>
          <w:p w:rsidR="008130CC" w:rsidRPr="00361068" w:rsidRDefault="008130CC" w:rsidP="006D3A63">
            <w:pPr>
              <w:spacing w:line="360" w:lineRule="auto"/>
              <w:jc w:val="center"/>
              <w:rPr>
                <w:rFonts w:cstheme="minorHAnsi"/>
                <w:color w:val="000000"/>
                <w:sz w:val="16"/>
                <w:szCs w:val="16"/>
              </w:rPr>
            </w:pPr>
            <w:r w:rsidRPr="00361068">
              <w:rPr>
                <w:rFonts w:cstheme="minorHAnsi"/>
                <w:color w:val="000000"/>
                <w:sz w:val="16"/>
                <w:szCs w:val="16"/>
              </w:rPr>
              <w:t>3869</w:t>
            </w:r>
          </w:p>
        </w:tc>
        <w:tc>
          <w:tcPr>
            <w:tcW w:w="847" w:type="dxa"/>
            <w:tcBorders>
              <w:top w:val="nil"/>
              <w:left w:val="nil"/>
              <w:bottom w:val="single" w:sz="4" w:space="0" w:color="auto"/>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4.12</w:t>
            </w:r>
          </w:p>
        </w:tc>
        <w:tc>
          <w:tcPr>
            <w:tcW w:w="846" w:type="dxa"/>
            <w:tcBorders>
              <w:top w:val="nil"/>
              <w:left w:val="nil"/>
              <w:bottom w:val="single" w:sz="4" w:space="0" w:color="auto"/>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4.06</w:t>
            </w:r>
          </w:p>
        </w:tc>
        <w:tc>
          <w:tcPr>
            <w:tcW w:w="847" w:type="dxa"/>
            <w:tcBorders>
              <w:top w:val="nil"/>
              <w:left w:val="nil"/>
              <w:bottom w:val="single" w:sz="4" w:space="0" w:color="auto"/>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0.06</w:t>
            </w:r>
          </w:p>
        </w:tc>
        <w:tc>
          <w:tcPr>
            <w:tcW w:w="816" w:type="dxa"/>
            <w:tcBorders>
              <w:top w:val="nil"/>
              <w:left w:val="nil"/>
              <w:bottom w:val="single" w:sz="4" w:space="0" w:color="auto"/>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1.37%</w:t>
            </w:r>
          </w:p>
        </w:tc>
        <w:tc>
          <w:tcPr>
            <w:tcW w:w="816" w:type="dxa"/>
            <w:tcBorders>
              <w:top w:val="nil"/>
              <w:left w:val="nil"/>
              <w:bottom w:val="single" w:sz="4" w:space="0" w:color="auto"/>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0.70%</w:t>
            </w:r>
          </w:p>
        </w:tc>
        <w:tc>
          <w:tcPr>
            <w:tcW w:w="816" w:type="dxa"/>
            <w:tcBorders>
              <w:top w:val="nil"/>
              <w:left w:val="nil"/>
              <w:bottom w:val="single" w:sz="4" w:space="0" w:color="auto"/>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single" w:sz="4" w:space="0" w:color="auto"/>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0.03%</w:t>
            </w:r>
          </w:p>
        </w:tc>
        <w:tc>
          <w:tcPr>
            <w:tcW w:w="816" w:type="dxa"/>
            <w:tcBorders>
              <w:top w:val="nil"/>
              <w:left w:val="nil"/>
              <w:bottom w:val="single" w:sz="4" w:space="0" w:color="auto"/>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0.02%</w:t>
            </w:r>
          </w:p>
        </w:tc>
        <w:tc>
          <w:tcPr>
            <w:tcW w:w="816" w:type="dxa"/>
            <w:tcBorders>
              <w:top w:val="nil"/>
              <w:left w:val="nil"/>
              <w:bottom w:val="single" w:sz="4" w:space="0" w:color="auto"/>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0.04%</w:t>
            </w:r>
          </w:p>
        </w:tc>
        <w:tc>
          <w:tcPr>
            <w:tcW w:w="816" w:type="dxa"/>
            <w:tcBorders>
              <w:top w:val="nil"/>
              <w:left w:val="nil"/>
              <w:bottom w:val="single" w:sz="4" w:space="0" w:color="auto"/>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16" w:type="dxa"/>
            <w:tcBorders>
              <w:top w:val="nil"/>
              <w:left w:val="nil"/>
              <w:bottom w:val="single" w:sz="4" w:space="0" w:color="auto"/>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c>
          <w:tcPr>
            <w:tcW w:w="886" w:type="dxa"/>
            <w:gridSpan w:val="2"/>
            <w:tcBorders>
              <w:top w:val="nil"/>
              <w:left w:val="nil"/>
              <w:bottom w:val="single" w:sz="4" w:space="0" w:color="auto"/>
              <w:right w:val="nil"/>
            </w:tcBorders>
            <w:shd w:val="clear" w:color="auto" w:fill="auto"/>
            <w:noWrap/>
            <w:vAlign w:val="bottom"/>
            <w:hideMark/>
          </w:tcPr>
          <w:p w:rsidR="008130CC" w:rsidRPr="007974E5" w:rsidRDefault="008130CC" w:rsidP="006D3A63">
            <w:pPr>
              <w:spacing w:line="360" w:lineRule="auto"/>
              <w:jc w:val="center"/>
              <w:rPr>
                <w:rFonts w:ascii="Calibri" w:hAnsi="Calibri" w:cs="Calibri"/>
                <w:color w:val="000000"/>
                <w:sz w:val="16"/>
              </w:rPr>
            </w:pPr>
            <w:r>
              <w:rPr>
                <w:rFonts w:ascii="Calibri" w:hAnsi="Calibri" w:cs="Calibri"/>
                <w:color w:val="000000"/>
                <w:sz w:val="16"/>
                <w:szCs w:val="16"/>
              </w:rPr>
              <w:t>***</w:t>
            </w:r>
          </w:p>
        </w:tc>
      </w:tr>
    </w:tbl>
    <w:p w:rsidR="008130CC" w:rsidRDefault="008130CC" w:rsidP="008130CC">
      <w:pPr>
        <w:spacing w:line="360" w:lineRule="auto"/>
      </w:pPr>
    </w:p>
    <w:p w:rsidR="008130CC" w:rsidRDefault="008130CC" w:rsidP="008130CC">
      <w:pPr>
        <w:spacing w:line="360" w:lineRule="auto"/>
        <w:sectPr w:rsidR="008130CC" w:rsidSect="008D4114">
          <w:pgSz w:w="16838" w:h="11906" w:orient="landscape"/>
          <w:pgMar w:top="1417" w:right="1417" w:bottom="1417" w:left="851" w:header="708" w:footer="708" w:gutter="0"/>
          <w:cols w:space="708"/>
          <w:docGrid w:linePitch="360"/>
        </w:sectPr>
      </w:pPr>
    </w:p>
    <w:p w:rsidR="008130CC" w:rsidRPr="00D46A30" w:rsidRDefault="008130CC" w:rsidP="008130CC">
      <w:pPr>
        <w:pStyle w:val="Bijschrift"/>
        <w:keepNext/>
        <w:spacing w:line="360" w:lineRule="auto"/>
        <w:jc w:val="both"/>
        <w:rPr>
          <w:i w:val="0"/>
          <w:color w:val="auto"/>
          <w:sz w:val="20"/>
        </w:rPr>
      </w:pPr>
      <w:r w:rsidRPr="00D46A30">
        <w:rPr>
          <w:b/>
          <w:i w:val="0"/>
          <w:color w:val="auto"/>
          <w:sz w:val="20"/>
        </w:rPr>
        <w:lastRenderedPageBreak/>
        <w:t xml:space="preserve">Table </w:t>
      </w:r>
      <w:r>
        <w:rPr>
          <w:b/>
          <w:i w:val="0"/>
          <w:color w:val="auto"/>
          <w:sz w:val="20"/>
        </w:rPr>
        <w:t>S2.</w:t>
      </w:r>
      <w:r w:rsidRPr="00D46A30">
        <w:rPr>
          <w:i w:val="0"/>
          <w:color w:val="auto"/>
          <w:sz w:val="20"/>
        </w:rPr>
        <w:t xml:space="preserve"> The effect of the treatments on the proportion of workers with developed ovaries. Odds ratio, </w:t>
      </w:r>
      <w:r>
        <w:rPr>
          <w:i w:val="0"/>
          <w:color w:val="auto"/>
          <w:sz w:val="20"/>
        </w:rPr>
        <w:t>lower and upper 95% confidence bounds</w:t>
      </w:r>
      <w:r w:rsidRPr="00D46A30">
        <w:rPr>
          <w:i w:val="0"/>
          <w:color w:val="auto"/>
          <w:sz w:val="20"/>
        </w:rPr>
        <w:t xml:space="preserve">, </w:t>
      </w:r>
      <w:r w:rsidRPr="00486FE6">
        <w:rPr>
          <w:color w:val="auto"/>
          <w:sz w:val="20"/>
        </w:rPr>
        <w:t>z</w:t>
      </w:r>
      <w:r w:rsidRPr="00D46A30">
        <w:rPr>
          <w:i w:val="0"/>
          <w:color w:val="auto"/>
          <w:sz w:val="20"/>
        </w:rPr>
        <w:t xml:space="preserve">-ratio, and one-sided </w:t>
      </w:r>
      <w:r w:rsidRPr="007974E5">
        <w:rPr>
          <w:color w:val="auto"/>
          <w:sz w:val="20"/>
        </w:rPr>
        <w:t>FDR</w:t>
      </w:r>
      <w:r w:rsidRPr="00D46A30">
        <w:rPr>
          <w:i w:val="0"/>
          <w:color w:val="auto"/>
          <w:sz w:val="20"/>
        </w:rPr>
        <w:t xml:space="preserve"> corrected </w:t>
      </w:r>
      <w:r w:rsidRPr="00D46A30">
        <w:rPr>
          <w:color w:val="auto"/>
          <w:sz w:val="20"/>
        </w:rPr>
        <w:t>p</w:t>
      </w:r>
      <w:r w:rsidRPr="00D46A30">
        <w:rPr>
          <w:i w:val="0"/>
          <w:color w:val="auto"/>
          <w:sz w:val="20"/>
        </w:rPr>
        <w:t>-values of the binomial generali</w:t>
      </w:r>
      <w:r>
        <w:rPr>
          <w:i w:val="0"/>
          <w:color w:val="auto"/>
          <w:sz w:val="20"/>
        </w:rPr>
        <w:t>s</w:t>
      </w:r>
      <w:r w:rsidRPr="00D46A30">
        <w:rPr>
          <w:i w:val="0"/>
          <w:color w:val="auto"/>
          <w:sz w:val="20"/>
        </w:rPr>
        <w:t>ed linear mixed model are shown.</w:t>
      </w:r>
    </w:p>
    <w:tbl>
      <w:tblPr>
        <w:tblStyle w:val="Onopgemaaktetabel51"/>
        <w:tblW w:w="9072" w:type="dxa"/>
        <w:tblLook w:val="04A0" w:firstRow="1" w:lastRow="0" w:firstColumn="1" w:lastColumn="0" w:noHBand="0" w:noVBand="1"/>
      </w:tblPr>
      <w:tblGrid>
        <w:gridCol w:w="1968"/>
        <w:gridCol w:w="1179"/>
        <w:gridCol w:w="1389"/>
        <w:gridCol w:w="1418"/>
        <w:gridCol w:w="850"/>
        <w:gridCol w:w="995"/>
        <w:gridCol w:w="1273"/>
      </w:tblGrid>
      <w:tr w:rsidR="008130CC" w:rsidRPr="00453EE3" w:rsidTr="006D3A63">
        <w:trPr>
          <w:cnfStyle w:val="100000000000" w:firstRow="1" w:lastRow="0" w:firstColumn="0" w:lastColumn="0" w:oddVBand="0" w:evenVBand="0" w:oddHBand="0" w:evenHBand="0" w:firstRowFirstColumn="0" w:firstRowLastColumn="0" w:lastRowFirstColumn="0" w:lastRowLastColumn="0"/>
          <w:trHeight w:val="88"/>
        </w:trPr>
        <w:tc>
          <w:tcPr>
            <w:cnfStyle w:val="001000000100" w:firstRow="0" w:lastRow="0" w:firstColumn="1" w:lastColumn="0" w:oddVBand="0" w:evenVBand="0" w:oddHBand="0" w:evenHBand="0" w:firstRowFirstColumn="1" w:firstRowLastColumn="0" w:lastRowFirstColumn="0" w:lastRowLastColumn="0"/>
            <w:tcW w:w="1968" w:type="dxa"/>
            <w:tcBorders>
              <w:top w:val="single" w:sz="4" w:space="0" w:color="auto"/>
              <w:bottom w:val="single" w:sz="4" w:space="0" w:color="auto"/>
            </w:tcBorders>
            <w:shd w:val="clear" w:color="auto" w:fill="auto"/>
          </w:tcPr>
          <w:p w:rsidR="008130CC" w:rsidRPr="00453EE3" w:rsidRDefault="008130CC" w:rsidP="006D3A63">
            <w:pPr>
              <w:spacing w:line="360" w:lineRule="auto"/>
              <w:rPr>
                <w:rFonts w:asciiTheme="minorHAnsi" w:hAnsiTheme="minorHAnsi"/>
                <w:b/>
                <w:sz w:val="20"/>
                <w:szCs w:val="20"/>
              </w:rPr>
            </w:pPr>
          </w:p>
        </w:tc>
        <w:tc>
          <w:tcPr>
            <w:tcW w:w="1179" w:type="dxa"/>
            <w:tcBorders>
              <w:top w:val="single" w:sz="4" w:space="0" w:color="auto"/>
              <w:bottom w:val="single" w:sz="4" w:space="0" w:color="auto"/>
            </w:tcBorders>
            <w:shd w:val="clear" w:color="auto" w:fill="auto"/>
          </w:tcPr>
          <w:p w:rsidR="008130CC" w:rsidRPr="00453EE3" w:rsidRDefault="008130CC" w:rsidP="006D3A63">
            <w:pPr>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453EE3">
              <w:rPr>
                <w:rFonts w:asciiTheme="minorHAnsi" w:hAnsiTheme="minorHAnsi"/>
                <w:b/>
                <w:sz w:val="20"/>
                <w:szCs w:val="20"/>
              </w:rPr>
              <w:t>Odds ratio</w:t>
            </w:r>
          </w:p>
        </w:tc>
        <w:tc>
          <w:tcPr>
            <w:tcW w:w="1389" w:type="dxa"/>
            <w:tcBorders>
              <w:top w:val="single" w:sz="4" w:space="0" w:color="auto"/>
              <w:bottom w:val="single" w:sz="4" w:space="0" w:color="auto"/>
            </w:tcBorders>
            <w:shd w:val="clear" w:color="auto" w:fill="auto"/>
          </w:tcPr>
          <w:p w:rsidR="008130CC" w:rsidRPr="00453EE3" w:rsidRDefault="008130CC" w:rsidP="006D3A63">
            <w:pPr>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Pr>
                <w:rFonts w:asciiTheme="minorHAnsi" w:hAnsiTheme="minorHAnsi"/>
                <w:b/>
                <w:sz w:val="20"/>
                <w:szCs w:val="20"/>
              </w:rPr>
              <w:t>Lower 95% CB</w:t>
            </w:r>
          </w:p>
        </w:tc>
        <w:tc>
          <w:tcPr>
            <w:tcW w:w="1418" w:type="dxa"/>
            <w:tcBorders>
              <w:top w:val="single" w:sz="4" w:space="0" w:color="auto"/>
              <w:bottom w:val="single" w:sz="4" w:space="0" w:color="auto"/>
            </w:tcBorders>
          </w:tcPr>
          <w:p w:rsidR="008130CC" w:rsidRPr="00453EE3" w:rsidRDefault="008130CC" w:rsidP="006D3A63">
            <w:pPr>
              <w:spacing w:line="360" w:lineRule="auto"/>
              <w:jc w:val="right"/>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Upper 95% CB</w:t>
            </w:r>
          </w:p>
        </w:tc>
        <w:tc>
          <w:tcPr>
            <w:tcW w:w="850" w:type="dxa"/>
            <w:tcBorders>
              <w:top w:val="single" w:sz="4" w:space="0" w:color="auto"/>
              <w:bottom w:val="single" w:sz="4" w:space="0" w:color="auto"/>
            </w:tcBorders>
            <w:shd w:val="clear" w:color="auto" w:fill="auto"/>
          </w:tcPr>
          <w:p w:rsidR="008130CC" w:rsidRPr="00453EE3" w:rsidRDefault="008130CC" w:rsidP="006D3A63">
            <w:pPr>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453EE3">
              <w:rPr>
                <w:rFonts w:asciiTheme="minorHAnsi" w:hAnsiTheme="minorHAnsi"/>
                <w:b/>
                <w:sz w:val="20"/>
                <w:szCs w:val="20"/>
              </w:rPr>
              <w:t>z-ratio</w:t>
            </w:r>
          </w:p>
        </w:tc>
        <w:tc>
          <w:tcPr>
            <w:tcW w:w="995" w:type="dxa"/>
            <w:tcBorders>
              <w:top w:val="single" w:sz="4" w:space="0" w:color="auto"/>
              <w:bottom w:val="single" w:sz="4" w:space="0" w:color="auto"/>
            </w:tcBorders>
            <w:shd w:val="clear" w:color="auto" w:fill="auto"/>
          </w:tcPr>
          <w:p w:rsidR="008130CC" w:rsidRPr="00453EE3" w:rsidRDefault="008130CC" w:rsidP="006D3A63">
            <w:pPr>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453EE3">
              <w:rPr>
                <w:rFonts w:asciiTheme="minorHAnsi" w:hAnsiTheme="minorHAnsi"/>
                <w:b/>
                <w:sz w:val="20"/>
                <w:szCs w:val="20"/>
              </w:rPr>
              <w:t>p-value</w:t>
            </w:r>
          </w:p>
        </w:tc>
        <w:tc>
          <w:tcPr>
            <w:tcW w:w="1273" w:type="dxa"/>
            <w:tcBorders>
              <w:top w:val="single" w:sz="4" w:space="0" w:color="auto"/>
              <w:bottom w:val="single" w:sz="4" w:space="0" w:color="auto"/>
            </w:tcBorders>
            <w:shd w:val="clear" w:color="auto" w:fill="auto"/>
          </w:tcPr>
          <w:p w:rsidR="008130CC" w:rsidRPr="00453EE3" w:rsidRDefault="008130CC" w:rsidP="006D3A63">
            <w:pPr>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p>
        </w:tc>
      </w:tr>
      <w:tr w:rsidR="008130CC" w:rsidTr="006D3A63">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1968" w:type="dxa"/>
            <w:tcBorders>
              <w:top w:val="single" w:sz="4" w:space="0" w:color="auto"/>
            </w:tcBorders>
            <w:shd w:val="clear" w:color="auto" w:fill="auto"/>
          </w:tcPr>
          <w:p w:rsidR="008130CC" w:rsidRPr="00453EE3" w:rsidRDefault="008130CC" w:rsidP="006D3A63">
            <w:pPr>
              <w:spacing w:line="360" w:lineRule="auto"/>
              <w:rPr>
                <w:rFonts w:asciiTheme="minorHAnsi" w:hAnsiTheme="minorHAnsi"/>
                <w:sz w:val="20"/>
                <w:szCs w:val="20"/>
              </w:rPr>
            </w:pPr>
            <w:r w:rsidRPr="00453EE3">
              <w:rPr>
                <w:rFonts w:asciiTheme="minorHAnsi" w:hAnsiTheme="minorHAnsi"/>
                <w:sz w:val="20"/>
                <w:szCs w:val="20"/>
              </w:rPr>
              <w:t>QMP</w:t>
            </w:r>
          </w:p>
        </w:tc>
        <w:tc>
          <w:tcPr>
            <w:tcW w:w="1179" w:type="dxa"/>
            <w:tcBorders>
              <w:top w:val="single" w:sz="4" w:space="0" w:color="auto"/>
              <w:left w:val="nil"/>
            </w:tcBorders>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5.39</w:t>
            </w:r>
          </w:p>
        </w:tc>
        <w:tc>
          <w:tcPr>
            <w:tcW w:w="1389" w:type="dxa"/>
            <w:tcBorders>
              <w:top w:val="single" w:sz="4" w:space="0" w:color="auto"/>
            </w:tcBorders>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2.84</w:t>
            </w:r>
          </w:p>
        </w:tc>
        <w:tc>
          <w:tcPr>
            <w:tcW w:w="1418" w:type="dxa"/>
            <w:tcBorders>
              <w:top w:val="single" w:sz="4" w:space="0" w:color="auto"/>
            </w:tcBorders>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52.8</w:t>
            </w:r>
          </w:p>
        </w:tc>
        <w:tc>
          <w:tcPr>
            <w:tcW w:w="850" w:type="dxa"/>
            <w:tcBorders>
              <w:top w:val="single" w:sz="4" w:space="0" w:color="auto"/>
            </w:tcBorders>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453EE3">
              <w:rPr>
                <w:sz w:val="20"/>
                <w:szCs w:val="20"/>
              </w:rPr>
              <w:t>-3.68</w:t>
            </w:r>
          </w:p>
        </w:tc>
        <w:tc>
          <w:tcPr>
            <w:tcW w:w="995" w:type="dxa"/>
            <w:tcBorders>
              <w:top w:val="single" w:sz="4" w:space="0" w:color="auto"/>
            </w:tcBorders>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0.00027</w:t>
            </w:r>
          </w:p>
        </w:tc>
        <w:tc>
          <w:tcPr>
            <w:tcW w:w="1273" w:type="dxa"/>
            <w:tcBorders>
              <w:top w:val="single" w:sz="4" w:space="0" w:color="auto"/>
            </w:tcBorders>
            <w:shd w:val="clear" w:color="auto" w:fill="auto"/>
          </w:tcPr>
          <w:p w:rsidR="008130CC" w:rsidRPr="00453EE3" w:rsidRDefault="008130CC" w:rsidP="006D3A6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53EE3">
              <w:rPr>
                <w:sz w:val="20"/>
                <w:szCs w:val="20"/>
              </w:rPr>
              <w:t>***</w:t>
            </w:r>
          </w:p>
        </w:tc>
      </w:tr>
      <w:tr w:rsidR="008130CC" w:rsidTr="006D3A63">
        <w:trPr>
          <w:trHeight w:val="88"/>
        </w:trPr>
        <w:tc>
          <w:tcPr>
            <w:cnfStyle w:val="001000000000" w:firstRow="0" w:lastRow="0" w:firstColumn="1" w:lastColumn="0" w:oddVBand="0" w:evenVBand="0" w:oddHBand="0" w:evenHBand="0" w:firstRowFirstColumn="0" w:firstRowLastColumn="0" w:lastRowFirstColumn="0" w:lastRowLastColumn="0"/>
            <w:tcW w:w="1968" w:type="dxa"/>
            <w:shd w:val="clear" w:color="auto" w:fill="auto"/>
          </w:tcPr>
          <w:p w:rsidR="008130CC" w:rsidRPr="00453EE3" w:rsidRDefault="008130CC" w:rsidP="006D3A63">
            <w:pPr>
              <w:spacing w:line="360" w:lineRule="auto"/>
              <w:rPr>
                <w:rFonts w:asciiTheme="minorHAnsi" w:hAnsiTheme="minorHAnsi"/>
                <w:sz w:val="20"/>
                <w:szCs w:val="20"/>
              </w:rPr>
            </w:pPr>
            <w:r w:rsidRPr="00453EE3">
              <w:rPr>
                <w:rFonts w:asciiTheme="minorHAnsi" w:hAnsiTheme="minorHAnsi"/>
                <w:sz w:val="20"/>
                <w:szCs w:val="20"/>
              </w:rPr>
              <w:t>9-ODA</w:t>
            </w:r>
          </w:p>
        </w:tc>
        <w:tc>
          <w:tcPr>
            <w:tcW w:w="1179" w:type="dxa"/>
            <w:tcBorders>
              <w:left w:val="nil"/>
            </w:tcBorders>
            <w:shd w:val="clear" w:color="auto" w:fill="auto"/>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6.52</w:t>
            </w:r>
          </w:p>
        </w:tc>
        <w:tc>
          <w:tcPr>
            <w:tcW w:w="1389" w:type="dxa"/>
            <w:shd w:val="clear" w:color="auto" w:fill="auto"/>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3.41</w:t>
            </w:r>
          </w:p>
        </w:tc>
        <w:tc>
          <w:tcPr>
            <w:tcW w:w="1418" w:type="dxa"/>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74.7</w:t>
            </w:r>
          </w:p>
        </w:tc>
        <w:tc>
          <w:tcPr>
            <w:tcW w:w="850" w:type="dxa"/>
            <w:shd w:val="clear" w:color="auto" w:fill="auto"/>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453EE3">
              <w:rPr>
                <w:sz w:val="20"/>
                <w:szCs w:val="20"/>
              </w:rPr>
              <w:t>-4.03</w:t>
            </w:r>
          </w:p>
        </w:tc>
        <w:tc>
          <w:tcPr>
            <w:tcW w:w="995" w:type="dxa"/>
            <w:shd w:val="clear" w:color="auto" w:fill="auto"/>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453EE3">
              <w:rPr>
                <w:sz w:val="20"/>
                <w:szCs w:val="20"/>
              </w:rPr>
              <w:t>0.000</w:t>
            </w:r>
            <w:r>
              <w:rPr>
                <w:sz w:val="20"/>
                <w:szCs w:val="20"/>
              </w:rPr>
              <w:t>08</w:t>
            </w:r>
          </w:p>
        </w:tc>
        <w:tc>
          <w:tcPr>
            <w:tcW w:w="1273" w:type="dxa"/>
            <w:shd w:val="clear" w:color="auto" w:fill="auto"/>
          </w:tcPr>
          <w:p w:rsidR="008130CC" w:rsidRPr="00453EE3" w:rsidRDefault="008130CC" w:rsidP="006D3A63">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53EE3">
              <w:rPr>
                <w:sz w:val="20"/>
                <w:szCs w:val="20"/>
              </w:rPr>
              <w:t>***</w:t>
            </w:r>
          </w:p>
        </w:tc>
      </w:tr>
      <w:tr w:rsidR="008130CC" w:rsidTr="006D3A63">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1968" w:type="dxa"/>
            <w:shd w:val="clear" w:color="auto" w:fill="auto"/>
          </w:tcPr>
          <w:p w:rsidR="008130CC" w:rsidRPr="00453EE3" w:rsidRDefault="008130CC" w:rsidP="006D3A63">
            <w:pPr>
              <w:spacing w:line="360" w:lineRule="auto"/>
              <w:rPr>
                <w:rFonts w:asciiTheme="minorHAnsi" w:hAnsiTheme="minorHAnsi"/>
                <w:sz w:val="20"/>
                <w:szCs w:val="20"/>
              </w:rPr>
            </w:pPr>
            <w:r w:rsidRPr="00453EE3">
              <w:rPr>
                <w:rFonts w:asciiTheme="minorHAnsi" w:hAnsiTheme="minorHAnsi"/>
                <w:sz w:val="20"/>
                <w:szCs w:val="20"/>
              </w:rPr>
              <w:t>9-HDA</w:t>
            </w:r>
          </w:p>
        </w:tc>
        <w:tc>
          <w:tcPr>
            <w:tcW w:w="1179" w:type="dxa"/>
            <w:tcBorders>
              <w:left w:val="nil"/>
            </w:tcBorders>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8.17</w:t>
            </w:r>
          </w:p>
        </w:tc>
        <w:tc>
          <w:tcPr>
            <w:tcW w:w="1389" w:type="dxa"/>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4.22</w:t>
            </w:r>
          </w:p>
        </w:tc>
        <w:tc>
          <w:tcPr>
            <w:tcW w:w="1418" w:type="dxa"/>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135</w:t>
            </w:r>
          </w:p>
        </w:tc>
        <w:tc>
          <w:tcPr>
            <w:tcW w:w="850" w:type="dxa"/>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453EE3">
              <w:rPr>
                <w:sz w:val="20"/>
                <w:szCs w:val="20"/>
              </w:rPr>
              <w:t>-4.38</w:t>
            </w:r>
          </w:p>
        </w:tc>
        <w:tc>
          <w:tcPr>
            <w:tcW w:w="995" w:type="dxa"/>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0.00005</w:t>
            </w:r>
          </w:p>
        </w:tc>
        <w:tc>
          <w:tcPr>
            <w:tcW w:w="1273" w:type="dxa"/>
            <w:shd w:val="clear" w:color="auto" w:fill="auto"/>
          </w:tcPr>
          <w:p w:rsidR="008130CC" w:rsidRPr="00453EE3" w:rsidRDefault="008130CC" w:rsidP="006D3A6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53EE3">
              <w:rPr>
                <w:sz w:val="20"/>
                <w:szCs w:val="20"/>
              </w:rPr>
              <w:t>***</w:t>
            </w:r>
          </w:p>
        </w:tc>
      </w:tr>
      <w:tr w:rsidR="008130CC" w:rsidTr="006D3A63">
        <w:trPr>
          <w:trHeight w:val="88"/>
        </w:trPr>
        <w:tc>
          <w:tcPr>
            <w:cnfStyle w:val="001000000000" w:firstRow="0" w:lastRow="0" w:firstColumn="1" w:lastColumn="0" w:oddVBand="0" w:evenVBand="0" w:oddHBand="0" w:evenHBand="0" w:firstRowFirstColumn="0" w:firstRowLastColumn="0" w:lastRowFirstColumn="0" w:lastRowLastColumn="0"/>
            <w:tcW w:w="1968" w:type="dxa"/>
            <w:shd w:val="clear" w:color="auto" w:fill="auto"/>
          </w:tcPr>
          <w:p w:rsidR="008130CC" w:rsidRPr="00453EE3" w:rsidRDefault="008130CC" w:rsidP="006D3A63">
            <w:pPr>
              <w:spacing w:line="360" w:lineRule="auto"/>
              <w:rPr>
                <w:rFonts w:asciiTheme="minorHAnsi" w:hAnsiTheme="minorHAnsi"/>
                <w:sz w:val="20"/>
                <w:szCs w:val="20"/>
              </w:rPr>
            </w:pPr>
            <w:r w:rsidRPr="00453EE3">
              <w:rPr>
                <w:rFonts w:asciiTheme="minorHAnsi" w:hAnsiTheme="minorHAnsi"/>
                <w:sz w:val="20"/>
                <w:szCs w:val="20"/>
              </w:rPr>
              <w:t>HOB</w:t>
            </w:r>
          </w:p>
        </w:tc>
        <w:tc>
          <w:tcPr>
            <w:tcW w:w="1179" w:type="dxa"/>
            <w:tcBorders>
              <w:left w:val="nil"/>
            </w:tcBorders>
            <w:shd w:val="clear" w:color="auto" w:fill="auto"/>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2.33</w:t>
            </w:r>
          </w:p>
        </w:tc>
        <w:tc>
          <w:tcPr>
            <w:tcW w:w="1389" w:type="dxa"/>
            <w:shd w:val="clear" w:color="auto" w:fill="auto"/>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1.22</w:t>
            </w:r>
          </w:p>
        </w:tc>
        <w:tc>
          <w:tcPr>
            <w:tcW w:w="1418" w:type="dxa"/>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27.1</w:t>
            </w:r>
          </w:p>
        </w:tc>
        <w:tc>
          <w:tcPr>
            <w:tcW w:w="850" w:type="dxa"/>
            <w:shd w:val="clear" w:color="auto" w:fill="auto"/>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453EE3">
              <w:rPr>
                <w:sz w:val="20"/>
                <w:szCs w:val="20"/>
              </w:rPr>
              <w:t>-1.82</w:t>
            </w:r>
          </w:p>
        </w:tc>
        <w:tc>
          <w:tcPr>
            <w:tcW w:w="995" w:type="dxa"/>
            <w:shd w:val="clear" w:color="auto" w:fill="auto"/>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453EE3">
              <w:rPr>
                <w:sz w:val="20"/>
                <w:szCs w:val="20"/>
              </w:rPr>
              <w:t>0.0</w:t>
            </w:r>
            <w:r>
              <w:rPr>
                <w:sz w:val="20"/>
                <w:szCs w:val="20"/>
              </w:rPr>
              <w:t>346</w:t>
            </w:r>
          </w:p>
        </w:tc>
        <w:tc>
          <w:tcPr>
            <w:tcW w:w="1273" w:type="dxa"/>
            <w:shd w:val="clear" w:color="auto" w:fill="auto"/>
          </w:tcPr>
          <w:p w:rsidR="008130CC" w:rsidRPr="00453EE3" w:rsidRDefault="008130CC" w:rsidP="006D3A63">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8130CC" w:rsidTr="006D3A63">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1968" w:type="dxa"/>
            <w:shd w:val="clear" w:color="auto" w:fill="auto"/>
          </w:tcPr>
          <w:p w:rsidR="008130CC" w:rsidRPr="00453EE3" w:rsidRDefault="008130CC" w:rsidP="006D3A63">
            <w:pPr>
              <w:spacing w:line="360" w:lineRule="auto"/>
              <w:rPr>
                <w:rFonts w:asciiTheme="minorHAnsi" w:hAnsiTheme="minorHAnsi"/>
                <w:sz w:val="20"/>
                <w:szCs w:val="20"/>
              </w:rPr>
            </w:pPr>
            <w:r w:rsidRPr="00453EE3">
              <w:rPr>
                <w:rFonts w:asciiTheme="minorHAnsi" w:hAnsiTheme="minorHAnsi"/>
                <w:sz w:val="20"/>
                <w:szCs w:val="20"/>
              </w:rPr>
              <w:t>HVA</w:t>
            </w:r>
          </w:p>
        </w:tc>
        <w:tc>
          <w:tcPr>
            <w:tcW w:w="1179" w:type="dxa"/>
            <w:tcBorders>
              <w:left w:val="nil"/>
            </w:tcBorders>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3.21</w:t>
            </w:r>
          </w:p>
        </w:tc>
        <w:tc>
          <w:tcPr>
            <w:tcW w:w="1389" w:type="dxa"/>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1.72</w:t>
            </w:r>
          </w:p>
        </w:tc>
        <w:tc>
          <w:tcPr>
            <w:tcW w:w="1418" w:type="dxa"/>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24.3</w:t>
            </w:r>
          </w:p>
        </w:tc>
        <w:tc>
          <w:tcPr>
            <w:tcW w:w="850" w:type="dxa"/>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453EE3">
              <w:rPr>
                <w:sz w:val="20"/>
                <w:szCs w:val="20"/>
              </w:rPr>
              <w:t>-2.63</w:t>
            </w:r>
          </w:p>
        </w:tc>
        <w:tc>
          <w:tcPr>
            <w:tcW w:w="995" w:type="dxa"/>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453EE3">
              <w:rPr>
                <w:sz w:val="20"/>
                <w:szCs w:val="20"/>
              </w:rPr>
              <w:t>0.0</w:t>
            </w:r>
            <w:r>
              <w:rPr>
                <w:sz w:val="20"/>
                <w:szCs w:val="20"/>
              </w:rPr>
              <w:t>0769</w:t>
            </w:r>
          </w:p>
        </w:tc>
        <w:tc>
          <w:tcPr>
            <w:tcW w:w="1273" w:type="dxa"/>
            <w:shd w:val="clear" w:color="auto" w:fill="auto"/>
          </w:tcPr>
          <w:p w:rsidR="008130CC" w:rsidRPr="00453EE3" w:rsidRDefault="008130CC" w:rsidP="006D3A6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453EE3">
              <w:rPr>
                <w:sz w:val="20"/>
                <w:szCs w:val="20"/>
              </w:rPr>
              <w:t>*</w:t>
            </w:r>
          </w:p>
        </w:tc>
      </w:tr>
      <w:tr w:rsidR="008130CC" w:rsidTr="006D3A63">
        <w:trPr>
          <w:trHeight w:val="88"/>
        </w:trPr>
        <w:tc>
          <w:tcPr>
            <w:cnfStyle w:val="001000000000" w:firstRow="0" w:lastRow="0" w:firstColumn="1" w:lastColumn="0" w:oddVBand="0" w:evenVBand="0" w:oddHBand="0" w:evenHBand="0" w:firstRowFirstColumn="0" w:firstRowLastColumn="0" w:lastRowFirstColumn="0" w:lastRowLastColumn="0"/>
            <w:tcW w:w="1968" w:type="dxa"/>
            <w:shd w:val="clear" w:color="auto" w:fill="auto"/>
          </w:tcPr>
          <w:p w:rsidR="008130CC" w:rsidRPr="00453EE3" w:rsidRDefault="008130CC" w:rsidP="006D3A63">
            <w:pPr>
              <w:spacing w:line="360" w:lineRule="auto"/>
              <w:rPr>
                <w:rFonts w:asciiTheme="minorHAnsi" w:hAnsiTheme="minorHAnsi"/>
                <w:sz w:val="20"/>
                <w:szCs w:val="20"/>
              </w:rPr>
            </w:pPr>
            <w:r w:rsidRPr="00453EE3">
              <w:rPr>
                <w:rFonts w:asciiTheme="minorHAnsi" w:hAnsiTheme="minorHAnsi"/>
                <w:sz w:val="20"/>
                <w:szCs w:val="20"/>
              </w:rPr>
              <w:t>Cuticular esters</w:t>
            </w:r>
          </w:p>
        </w:tc>
        <w:tc>
          <w:tcPr>
            <w:tcW w:w="1179" w:type="dxa"/>
            <w:tcBorders>
              <w:left w:val="nil"/>
            </w:tcBorders>
            <w:shd w:val="clear" w:color="auto" w:fill="auto"/>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2.27</w:t>
            </w:r>
          </w:p>
        </w:tc>
        <w:tc>
          <w:tcPr>
            <w:tcW w:w="1389" w:type="dxa"/>
            <w:shd w:val="clear" w:color="auto" w:fill="auto"/>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1.25</w:t>
            </w:r>
          </w:p>
        </w:tc>
        <w:tc>
          <w:tcPr>
            <w:tcW w:w="1418" w:type="dxa"/>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11.9</w:t>
            </w:r>
          </w:p>
        </w:tc>
        <w:tc>
          <w:tcPr>
            <w:tcW w:w="850" w:type="dxa"/>
            <w:shd w:val="clear" w:color="auto" w:fill="auto"/>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453EE3">
              <w:rPr>
                <w:sz w:val="20"/>
                <w:szCs w:val="20"/>
              </w:rPr>
              <w:t>-1.98</w:t>
            </w:r>
          </w:p>
        </w:tc>
        <w:tc>
          <w:tcPr>
            <w:tcW w:w="995" w:type="dxa"/>
            <w:shd w:val="clear" w:color="auto" w:fill="auto"/>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453EE3">
              <w:rPr>
                <w:sz w:val="20"/>
                <w:szCs w:val="20"/>
              </w:rPr>
              <w:t>0.0</w:t>
            </w:r>
            <w:r>
              <w:rPr>
                <w:sz w:val="20"/>
                <w:szCs w:val="20"/>
              </w:rPr>
              <w:t>281</w:t>
            </w:r>
          </w:p>
        </w:tc>
        <w:tc>
          <w:tcPr>
            <w:tcW w:w="1273" w:type="dxa"/>
            <w:shd w:val="clear" w:color="auto" w:fill="auto"/>
          </w:tcPr>
          <w:p w:rsidR="008130CC" w:rsidRPr="00453EE3" w:rsidRDefault="008130CC" w:rsidP="006D3A63">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53EE3">
              <w:rPr>
                <w:sz w:val="20"/>
                <w:szCs w:val="20"/>
              </w:rPr>
              <w:t>*</w:t>
            </w:r>
          </w:p>
        </w:tc>
      </w:tr>
      <w:tr w:rsidR="008130CC" w:rsidTr="006D3A63">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1968" w:type="dxa"/>
            <w:shd w:val="clear" w:color="auto" w:fill="auto"/>
          </w:tcPr>
          <w:p w:rsidR="008130CC" w:rsidRPr="00453EE3" w:rsidRDefault="008130CC" w:rsidP="006D3A63">
            <w:pPr>
              <w:spacing w:line="360" w:lineRule="auto"/>
              <w:rPr>
                <w:rFonts w:asciiTheme="minorHAnsi" w:hAnsiTheme="minorHAnsi"/>
                <w:sz w:val="20"/>
                <w:szCs w:val="20"/>
              </w:rPr>
            </w:pPr>
            <w:r w:rsidRPr="00453EE3">
              <w:rPr>
                <w:rFonts w:asciiTheme="minorHAnsi" w:hAnsiTheme="minorHAnsi"/>
                <w:sz w:val="20"/>
                <w:szCs w:val="20"/>
              </w:rPr>
              <w:t>Cuticular alkenes</w:t>
            </w:r>
          </w:p>
        </w:tc>
        <w:tc>
          <w:tcPr>
            <w:tcW w:w="1179" w:type="dxa"/>
            <w:tcBorders>
              <w:left w:val="nil"/>
            </w:tcBorders>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2.25</w:t>
            </w:r>
          </w:p>
        </w:tc>
        <w:tc>
          <w:tcPr>
            <w:tcW w:w="1389" w:type="dxa"/>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1.24</w:t>
            </w:r>
          </w:p>
        </w:tc>
        <w:tc>
          <w:tcPr>
            <w:tcW w:w="1418" w:type="dxa"/>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w:t>
            </w:r>
          </w:p>
        </w:tc>
        <w:tc>
          <w:tcPr>
            <w:tcW w:w="850" w:type="dxa"/>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453EE3">
              <w:rPr>
                <w:sz w:val="20"/>
                <w:szCs w:val="20"/>
              </w:rPr>
              <w:t>-1.96</w:t>
            </w:r>
          </w:p>
        </w:tc>
        <w:tc>
          <w:tcPr>
            <w:tcW w:w="995" w:type="dxa"/>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rStyle w:val="Verwijzingopmerking"/>
                <w:sz w:val="20"/>
                <w:szCs w:val="20"/>
              </w:rPr>
            </w:pPr>
            <w:r w:rsidRPr="00453EE3">
              <w:rPr>
                <w:rStyle w:val="Verwijzingopmerking"/>
                <w:sz w:val="20"/>
                <w:szCs w:val="20"/>
              </w:rPr>
              <w:t>0.0</w:t>
            </w:r>
            <w:r>
              <w:rPr>
                <w:rStyle w:val="Verwijzingopmerking"/>
                <w:sz w:val="20"/>
                <w:szCs w:val="20"/>
              </w:rPr>
              <w:t>281</w:t>
            </w:r>
          </w:p>
        </w:tc>
        <w:tc>
          <w:tcPr>
            <w:tcW w:w="1273" w:type="dxa"/>
            <w:shd w:val="clear" w:color="auto" w:fill="auto"/>
          </w:tcPr>
          <w:p w:rsidR="008130CC" w:rsidRPr="00453EE3" w:rsidRDefault="008130CC" w:rsidP="006D3A6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53EE3">
              <w:rPr>
                <w:sz w:val="20"/>
                <w:szCs w:val="20"/>
              </w:rPr>
              <w:t>*</w:t>
            </w:r>
          </w:p>
        </w:tc>
      </w:tr>
      <w:tr w:rsidR="008130CC" w:rsidTr="006D3A63">
        <w:trPr>
          <w:trHeight w:val="88"/>
        </w:trPr>
        <w:tc>
          <w:tcPr>
            <w:cnfStyle w:val="001000000000" w:firstRow="0" w:lastRow="0" w:firstColumn="1" w:lastColumn="0" w:oddVBand="0" w:evenVBand="0" w:oddHBand="0" w:evenHBand="0" w:firstRowFirstColumn="0" w:firstRowLastColumn="0" w:lastRowFirstColumn="0" w:lastRowLastColumn="0"/>
            <w:tcW w:w="1968" w:type="dxa"/>
            <w:shd w:val="clear" w:color="auto" w:fill="auto"/>
          </w:tcPr>
          <w:p w:rsidR="008130CC" w:rsidRPr="00453EE3" w:rsidRDefault="008130CC" w:rsidP="006D3A63">
            <w:pPr>
              <w:spacing w:line="360" w:lineRule="auto"/>
              <w:rPr>
                <w:rFonts w:asciiTheme="minorHAnsi" w:hAnsiTheme="minorHAnsi"/>
                <w:sz w:val="20"/>
                <w:szCs w:val="20"/>
              </w:rPr>
            </w:pPr>
            <w:r w:rsidRPr="00453EE3">
              <w:rPr>
                <w:rFonts w:asciiTheme="minorHAnsi" w:hAnsiTheme="minorHAnsi"/>
                <w:sz w:val="20"/>
                <w:szCs w:val="20"/>
              </w:rPr>
              <w:t>Tergal gland esters</w:t>
            </w:r>
          </w:p>
        </w:tc>
        <w:tc>
          <w:tcPr>
            <w:tcW w:w="1179" w:type="dxa"/>
            <w:tcBorders>
              <w:left w:val="nil"/>
            </w:tcBorders>
            <w:shd w:val="clear" w:color="auto" w:fill="auto"/>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6.97</w:t>
            </w:r>
          </w:p>
        </w:tc>
        <w:tc>
          <w:tcPr>
            <w:tcW w:w="1389" w:type="dxa"/>
            <w:shd w:val="clear" w:color="auto" w:fill="auto"/>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3.61</w:t>
            </w:r>
          </w:p>
        </w:tc>
        <w:tc>
          <w:tcPr>
            <w:tcW w:w="1418" w:type="dxa"/>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98.6</w:t>
            </w:r>
          </w:p>
        </w:tc>
        <w:tc>
          <w:tcPr>
            <w:tcW w:w="850" w:type="dxa"/>
            <w:shd w:val="clear" w:color="auto" w:fill="auto"/>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453EE3">
              <w:rPr>
                <w:sz w:val="20"/>
                <w:szCs w:val="20"/>
              </w:rPr>
              <w:t>-4.10</w:t>
            </w:r>
          </w:p>
        </w:tc>
        <w:tc>
          <w:tcPr>
            <w:tcW w:w="995" w:type="dxa"/>
            <w:shd w:val="clear" w:color="auto" w:fill="auto"/>
          </w:tcPr>
          <w:p w:rsidR="008130CC" w:rsidRPr="00453EE3" w:rsidRDefault="008130CC" w:rsidP="006D3A63">
            <w:pPr>
              <w:spacing w:line="360" w:lineRule="auto"/>
              <w:jc w:val="right"/>
              <w:cnfStyle w:val="000000000000" w:firstRow="0" w:lastRow="0" w:firstColumn="0" w:lastColumn="0" w:oddVBand="0" w:evenVBand="0" w:oddHBand="0" w:evenHBand="0" w:firstRowFirstColumn="0" w:firstRowLastColumn="0" w:lastRowFirstColumn="0" w:lastRowLastColumn="0"/>
              <w:rPr>
                <w:rStyle w:val="Verwijzingopmerking"/>
                <w:sz w:val="20"/>
                <w:szCs w:val="20"/>
              </w:rPr>
            </w:pPr>
            <w:r w:rsidRPr="00453EE3">
              <w:rPr>
                <w:rStyle w:val="Verwijzingopmerking"/>
                <w:sz w:val="20"/>
                <w:szCs w:val="20"/>
              </w:rPr>
              <w:t>0.000</w:t>
            </w:r>
            <w:r>
              <w:rPr>
                <w:rStyle w:val="Verwijzingopmerking"/>
                <w:sz w:val="20"/>
                <w:szCs w:val="20"/>
              </w:rPr>
              <w:t>08</w:t>
            </w:r>
          </w:p>
        </w:tc>
        <w:tc>
          <w:tcPr>
            <w:tcW w:w="1273" w:type="dxa"/>
            <w:shd w:val="clear" w:color="auto" w:fill="auto"/>
          </w:tcPr>
          <w:p w:rsidR="008130CC" w:rsidRPr="00453EE3" w:rsidRDefault="008130CC" w:rsidP="006D3A63">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53EE3">
              <w:rPr>
                <w:sz w:val="20"/>
                <w:szCs w:val="20"/>
              </w:rPr>
              <w:t>***</w:t>
            </w:r>
          </w:p>
        </w:tc>
      </w:tr>
      <w:tr w:rsidR="008130CC" w:rsidTr="006D3A63">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1968" w:type="dxa"/>
            <w:tcBorders>
              <w:bottom w:val="single" w:sz="4" w:space="0" w:color="auto"/>
            </w:tcBorders>
            <w:shd w:val="clear" w:color="auto" w:fill="auto"/>
          </w:tcPr>
          <w:p w:rsidR="008130CC" w:rsidRPr="00453EE3" w:rsidRDefault="008130CC" w:rsidP="006D3A63">
            <w:pPr>
              <w:spacing w:line="360" w:lineRule="auto"/>
              <w:rPr>
                <w:rFonts w:asciiTheme="minorHAnsi" w:hAnsiTheme="minorHAnsi"/>
                <w:sz w:val="20"/>
                <w:szCs w:val="20"/>
              </w:rPr>
            </w:pPr>
            <w:r w:rsidRPr="00453EE3">
              <w:rPr>
                <w:rFonts w:asciiTheme="minorHAnsi" w:hAnsiTheme="minorHAnsi"/>
                <w:sz w:val="20"/>
                <w:szCs w:val="20"/>
              </w:rPr>
              <w:t>Tergal gland acids</w:t>
            </w:r>
          </w:p>
        </w:tc>
        <w:tc>
          <w:tcPr>
            <w:tcW w:w="1179" w:type="dxa"/>
            <w:tcBorders>
              <w:left w:val="nil"/>
              <w:bottom w:val="single" w:sz="4" w:space="0" w:color="auto"/>
            </w:tcBorders>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2.51</w:t>
            </w:r>
          </w:p>
        </w:tc>
        <w:tc>
          <w:tcPr>
            <w:tcW w:w="1389" w:type="dxa"/>
            <w:tcBorders>
              <w:bottom w:val="single" w:sz="4" w:space="0" w:color="auto"/>
            </w:tcBorders>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1.37</w:t>
            </w:r>
          </w:p>
        </w:tc>
        <w:tc>
          <w:tcPr>
            <w:tcW w:w="1418" w:type="dxa"/>
            <w:tcBorders>
              <w:bottom w:val="single" w:sz="4" w:space="0" w:color="auto"/>
            </w:tcBorders>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14.2</w:t>
            </w:r>
          </w:p>
        </w:tc>
        <w:tc>
          <w:tcPr>
            <w:tcW w:w="850" w:type="dxa"/>
            <w:tcBorders>
              <w:bottom w:val="single" w:sz="4" w:space="0" w:color="auto"/>
            </w:tcBorders>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453EE3">
              <w:rPr>
                <w:sz w:val="20"/>
                <w:szCs w:val="20"/>
              </w:rPr>
              <w:t>-2.19</w:t>
            </w:r>
          </w:p>
        </w:tc>
        <w:tc>
          <w:tcPr>
            <w:tcW w:w="995" w:type="dxa"/>
            <w:tcBorders>
              <w:bottom w:val="single" w:sz="4" w:space="0" w:color="auto"/>
            </w:tcBorders>
            <w:shd w:val="clear" w:color="auto" w:fill="auto"/>
          </w:tcPr>
          <w:p w:rsidR="008130CC" w:rsidRPr="00453EE3" w:rsidRDefault="008130CC" w:rsidP="006D3A63">
            <w:pPr>
              <w:spacing w:line="360" w:lineRule="auto"/>
              <w:jc w:val="right"/>
              <w:cnfStyle w:val="000000100000" w:firstRow="0" w:lastRow="0" w:firstColumn="0" w:lastColumn="0" w:oddVBand="0" w:evenVBand="0" w:oddHBand="1" w:evenHBand="0" w:firstRowFirstColumn="0" w:firstRowLastColumn="0" w:lastRowFirstColumn="0" w:lastRowLastColumn="0"/>
              <w:rPr>
                <w:rStyle w:val="Verwijzingopmerking"/>
                <w:sz w:val="20"/>
                <w:szCs w:val="20"/>
              </w:rPr>
            </w:pPr>
            <w:r w:rsidRPr="00453EE3">
              <w:rPr>
                <w:rStyle w:val="Verwijzingopmerking"/>
                <w:sz w:val="20"/>
                <w:szCs w:val="20"/>
              </w:rPr>
              <w:t>0.0</w:t>
            </w:r>
            <w:r>
              <w:rPr>
                <w:rStyle w:val="Verwijzingopmerking"/>
                <w:sz w:val="20"/>
                <w:szCs w:val="20"/>
              </w:rPr>
              <w:t>215</w:t>
            </w:r>
          </w:p>
        </w:tc>
        <w:tc>
          <w:tcPr>
            <w:tcW w:w="1273" w:type="dxa"/>
            <w:tcBorders>
              <w:bottom w:val="single" w:sz="4" w:space="0" w:color="auto"/>
            </w:tcBorders>
            <w:shd w:val="clear" w:color="auto" w:fill="auto"/>
          </w:tcPr>
          <w:p w:rsidR="008130CC" w:rsidRPr="00453EE3" w:rsidRDefault="008130CC" w:rsidP="006D3A6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53EE3">
              <w:rPr>
                <w:sz w:val="20"/>
                <w:szCs w:val="20"/>
              </w:rPr>
              <w:t>*</w:t>
            </w:r>
          </w:p>
        </w:tc>
      </w:tr>
    </w:tbl>
    <w:p w:rsidR="00557DC6" w:rsidRDefault="00557DC6">
      <w:bookmarkStart w:id="0" w:name="_GoBack"/>
      <w:bookmarkEnd w:id="0"/>
    </w:p>
    <w:sectPr w:rsidR="00557D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DF2" w:rsidRDefault="004D7DF2" w:rsidP="009721C3">
      <w:pPr>
        <w:spacing w:after="0" w:line="240" w:lineRule="auto"/>
      </w:pPr>
      <w:r>
        <w:separator/>
      </w:r>
    </w:p>
  </w:endnote>
  <w:endnote w:type="continuationSeparator" w:id="0">
    <w:p w:rsidR="004D7DF2" w:rsidRDefault="004D7DF2" w:rsidP="0097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1C3" w:rsidRPr="009721C3" w:rsidRDefault="009721C3">
    <w:pPr>
      <w:pStyle w:val="Voettekst"/>
    </w:pPr>
    <w:r>
      <w:t xml:space="preserve">Princen </w:t>
    </w:r>
    <w:r>
      <w:rPr>
        <w:i/>
      </w:rPr>
      <w:t xml:space="preserve">et </w:t>
    </w:r>
    <w:r w:rsidRPr="009721C3">
      <w:rPr>
        <w:i/>
      </w:rPr>
      <w:t>al</w:t>
    </w:r>
    <w:r>
      <w:rPr>
        <w:i/>
      </w:rPr>
      <w:t>.</w:t>
    </w:r>
    <w:r w:rsidRPr="009721C3">
      <w:rPr>
        <w:i/>
      </w:rPr>
      <w:ptab w:relativeTo="margin" w:alignment="center" w:leader="none"/>
    </w:r>
    <w:r>
      <w:t>Honeybees have diverse queen pheromones</w:t>
    </w:r>
    <w:r>
      <w:ptab w:relativeTo="margin" w:alignment="right" w:leader="none"/>
    </w:r>
    <w:r>
      <w:t>ESM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DF2" w:rsidRDefault="004D7DF2" w:rsidP="009721C3">
      <w:pPr>
        <w:spacing w:after="0" w:line="240" w:lineRule="auto"/>
      </w:pPr>
      <w:r>
        <w:separator/>
      </w:r>
    </w:p>
  </w:footnote>
  <w:footnote w:type="continuationSeparator" w:id="0">
    <w:p w:rsidR="004D7DF2" w:rsidRDefault="004D7DF2" w:rsidP="00972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0BE"/>
    <w:multiLevelType w:val="hybridMultilevel"/>
    <w:tmpl w:val="DCD47572"/>
    <w:lvl w:ilvl="0" w:tplc="0F580D76">
      <w:start w:val="21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934A8"/>
    <w:multiLevelType w:val="hybridMultilevel"/>
    <w:tmpl w:val="A426CB82"/>
    <w:lvl w:ilvl="0" w:tplc="4000B35E">
      <w:start w:val="21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76239"/>
    <w:multiLevelType w:val="hybridMultilevel"/>
    <w:tmpl w:val="0DE693E4"/>
    <w:lvl w:ilvl="0" w:tplc="F89AB2D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B320CC2"/>
    <w:multiLevelType w:val="hybridMultilevel"/>
    <w:tmpl w:val="C9D69DA6"/>
    <w:lvl w:ilvl="0" w:tplc="D7CC4A6E">
      <w:start w:val="21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CC"/>
    <w:rsid w:val="004D7DF2"/>
    <w:rsid w:val="00557DC6"/>
    <w:rsid w:val="008130CC"/>
    <w:rsid w:val="009721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EF90"/>
  <w15:chartTrackingRefBased/>
  <w15:docId w15:val="{A1B331FB-6C00-4174-B912-2D316B35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130CC"/>
    <w:rPr>
      <w:lang w:val="en-GB"/>
    </w:rPr>
  </w:style>
  <w:style w:type="paragraph" w:styleId="Kop4">
    <w:name w:val="heading 4"/>
    <w:basedOn w:val="Standaard"/>
    <w:link w:val="Kop4Char"/>
    <w:uiPriority w:val="9"/>
    <w:semiHidden/>
    <w:unhideWhenUsed/>
    <w:qFormat/>
    <w:rsid w:val="008130CC"/>
    <w:pPr>
      <w:spacing w:before="100" w:beforeAutospacing="1" w:after="100" w:afterAutospacing="1" w:line="240" w:lineRule="auto"/>
      <w:outlineLvl w:val="3"/>
    </w:pPr>
    <w:rPr>
      <w:rFonts w:ascii="Times New Roman" w:eastAsia="Times New Roman" w:hAnsi="Times New Roman" w:cs="Times New Roman"/>
      <w:b/>
      <w:bCs/>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8130CC"/>
    <w:rPr>
      <w:rFonts w:ascii="Times New Roman" w:eastAsia="Times New Roman" w:hAnsi="Times New Roman" w:cs="Times New Roman"/>
      <w:b/>
      <w:bCs/>
      <w:sz w:val="24"/>
      <w:szCs w:val="24"/>
      <w:lang w:val="de-DE" w:eastAsia="de-DE"/>
    </w:rPr>
  </w:style>
  <w:style w:type="character" w:styleId="Verwijzingopmerking">
    <w:name w:val="annotation reference"/>
    <w:basedOn w:val="Standaardalinea-lettertype"/>
    <w:uiPriority w:val="99"/>
    <w:semiHidden/>
    <w:unhideWhenUsed/>
    <w:rsid w:val="008130CC"/>
    <w:rPr>
      <w:sz w:val="16"/>
      <w:szCs w:val="16"/>
    </w:rPr>
  </w:style>
  <w:style w:type="paragraph" w:styleId="Tekstopmerking">
    <w:name w:val="annotation text"/>
    <w:basedOn w:val="Standaard"/>
    <w:link w:val="TekstopmerkingChar"/>
    <w:uiPriority w:val="99"/>
    <w:semiHidden/>
    <w:unhideWhenUsed/>
    <w:rsid w:val="008130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30CC"/>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8130CC"/>
    <w:rPr>
      <w:b/>
      <w:bCs/>
    </w:rPr>
  </w:style>
  <w:style w:type="character" w:customStyle="1" w:styleId="OnderwerpvanopmerkingChar">
    <w:name w:val="Onderwerp van opmerking Char"/>
    <w:basedOn w:val="TekstopmerkingChar"/>
    <w:link w:val="Onderwerpvanopmerking"/>
    <w:uiPriority w:val="99"/>
    <w:semiHidden/>
    <w:rsid w:val="008130CC"/>
    <w:rPr>
      <w:b/>
      <w:bCs/>
      <w:sz w:val="20"/>
      <w:szCs w:val="20"/>
      <w:lang w:val="en-GB"/>
    </w:rPr>
  </w:style>
  <w:style w:type="paragraph" w:styleId="Ballontekst">
    <w:name w:val="Balloon Text"/>
    <w:basedOn w:val="Standaard"/>
    <w:link w:val="BallontekstChar"/>
    <w:uiPriority w:val="99"/>
    <w:semiHidden/>
    <w:unhideWhenUsed/>
    <w:rsid w:val="008130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30CC"/>
    <w:rPr>
      <w:rFonts w:ascii="Segoe UI" w:hAnsi="Segoe UI" w:cs="Segoe UI"/>
      <w:sz w:val="18"/>
      <w:szCs w:val="18"/>
      <w:lang w:val="en-GB"/>
    </w:rPr>
  </w:style>
  <w:style w:type="character" w:customStyle="1" w:styleId="st">
    <w:name w:val="st"/>
    <w:basedOn w:val="Standaardalinea-lettertype"/>
    <w:rsid w:val="008130CC"/>
  </w:style>
  <w:style w:type="table" w:styleId="Tabelraster">
    <w:name w:val="Table Grid"/>
    <w:basedOn w:val="Standaardtabel"/>
    <w:uiPriority w:val="39"/>
    <w:rsid w:val="0081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21">
    <w:name w:val="Rastertabel 21"/>
    <w:basedOn w:val="Standaardtabel"/>
    <w:uiPriority w:val="47"/>
    <w:rsid w:val="008130C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1">
    <w:name w:val="Lijsttabel 21"/>
    <w:basedOn w:val="Standaardtabel"/>
    <w:uiPriority w:val="47"/>
    <w:rsid w:val="008130C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Onopgemaaktetabel51">
    <w:name w:val="Onopgemaakte tabel 51"/>
    <w:basedOn w:val="Standaardtabel"/>
    <w:uiPriority w:val="45"/>
    <w:rsid w:val="008130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1licht1">
    <w:name w:val="Rastertabel 1 licht1"/>
    <w:basedOn w:val="Standaardtabel"/>
    <w:uiPriority w:val="46"/>
    <w:rsid w:val="008130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Zwaar">
    <w:name w:val="Strong"/>
    <w:basedOn w:val="Standaardalinea-lettertype"/>
    <w:uiPriority w:val="22"/>
    <w:qFormat/>
    <w:rsid w:val="008130CC"/>
    <w:rPr>
      <w:b/>
      <w:bCs/>
    </w:rPr>
  </w:style>
  <w:style w:type="paragraph" w:styleId="Bijschrift">
    <w:name w:val="caption"/>
    <w:basedOn w:val="Standaard"/>
    <w:next w:val="Standaard"/>
    <w:uiPriority w:val="35"/>
    <w:unhideWhenUsed/>
    <w:qFormat/>
    <w:rsid w:val="008130CC"/>
    <w:pPr>
      <w:spacing w:after="200" w:line="240" w:lineRule="auto"/>
    </w:pPr>
    <w:rPr>
      <w:i/>
      <w:iCs/>
      <w:color w:val="44546A" w:themeColor="text2"/>
      <w:sz w:val="18"/>
      <w:szCs w:val="18"/>
    </w:rPr>
  </w:style>
  <w:style w:type="paragraph" w:styleId="Normaalweb">
    <w:name w:val="Normal (Web)"/>
    <w:basedOn w:val="Standaard"/>
    <w:uiPriority w:val="99"/>
    <w:semiHidden/>
    <w:unhideWhenUsed/>
    <w:rsid w:val="008130CC"/>
    <w:pPr>
      <w:spacing w:before="100" w:beforeAutospacing="1" w:after="100" w:afterAutospacing="1" w:line="240" w:lineRule="auto"/>
    </w:pPr>
    <w:rPr>
      <w:rFonts w:ascii="Times New Roman" w:eastAsiaTheme="minorEastAsia" w:hAnsi="Times New Roman" w:cs="Times New Roman"/>
      <w:sz w:val="24"/>
      <w:szCs w:val="24"/>
      <w:lang w:val="nl-BE" w:eastAsia="nl-BE"/>
    </w:rPr>
  </w:style>
  <w:style w:type="paragraph" w:styleId="Lijstalinea">
    <w:name w:val="List Paragraph"/>
    <w:basedOn w:val="Standaard"/>
    <w:uiPriority w:val="34"/>
    <w:qFormat/>
    <w:rsid w:val="008130CC"/>
    <w:pPr>
      <w:ind w:left="720"/>
      <w:contextualSpacing/>
    </w:pPr>
  </w:style>
  <w:style w:type="character" w:styleId="Regelnummer">
    <w:name w:val="line number"/>
    <w:basedOn w:val="Standaardalinea-lettertype"/>
    <w:uiPriority w:val="99"/>
    <w:semiHidden/>
    <w:unhideWhenUsed/>
    <w:rsid w:val="008130CC"/>
  </w:style>
  <w:style w:type="character" w:styleId="Hyperlink">
    <w:name w:val="Hyperlink"/>
    <w:basedOn w:val="Standaardalinea-lettertype"/>
    <w:uiPriority w:val="99"/>
    <w:unhideWhenUsed/>
    <w:rsid w:val="008130CC"/>
    <w:rPr>
      <w:color w:val="0000FF"/>
      <w:u w:val="single"/>
    </w:rPr>
  </w:style>
  <w:style w:type="character" w:styleId="GevolgdeHyperlink">
    <w:name w:val="FollowedHyperlink"/>
    <w:basedOn w:val="Standaardalinea-lettertype"/>
    <w:uiPriority w:val="99"/>
    <w:semiHidden/>
    <w:unhideWhenUsed/>
    <w:rsid w:val="008130CC"/>
    <w:rPr>
      <w:color w:val="800080"/>
      <w:u w:val="single"/>
    </w:rPr>
  </w:style>
  <w:style w:type="paragraph" w:customStyle="1" w:styleId="msonormal0">
    <w:name w:val="msonormal"/>
    <w:basedOn w:val="Standaard"/>
    <w:rsid w:val="008130C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font5">
    <w:name w:val="font5"/>
    <w:basedOn w:val="Standaard"/>
    <w:rsid w:val="008130CC"/>
    <w:pPr>
      <w:spacing w:before="100" w:beforeAutospacing="1" w:after="100" w:afterAutospacing="1" w:line="240" w:lineRule="auto"/>
    </w:pPr>
    <w:rPr>
      <w:rFonts w:ascii="Calibri" w:eastAsia="Times New Roman" w:hAnsi="Calibri" w:cs="Calibri"/>
      <w:b/>
      <w:bCs/>
      <w:color w:val="000000"/>
      <w:lang w:val="nl-BE" w:eastAsia="nl-BE"/>
    </w:rPr>
  </w:style>
  <w:style w:type="paragraph" w:customStyle="1" w:styleId="font6">
    <w:name w:val="font6"/>
    <w:basedOn w:val="Standaard"/>
    <w:rsid w:val="008130CC"/>
    <w:pPr>
      <w:spacing w:before="100" w:beforeAutospacing="1" w:after="100" w:afterAutospacing="1" w:line="240" w:lineRule="auto"/>
    </w:pPr>
    <w:rPr>
      <w:rFonts w:ascii="Calibri" w:eastAsia="Times New Roman" w:hAnsi="Calibri" w:cs="Calibri"/>
      <w:b/>
      <w:bCs/>
      <w:i/>
      <w:iCs/>
      <w:color w:val="000000"/>
      <w:lang w:val="nl-BE" w:eastAsia="nl-BE"/>
    </w:rPr>
  </w:style>
  <w:style w:type="paragraph" w:customStyle="1" w:styleId="font7">
    <w:name w:val="font7"/>
    <w:basedOn w:val="Standaard"/>
    <w:rsid w:val="008130CC"/>
    <w:pPr>
      <w:spacing w:before="100" w:beforeAutospacing="1" w:after="100" w:afterAutospacing="1" w:line="240" w:lineRule="auto"/>
    </w:pPr>
    <w:rPr>
      <w:rFonts w:ascii="Calibri" w:eastAsia="Times New Roman" w:hAnsi="Calibri" w:cs="Calibri"/>
      <w:b/>
      <w:bCs/>
      <w:i/>
      <w:iCs/>
      <w:color w:val="000000"/>
      <w:lang w:val="nl-BE" w:eastAsia="nl-BE"/>
    </w:rPr>
  </w:style>
  <w:style w:type="paragraph" w:customStyle="1" w:styleId="xl65">
    <w:name w:val="xl65"/>
    <w:basedOn w:val="Standaard"/>
    <w:rsid w:val="008130CC"/>
    <w:pPr>
      <w:spacing w:before="100" w:beforeAutospacing="1" w:after="100" w:afterAutospacing="1" w:line="240" w:lineRule="auto"/>
    </w:pPr>
    <w:rPr>
      <w:rFonts w:ascii="Times New Roman" w:eastAsia="Times New Roman" w:hAnsi="Times New Roman" w:cs="Times New Roman"/>
      <w:b/>
      <w:bCs/>
      <w:sz w:val="24"/>
      <w:szCs w:val="24"/>
      <w:lang w:val="nl-BE" w:eastAsia="nl-BE"/>
    </w:rPr>
  </w:style>
  <w:style w:type="paragraph" w:customStyle="1" w:styleId="xl66">
    <w:name w:val="xl66"/>
    <w:basedOn w:val="Standaard"/>
    <w:rsid w:val="008130CC"/>
    <w:pPr>
      <w:spacing w:before="100" w:beforeAutospacing="1" w:after="100" w:afterAutospacing="1" w:line="240" w:lineRule="auto"/>
    </w:pPr>
    <w:rPr>
      <w:rFonts w:ascii="Times New Roman" w:eastAsia="Times New Roman" w:hAnsi="Times New Roman" w:cs="Times New Roman"/>
      <w:b/>
      <w:bCs/>
      <w:sz w:val="24"/>
      <w:szCs w:val="24"/>
      <w:lang w:val="nl-BE" w:eastAsia="nl-BE"/>
    </w:rPr>
  </w:style>
  <w:style w:type="paragraph" w:customStyle="1" w:styleId="xl67">
    <w:name w:val="xl67"/>
    <w:basedOn w:val="Standaard"/>
    <w:rsid w:val="008130CC"/>
    <w:pPr>
      <w:spacing w:before="100" w:beforeAutospacing="1" w:after="100" w:afterAutospacing="1" w:line="240" w:lineRule="auto"/>
    </w:pPr>
    <w:rPr>
      <w:rFonts w:ascii="Times New Roman" w:eastAsia="Times New Roman" w:hAnsi="Times New Roman" w:cs="Times New Roman"/>
      <w:b/>
      <w:bCs/>
      <w:sz w:val="24"/>
      <w:szCs w:val="24"/>
      <w:lang w:val="nl-BE" w:eastAsia="nl-BE"/>
    </w:rPr>
  </w:style>
  <w:style w:type="paragraph" w:customStyle="1" w:styleId="xl68">
    <w:name w:val="xl68"/>
    <w:basedOn w:val="Standaard"/>
    <w:rsid w:val="008130CC"/>
    <w:pPr>
      <w:spacing w:before="100" w:beforeAutospacing="1" w:after="100" w:afterAutospacing="1" w:line="240" w:lineRule="auto"/>
    </w:pPr>
    <w:rPr>
      <w:rFonts w:ascii="Times New Roman" w:eastAsia="Times New Roman" w:hAnsi="Times New Roman" w:cs="Times New Roman"/>
      <w:b/>
      <w:bCs/>
      <w:sz w:val="24"/>
      <w:szCs w:val="24"/>
      <w:lang w:val="nl-BE" w:eastAsia="nl-BE"/>
    </w:rPr>
  </w:style>
  <w:style w:type="table" w:customStyle="1" w:styleId="Onopgemaaktetabel21">
    <w:name w:val="Onopgemaakte tabel 21"/>
    <w:basedOn w:val="Standaardtabel"/>
    <w:uiPriority w:val="42"/>
    <w:rsid w:val="008130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Standaard"/>
    <w:link w:val="EndNoteBibliographyTitleChar"/>
    <w:rsid w:val="008130CC"/>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8130CC"/>
    <w:rPr>
      <w:rFonts w:ascii="Calibri" w:hAnsi="Calibri" w:cs="Calibri"/>
      <w:noProof/>
      <w:lang w:val="en-US"/>
    </w:rPr>
  </w:style>
  <w:style w:type="paragraph" w:customStyle="1" w:styleId="EndNoteBibliography">
    <w:name w:val="EndNote Bibliography"/>
    <w:basedOn w:val="Standaard"/>
    <w:link w:val="EndNoteBibliographyChar"/>
    <w:rsid w:val="008130CC"/>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8130CC"/>
    <w:rPr>
      <w:rFonts w:ascii="Calibri" w:hAnsi="Calibri" w:cs="Calibri"/>
      <w:noProof/>
      <w:lang w:val="en-US"/>
    </w:rPr>
  </w:style>
  <w:style w:type="character" w:customStyle="1" w:styleId="p-honorific-prefix">
    <w:name w:val="p-honorific-prefix"/>
    <w:basedOn w:val="Standaardalinea-lettertype"/>
    <w:rsid w:val="008130CC"/>
  </w:style>
  <w:style w:type="character" w:customStyle="1" w:styleId="p-org">
    <w:name w:val="p-org"/>
    <w:basedOn w:val="Standaardalinea-lettertype"/>
    <w:rsid w:val="008130CC"/>
  </w:style>
  <w:style w:type="paragraph" w:styleId="Geenafstand">
    <w:name w:val="No Spacing"/>
    <w:uiPriority w:val="1"/>
    <w:qFormat/>
    <w:rsid w:val="008130CC"/>
    <w:pPr>
      <w:spacing w:after="0" w:line="240" w:lineRule="auto"/>
    </w:pPr>
    <w:rPr>
      <w:lang w:val="en-GB"/>
    </w:rPr>
  </w:style>
  <w:style w:type="paragraph" w:styleId="Koptekst">
    <w:name w:val="header"/>
    <w:basedOn w:val="Standaard"/>
    <w:link w:val="KoptekstChar"/>
    <w:uiPriority w:val="99"/>
    <w:unhideWhenUsed/>
    <w:rsid w:val="009721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21C3"/>
    <w:rPr>
      <w:lang w:val="en-GB"/>
    </w:rPr>
  </w:style>
  <w:style w:type="paragraph" w:styleId="Voettekst">
    <w:name w:val="footer"/>
    <w:basedOn w:val="Standaard"/>
    <w:link w:val="VoettekstChar"/>
    <w:uiPriority w:val="99"/>
    <w:unhideWhenUsed/>
    <w:rsid w:val="009721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21C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3145</Words>
  <Characters>17930</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Princen</dc:creator>
  <cp:keywords/>
  <dc:description/>
  <cp:lastModifiedBy>Sarah Princen</cp:lastModifiedBy>
  <cp:revision>2</cp:revision>
  <dcterms:created xsi:type="dcterms:W3CDTF">2019-05-03T06:58:00Z</dcterms:created>
  <dcterms:modified xsi:type="dcterms:W3CDTF">2019-05-03T07:02:00Z</dcterms:modified>
</cp:coreProperties>
</file>