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0229" w:rsidRPr="00BA140D" w:rsidRDefault="00A90229" w:rsidP="00A90229">
      <w:pPr>
        <w:jc w:val="center"/>
        <w:rPr>
          <w:b/>
          <w:sz w:val="32"/>
        </w:rPr>
      </w:pPr>
      <w:r w:rsidRPr="00BA140D">
        <w:rPr>
          <w:b/>
          <w:sz w:val="32"/>
        </w:rPr>
        <w:t>Supplementary Material 2</w:t>
      </w:r>
    </w:p>
    <w:p w:rsidR="00A90229" w:rsidRPr="00D76D2A" w:rsidRDefault="00A90229" w:rsidP="00D76D2A">
      <w:pPr>
        <w:pStyle w:val="Heading1"/>
      </w:pPr>
      <w:r w:rsidRPr="00D76D2A">
        <w:t>Environmental data – Model description &amp; data preparation</w:t>
      </w:r>
    </w:p>
    <w:p w:rsidR="00A90229" w:rsidRPr="00BA140D" w:rsidRDefault="00A90229" w:rsidP="00A90229">
      <w:pPr>
        <w:pStyle w:val="Heading2"/>
        <w:rPr>
          <w:sz w:val="24"/>
        </w:rPr>
      </w:pPr>
      <w:r w:rsidRPr="00BA140D">
        <w:rPr>
          <w:sz w:val="24"/>
        </w:rPr>
        <w:t>HadCM3 – general circulation model</w:t>
      </w:r>
    </w:p>
    <w:p w:rsidR="00A90229" w:rsidRDefault="00A90229" w:rsidP="00A90229">
      <w:pPr>
        <w:spacing w:line="360" w:lineRule="auto"/>
        <w:jc w:val="both"/>
      </w:pPr>
      <w:r w:rsidRPr="00BA5C5B">
        <w:t>The atmospheric component of HadCM3 has a horizontal resolution of 2.5° x 3.75° and a vertical resolution of 19 levels</w:t>
      </w:r>
      <w:r w:rsidR="00226FDA">
        <w:t>,</w:t>
      </w:r>
      <w:r w:rsidRPr="00BA5C5B">
        <w:t xml:space="preserve"> with a time step of 30 min. The horizontal resolution of the oceanic component has a higher resolution of 1.25° x 1.25°, with a vertical resolution of 20 levels to a depth of 5500 m. In this study, irradiance (atmospheric component) was </w:t>
      </w:r>
      <w:proofErr w:type="spellStart"/>
      <w:r w:rsidRPr="00BA5C5B">
        <w:t>bilinearly</w:t>
      </w:r>
      <w:proofErr w:type="spellEnd"/>
      <w:r w:rsidRPr="00BA5C5B">
        <w:t xml:space="preserve"> interpolated to 1.25° x 1.25° to match the resolution of the corresponding oceanic variables. HadCM3 is relatively low in resolution compared with more local-scale models, but it performs well, particularly in regards to mean climate state </w:t>
      </w:r>
      <w:r w:rsidRPr="00BA5C5B">
        <w:fldChar w:fldCharType="begin"/>
      </w:r>
      <w:r>
        <w:instrText xml:space="preserve"> ADDIN EN.CITE &lt;EndNote&gt;&lt;Cite&gt;&lt;Author&gt;Flato&lt;/Author&gt;&lt;Year&gt;2013&lt;/Year&gt;&lt;RecNum&gt;786&lt;/RecNum&gt;&lt;DisplayText&gt;[1]&lt;/DisplayText&gt;&lt;record&gt;&lt;rec-number&gt;786&lt;/rec-number&gt;&lt;foreign-keys&gt;&lt;key app="EN" db-id="tzfwspr9dwerfpeedrp5sfrtrz2fwxdz2909" timestamp="1502894758"&gt;786&lt;/key&gt;&lt;key app="ENWeb" db-id=""&gt;0&lt;/key&gt;&lt;/foreign-keys&gt;&lt;ref-type name="Book Section"&gt;5&lt;/ref-type&gt;&lt;contributors&gt;&lt;authors&gt;&lt;author&gt;Flato, G.&lt;/author&gt;&lt;author&gt;Marotzke, J.&lt;/author&gt;&lt;author&gt;Abiodun, B.&lt;/author&gt;&lt;author&gt;Braconnot, P.&lt;/author&gt;&lt;author&gt;Chou, S.&lt;/author&gt;&lt;author&gt;Collins, W.&lt;/author&gt;&lt;author&gt;Cox, P. M.&lt;/author&gt;&lt;author&gt;Driouech, F.&lt;/author&gt;&lt;author&gt;Emori, S.&lt;/author&gt;&lt;author&gt;Eyring, V.&lt;/author&gt;&lt;author&gt;Forest, C.&lt;/author&gt;&lt;author&gt;Gleckler, P.&lt;/author&gt;&lt;author&gt;Guilyardi, E.&lt;/author&gt;&lt;author&gt;Jakob, C.&lt;/author&gt;&lt;author&gt;Kattsov, V.&lt;/author&gt;&lt;author&gt;Reason, C.&lt;/author&gt;&lt;author&gt;Rummukainen, M.&lt;/author&gt;&lt;/authors&gt;&lt;secondary-authors&gt;&lt;author&gt;Qin, T.&lt;/author&gt;&lt;author&gt;Plattner, D.&lt;/author&gt;&lt;author&gt;Tignor, M.&lt;/author&gt;&lt;author&gt;Allen, S.&lt;/author&gt;&lt;author&gt;Boschung, J.&lt;/author&gt;&lt;author&gt;Nauels, A.&lt;/author&gt;&lt;author&gt;Xia, Y.&lt;/author&gt;&lt;author&gt;Bex, V.&lt;/author&gt;&lt;author&gt;Midgley, P.&lt;/author&gt;&lt;/secondary-authors&gt;&lt;/contributors&gt;&lt;titles&gt;&lt;title&gt;Evaluation of Climate Models&lt;/title&gt;&lt;secondary-title&gt;Climate Change 2013: The Physical Science Basis. Contribution of Working Group I to the Fifth Assessment Report of the Intergovernmental Panel on Climate Change&lt;/secondary-title&gt;&lt;/titles&gt;&lt;pages&gt;741-866&lt;/pages&gt;&lt;dates&gt;&lt;year&gt;2013&lt;/year&gt;&lt;/dates&gt;&lt;pub-location&gt;Cambridge, UK&lt;/pub-location&gt;&lt;publisher&gt;Cambridge University Press&lt;/publisher&gt;&lt;urls&gt;&lt;/urls&gt;&lt;/record&gt;&lt;/Cite&gt;&lt;/EndNote&gt;</w:instrText>
      </w:r>
      <w:r w:rsidRPr="00BA5C5B">
        <w:fldChar w:fldCharType="separate"/>
      </w:r>
      <w:r>
        <w:rPr>
          <w:noProof/>
        </w:rPr>
        <w:t>[1]</w:t>
      </w:r>
      <w:r w:rsidRPr="00BA5C5B">
        <w:fldChar w:fldCharType="end"/>
      </w:r>
      <w:r w:rsidRPr="00BA5C5B">
        <w:t>. Although the resolution of environmental data might represent an aggregated value of the true value at occurrence localities, this is likely insignificant for parameters such as irradiance and sea surface temperature</w:t>
      </w:r>
      <w:r w:rsidR="000C7291">
        <w:t xml:space="preserve"> (SST)</w:t>
      </w:r>
      <w:r w:rsidRPr="00BA5C5B">
        <w:t xml:space="preserve">, whereas salinity </w:t>
      </w:r>
      <w:r w:rsidR="0061005E">
        <w:t xml:space="preserve">and bathymetry </w:t>
      </w:r>
      <w:r w:rsidRPr="00BA5C5B">
        <w:t xml:space="preserve">might vary quite considerably over small geographical distances </w:t>
      </w:r>
      <w:r w:rsidRPr="00BA5C5B">
        <w:fldChar w:fldCharType="begin"/>
      </w:r>
      <w:r>
        <w:instrText xml:space="preserve"> ADDIN EN.CITE &lt;EndNote&gt;&lt;Cite&gt;&lt;Author&gt;Wiens&lt;/Author&gt;&lt;Year&gt;2009&lt;/Year&gt;&lt;RecNum&gt;840&lt;/RecNum&gt;&lt;DisplayText&gt;[2]&lt;/DisplayText&gt;&lt;record&gt;&lt;rec-number&gt;840&lt;/rec-number&gt;&lt;foreign-keys&gt;&lt;key app="EN" db-id="tzfwspr9dwerfpeedrp5sfrtrz2fwxdz2909" timestamp="1520968792"&gt;840&lt;/key&gt;&lt;key app="ENWeb" db-id=""&gt;0&lt;/key&gt;&lt;/foreign-keys&gt;&lt;ref-type name="Journal Article"&gt;17&lt;/ref-type&gt;&lt;contributors&gt;&lt;authors&gt;&lt;author&gt;Wiens, J. A.&lt;/author&gt;&lt;author&gt;Stralberg, D.&lt;/author&gt;&lt;author&gt;Jongsomjit, D.&lt;/author&gt;&lt;author&gt;Howell, C. A.&lt;/author&gt;&lt;author&gt;Snyder, M. A.&lt;/author&gt;&lt;/authors&gt;&lt;/contributors&gt;&lt;auth-address&gt;PRBO Conservation Science, 3820 Cypress Drive #11, Petaluma, CA 94954, USA. jwiens@prbo.org&lt;/auth-address&gt;&lt;titles&gt;&lt;title&gt;Niches, models, and climate change: assessing the assumptions and uncertainties&lt;/title&gt;&lt;secondary-title&gt;Proc Natl Acad Sci U S A&lt;/secondary-title&gt;&lt;/titles&gt;&lt;periodical&gt;&lt;full-title&gt;Proc Natl Acad Sci U S A&lt;/full-title&gt;&lt;/periodical&gt;&lt;pages&gt;19729-36&lt;/pages&gt;&lt;volume&gt;106 Suppl 2&lt;/volume&gt;&lt;keywords&gt;&lt;keyword&gt;*Algorithms&lt;/keyword&gt;&lt;keyword&gt;Animals&lt;/keyword&gt;&lt;keyword&gt;*Biodiversity&lt;/keyword&gt;&lt;keyword&gt;Birds/*physiology&lt;/keyword&gt;&lt;keyword&gt;California&lt;/keyword&gt;&lt;keyword&gt;*Models, Biological&lt;/keyword&gt;&lt;/keywords&gt;&lt;dates&gt;&lt;year&gt;2009&lt;/year&gt;&lt;pub-dates&gt;&lt;date&gt;Nov 17&lt;/date&gt;&lt;/pub-dates&gt;&lt;/dates&gt;&lt;isbn&gt;1091-6490 (Electronic)&amp;#xD;0027-8424 (Linking)&lt;/isbn&gt;&lt;accession-num&gt;19822750&lt;/accession-num&gt;&lt;urls&gt;&lt;related-urls&gt;&lt;url&gt;http://www.ncbi.nlm.nih.gov/pubmed/19822750&lt;/url&gt;&lt;/related-urls&gt;&lt;/urls&gt;&lt;custom2&gt;PMC2780938&lt;/custom2&gt;&lt;electronic-resource-num&gt;10.1073/pnas.0901639106&lt;/electronic-resource-num&gt;&lt;/record&gt;&lt;/Cite&gt;&lt;/EndNote&gt;</w:instrText>
      </w:r>
      <w:r w:rsidRPr="00BA5C5B">
        <w:fldChar w:fldCharType="separate"/>
      </w:r>
      <w:r>
        <w:rPr>
          <w:noProof/>
        </w:rPr>
        <w:t>[2]</w:t>
      </w:r>
      <w:r w:rsidRPr="00BA5C5B">
        <w:fldChar w:fldCharType="end"/>
      </w:r>
      <w:r w:rsidRPr="00BA5C5B">
        <w:t xml:space="preserve">. However, previous work has shown salinity to be considerably less significant than both SST and irradiance at a global scale, with little contribution to model construction </w:t>
      </w:r>
      <w:r w:rsidRPr="00BA5C5B">
        <w:fldChar w:fldCharType="begin"/>
      </w:r>
      <w:r>
        <w:instrText xml:space="preserve"> ADDIN EN.CITE &lt;EndNote&gt;&lt;Cite&gt;&lt;Author&gt;Couce&lt;/Author&gt;&lt;Year&gt;2012&lt;/Year&gt;&lt;RecNum&gt;705&lt;/RecNum&gt;&lt;DisplayText&gt;[3]&lt;/DisplayText&gt;&lt;record&gt;&lt;rec-number&gt;705&lt;/rec-number&gt;&lt;foreign-keys&gt;&lt;key app="EN" db-id="tzfwspr9dwerfpeedrp5sfrtrz2fwxdz2909" timestamp="1494927084"&gt;705&lt;/key&gt;&lt;key app="ENWeb" db-id=""&gt;0&lt;/key&gt;&lt;/foreign-keys&gt;&lt;ref-type name="Journal Article"&gt;17&lt;/ref-type&gt;&lt;contributors&gt;&lt;authors&gt;&lt;author&gt;Couce, Elena&lt;/author&gt;&lt;author&gt;Ridgwell, Andy&lt;/author&gt;&lt;author&gt;Hendy, Erica J.&lt;/author&gt;&lt;/authors&gt;&lt;/contributors&gt;&lt;titles&gt;&lt;title&gt;Environmental controls on the global distribution of shallow-water coral reefs&lt;/title&gt;&lt;secondary-title&gt;Journal of Biogeography&lt;/secondary-title&gt;&lt;/titles&gt;&lt;periodical&gt;&lt;full-title&gt;Journal of Biogeography&lt;/full-title&gt;&lt;/periodical&gt;&lt;pages&gt;1508-1523&lt;/pages&gt;&lt;volume&gt;39&lt;/volume&gt;&lt;number&gt;8&lt;/number&gt;&lt;dates&gt;&lt;year&gt;2012&lt;/year&gt;&lt;/dates&gt;&lt;isbn&gt;03050270&lt;/isbn&gt;&lt;urls&gt;&lt;/urls&gt;&lt;electronic-resource-num&gt;10.1111/j.1365-2699.2012.02706.x&lt;/electronic-resource-num&gt;&lt;/record&gt;&lt;/Cite&gt;&lt;/EndNote&gt;</w:instrText>
      </w:r>
      <w:r w:rsidRPr="00BA5C5B">
        <w:fldChar w:fldCharType="separate"/>
      </w:r>
      <w:r>
        <w:rPr>
          <w:noProof/>
        </w:rPr>
        <w:t>[3]</w:t>
      </w:r>
      <w:r w:rsidRPr="00BA5C5B">
        <w:fldChar w:fldCharType="end"/>
      </w:r>
      <w:r w:rsidRPr="00BA5C5B">
        <w:t xml:space="preserve">. </w:t>
      </w:r>
      <w:r w:rsidR="004A135C">
        <w:t>Nevertheless, at localised scales salinity and bathymetry are likely to have</w:t>
      </w:r>
      <w:r w:rsidR="007F5F22">
        <w:t xml:space="preserve"> an</w:t>
      </w:r>
      <w:r w:rsidR="004A135C">
        <w:t xml:space="preserve"> </w:t>
      </w:r>
      <w:r w:rsidR="00051E64">
        <w:t xml:space="preserve">impact upon </w:t>
      </w:r>
      <w:r w:rsidR="00226FDA">
        <w:t xml:space="preserve">the </w:t>
      </w:r>
      <w:r w:rsidR="00051E64">
        <w:t xml:space="preserve">persistence of reef corals, and it should be borne in mind that it will not be captured within our </w:t>
      </w:r>
      <w:r w:rsidR="00226FDA">
        <w:t>ecological niche models (</w:t>
      </w:r>
      <w:r w:rsidR="00051E64">
        <w:t>ENMs</w:t>
      </w:r>
      <w:r w:rsidR="00226FDA">
        <w:t>)</w:t>
      </w:r>
      <w:r w:rsidR="00051E64">
        <w:t>.</w:t>
      </w:r>
    </w:p>
    <w:p w:rsidR="00502DCA" w:rsidRPr="00BA140D" w:rsidRDefault="00502DCA" w:rsidP="00502DCA">
      <w:pPr>
        <w:pStyle w:val="Heading2"/>
        <w:rPr>
          <w:sz w:val="24"/>
        </w:rPr>
      </w:pPr>
      <w:r>
        <w:rPr>
          <w:sz w:val="24"/>
        </w:rPr>
        <w:t>Future climate scenarios</w:t>
      </w:r>
    </w:p>
    <w:p w:rsidR="00502DCA" w:rsidRDefault="00502DCA" w:rsidP="00A90229">
      <w:pPr>
        <w:spacing w:line="360" w:lineRule="auto"/>
        <w:jc w:val="both"/>
      </w:pPr>
      <w:r>
        <w:t xml:space="preserve">In this study, we used IPCC representative concentration pathways (RCP) 4.5 and 8.5 for our future climate scenario simulations </w:t>
      </w:r>
      <w:r>
        <w:fldChar w:fldCharType="begin">
          <w:fldData xml:space="preserve">PEVuZE5vdGU+PENpdGU+PEF1dGhvcj52YW4gVnV1cmVuPC9BdXRob3I+PFllYXI+MjAxMTwvWWVh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</w:fldData>
        </w:fldChar>
      </w:r>
      <w:r>
        <w:instrText xml:space="preserve"> ADDIN EN.CITE </w:instrText>
      </w:r>
      <w:r>
        <w:fldChar w:fldCharType="begin">
          <w:fldData xml:space="preserve">PEVuZE5vdGU+PENpdGU+PEF1dGhvcj52YW4gVnV1cmVuPC9BdXRob3I+PFllYXI+MjAxMTwvWWVh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</w:fldData>
        </w:fldChar>
      </w:r>
      <w:r>
        <w:instrText xml:space="preserve"> ADDIN EN.CITE.DATA </w:instrText>
      </w:r>
      <w:r>
        <w:fldChar w:fldCharType="end"/>
      </w:r>
      <w:r>
        <w:fldChar w:fldCharType="separate"/>
      </w:r>
      <w:r>
        <w:rPr>
          <w:noProof/>
        </w:rPr>
        <w:t>[4-6]</w:t>
      </w:r>
      <w:r>
        <w:fldChar w:fldCharType="end"/>
      </w:r>
      <w:r>
        <w:t xml:space="preserve">. RCP4.5 is a climate scenario simulation which stabilizes radiative forcing at </w:t>
      </w:r>
      <w:r w:rsidRPr="00D01D3A">
        <w:t>4.5 W m</w:t>
      </w:r>
      <w:r w:rsidRPr="00D01D3A">
        <w:rPr>
          <w:vertAlign w:val="superscript"/>
        </w:rPr>
        <w:t>−2</w:t>
      </w:r>
      <w:r>
        <w:rPr>
          <w:vertAlign w:val="superscript"/>
        </w:rPr>
        <w:t xml:space="preserve"> </w:t>
      </w:r>
      <w:r>
        <w:t>(approximately equivalent to 650 ppm CO</w:t>
      </w:r>
      <w:r w:rsidRPr="00BB7BBF">
        <w:rPr>
          <w:vertAlign w:val="subscript"/>
        </w:rPr>
        <w:t>2</w:t>
      </w:r>
      <w:r>
        <w:t xml:space="preserve">) </w:t>
      </w:r>
      <w:r w:rsidRPr="00BB7BBF">
        <w:t>by</w:t>
      </w:r>
      <w:r>
        <w:t xml:space="preserve"> the end of the century, without ever surpassing that value, whereas RCP8.5 has a radiative forcing of 8</w:t>
      </w:r>
      <w:r w:rsidRPr="00D01D3A">
        <w:t>.5 W m</w:t>
      </w:r>
      <w:r w:rsidRPr="00D01D3A">
        <w:rPr>
          <w:vertAlign w:val="superscript"/>
        </w:rPr>
        <w:t>−2</w:t>
      </w:r>
      <w:r>
        <w:rPr>
          <w:vertAlign w:val="superscript"/>
        </w:rPr>
        <w:t xml:space="preserve"> </w:t>
      </w:r>
      <w:r>
        <w:t>(approximately equivalent to 936 ppm CO</w:t>
      </w:r>
      <w:r w:rsidRPr="00BB7BBF">
        <w:rPr>
          <w:vertAlign w:val="subscript"/>
        </w:rPr>
        <w:t>2</w:t>
      </w:r>
      <w:r>
        <w:t xml:space="preserve">) by 2100 </w:t>
      </w:r>
      <w:r>
        <w:fldChar w:fldCharType="begin">
          <w:fldData xml:space="preserve">PEVuZE5vdGU+PENpdGU+PEF1dGhvcj5UaG9tc29uPC9BdXRob3I+PFllYXI+MjAxMTwvWWVhcj48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</w:fldData>
        </w:fldChar>
      </w:r>
      <w:r>
        <w:instrText xml:space="preserve"> ADDIN EN.CITE </w:instrText>
      </w:r>
      <w:r>
        <w:fldChar w:fldCharType="begin">
          <w:fldData xml:space="preserve">PEVuZE5vdGU+PENpdGU+PEF1dGhvcj5UaG9tc29uPC9BdXRob3I+PFllYXI+MjAxMTwvWWVhcj48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</w:fldData>
        </w:fldChar>
      </w:r>
      <w:r>
        <w:instrText xml:space="preserve"> ADDIN EN.CITE.DATA </w:instrText>
      </w:r>
      <w:r>
        <w:fldChar w:fldCharType="end"/>
      </w:r>
      <w:r>
        <w:fldChar w:fldCharType="separate"/>
      </w:r>
      <w:r>
        <w:rPr>
          <w:noProof/>
        </w:rPr>
        <w:t>[5, 6]</w:t>
      </w:r>
      <w:r>
        <w:fldChar w:fldCharType="end"/>
      </w:r>
      <w:r>
        <w:t xml:space="preserve">. The RCP4.5 scenario assumes that climate policies are put into practise to curb global greenhouse emissions, resulting in the stabilization of emissions </w:t>
      </w:r>
      <w:r>
        <w:fldChar w:fldCharType="begin"/>
      </w:r>
      <w:r>
        <w:instrText xml:space="preserve"> ADDIN EN.CITE &lt;EndNote&gt;&lt;Cite&gt;&lt;Author&gt;Thomson&lt;/Author&gt;&lt;Year&gt;2011&lt;/Year&gt;&lt;RecNum&gt;860&lt;/RecNum&gt;&lt;DisplayText&gt;[6]&lt;/DisplayText&gt;&lt;record&gt;&lt;rec-number&gt;860&lt;/rec-number&gt;&lt;foreign-keys&gt;&lt;key app="EN" db-id="tzfwspr9dwerfpeedrp5sfrtrz2fwxdz2909" timestamp="1522921749"&gt;860&lt;/key&gt;&lt;key app="ENWeb" db-id=""&gt;0&lt;/key&gt;&lt;/foreign-keys&gt;&lt;ref-type name="Journal Article"&gt;17&lt;/ref-type&gt;&lt;contributors&gt;&lt;authors&gt;&lt;author&gt;Thomson, Allison M.&lt;/author&gt;&lt;author&gt;Calvin, Katherine V.&lt;/author&gt;&lt;author&gt;Smith, Steven J.&lt;/author&gt;&lt;author&gt;Kyle, G. Page&lt;/author&gt;&lt;author&gt;Volke, April&lt;/author&gt;&lt;author&gt;Patel, Pralit&lt;/author&gt;&lt;author&gt;Delgado-Arias, Sabrina&lt;/author&gt;&lt;author&gt;Bond-Lamberty, Ben&lt;/author&gt;&lt;author&gt;Wise, Marshall A.&lt;/author&gt;&lt;author&gt;Clarke, Leon E.&lt;/author&gt;&lt;author&gt;Edmonds, James A.&lt;/author&gt;&lt;/authors&gt;&lt;/contributors&gt;&lt;titles&gt;&lt;title&gt;RCP4.5: a pathway for stabilization of radiative forcing by 2100&lt;/title&gt;&lt;secondary-title&gt;Climatic Change&lt;/secondary-title&gt;&lt;/titles&gt;&lt;periodical&gt;&lt;full-title&gt;Climatic Change&lt;/full-title&gt;&lt;/periodical&gt;&lt;pages&gt;77-94&lt;/pages&gt;&lt;volume&gt;109&lt;/volume&gt;&lt;number&gt;1-2&lt;/number&gt;&lt;dates&gt;&lt;year&gt;2011&lt;/year&gt;&lt;/dates&gt;&lt;isbn&gt;0165-0009&amp;#xD;1573-1480&lt;/isbn&gt;&lt;urls&gt;&lt;/urls&gt;&lt;electronic-resource-num&gt;10.1007/s10584-011-0151-4&lt;/electronic-resource-num&gt;&lt;/record&gt;&lt;/Cite&gt;&lt;/EndNote&gt;</w:instrText>
      </w:r>
      <w:r>
        <w:fldChar w:fldCharType="separate"/>
      </w:r>
      <w:r>
        <w:rPr>
          <w:noProof/>
        </w:rPr>
        <w:t>[6]</w:t>
      </w:r>
      <w:r>
        <w:fldChar w:fldCharType="end"/>
      </w:r>
      <w:r>
        <w:t xml:space="preserve">. Conversely, the RCP8.5 scenario assumes a global population of 12 billion by 2100, slow income growth, meek energy efficiency development, and little progress in curbing emissions </w:t>
      </w:r>
      <w:r>
        <w:fldChar w:fldCharType="begin"/>
      </w:r>
      <w:r>
        <w:instrText xml:space="preserve"> ADDIN EN.CITE &lt;EndNote&gt;&lt;Cite&gt;&lt;Author&gt;Riahi&lt;/Author&gt;&lt;Year&gt;2011&lt;/Year&gt;&lt;RecNum&gt;859&lt;/RecNum&gt;&lt;DisplayText&gt;[5]&lt;/DisplayText&gt;&lt;record&gt;&lt;rec-number&gt;859&lt;/rec-number&gt;&lt;foreign-keys&gt;&lt;key app="EN" db-id="tzfwspr9dwerfpeedrp5sfrtrz2fwxdz2909" timestamp="1522921739"&gt;859&lt;/key&gt;&lt;key app="ENWeb" db-id=""&gt;0&lt;/key&gt;&lt;/foreign-keys&gt;&lt;ref-type name="Journal Article"&gt;17&lt;/ref-type&gt;&lt;contributors&gt;&lt;authors&gt;&lt;author&gt;Riahi, Keywan&lt;/author&gt;&lt;author&gt;Rao, Shilpa&lt;/author&gt;&lt;author&gt;Krey, Volker&lt;/author&gt;&lt;author&gt;Cho, Cheolhung&lt;/author&gt;&lt;author&gt;Chirkov, Vadim&lt;/author&gt;&lt;author&gt;Fischer, Guenther&lt;/author&gt;&lt;author&gt;Kindermann, Georg&lt;/author&gt;&lt;author&gt;Nakicenovic, Nebojsa&lt;/author&gt;&lt;author&gt;Rafaj, Peter&lt;/author&gt;&lt;/authors&gt;&lt;/contributors&gt;&lt;titles&gt;&lt;title&gt;RCP 8.5—A scenario of comparatively high greenhouse gas emissions&lt;/title&gt;&lt;secondary-title&gt;Climatic Change&lt;/secondary-title&gt;&lt;/titles&gt;&lt;periodical&gt;&lt;full-title&gt;Climatic Change&lt;/full-title&gt;&lt;/periodical&gt;&lt;pages&gt;33-57&lt;/pages&gt;&lt;volume&gt;109&lt;/volume&gt;&lt;number&gt;1-2&lt;/number&gt;&lt;dates&gt;&lt;year&gt;2011&lt;/year&gt;&lt;/dates&gt;&lt;isbn&gt;0165-0009&amp;#xD;1573-1480&lt;/isbn&gt;&lt;urls&gt;&lt;/urls&gt;&lt;electronic-resource-num&gt;10.1007/s10584-011-0149-y&lt;/electronic-resource-num&gt;&lt;/record&gt;&lt;/Cite&gt;&lt;/EndNote&gt;</w:instrText>
      </w:r>
      <w:r>
        <w:fldChar w:fldCharType="separate"/>
      </w:r>
      <w:r>
        <w:rPr>
          <w:noProof/>
        </w:rPr>
        <w:t>[5]</w:t>
      </w:r>
      <w:r>
        <w:fldChar w:fldCharType="end"/>
      </w:r>
      <w:r>
        <w:t>.</w:t>
      </w:r>
    </w:p>
    <w:p w:rsidR="00A90229" w:rsidRPr="00BA140D" w:rsidRDefault="00A90229" w:rsidP="00A90229">
      <w:pPr>
        <w:pStyle w:val="Heading2"/>
        <w:rPr>
          <w:sz w:val="24"/>
        </w:rPr>
      </w:pPr>
      <w:r w:rsidRPr="00BA140D">
        <w:rPr>
          <w:sz w:val="24"/>
        </w:rPr>
        <w:t>Digital elevation model</w:t>
      </w:r>
    </w:p>
    <w:p w:rsidR="00BA140D" w:rsidRDefault="00A90229" w:rsidP="0063767D">
      <w:pPr>
        <w:spacing w:line="360" w:lineRule="auto"/>
        <w:jc w:val="both"/>
      </w:pPr>
      <w:r>
        <w:t xml:space="preserve">Bathymetric data were extracted from </w:t>
      </w:r>
      <w:proofErr w:type="spellStart"/>
      <w:r>
        <w:t>Getech’s</w:t>
      </w:r>
      <w:proofErr w:type="spellEnd"/>
      <w:r>
        <w:t xml:space="preserve"> present day digital elevation model (DEM), which provides gridded representations of both the Earth’s topography and bathymetry. This model has a resolution of 0.1° x 0.1°, which was resampled to 1.25° x 1.25° to be consistent with the resolution of the climate variables for</w:t>
      </w:r>
      <w:r w:rsidR="00226FDA">
        <w:t xml:space="preserve"> ENM.</w:t>
      </w:r>
      <w:r>
        <w:t xml:space="preserve"> To prevent the loss of shallow water areas surrounding small oceanic islands, we used a minimum-value resampling technique, assigning the minimum depth within the resampled area as the cell value. Preferably, we would utilise a Last Interglacial (LIG) </w:t>
      </w:r>
      <w:r>
        <w:lastRenderedPageBreak/>
        <w:t xml:space="preserve">DEM for constructing LIG ENMs and projections; however, accurate DEMs for this time are not available. Typically, the LIG </w:t>
      </w:r>
      <w:proofErr w:type="spellStart"/>
      <w:r>
        <w:t>eustatic</w:t>
      </w:r>
      <w:proofErr w:type="spellEnd"/>
      <w:r>
        <w:t xml:space="preserve"> sea level is thought to have been between 4 and 9 m higher than the present day </w:t>
      </w:r>
      <w:r>
        <w:fldChar w:fldCharType="begin">
          <w:fldData xml:space="preserve">PEVuZE5vdGU+PENpdGU+PEF1dGhvcj5DbGFyazwvQXV0aG9yPjxZZWFyPjIwMDk8L1llYXI+PFJl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</w:fldData>
        </w:fldChar>
      </w:r>
      <w:r w:rsidR="00502DCA">
        <w:instrText xml:space="preserve"> ADDIN EN.CITE </w:instrText>
      </w:r>
      <w:r w:rsidR="00502DCA">
        <w:fldChar w:fldCharType="begin">
          <w:fldData xml:space="preserve">PEVuZE5vdGU+PENpdGU+PEF1dGhvcj5DbGFyazwvQXV0aG9yPjxZZWFyPjIwMDk8L1llYXI+PFJl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</w:fldData>
        </w:fldChar>
      </w:r>
      <w:r w:rsidR="00502DCA">
        <w:instrText xml:space="preserve"> ADDIN EN.CITE.DATA </w:instrText>
      </w:r>
      <w:r w:rsidR="00502DCA">
        <w:fldChar w:fldCharType="end"/>
      </w:r>
      <w:r>
        <w:fldChar w:fldCharType="separate"/>
      </w:r>
      <w:r w:rsidR="00502DCA">
        <w:rPr>
          <w:noProof/>
        </w:rPr>
        <w:t>[7-11]</w:t>
      </w:r>
      <w:r>
        <w:fldChar w:fldCharType="end"/>
      </w:r>
      <w:r>
        <w:t>. We therefore carried out sensitivity studies to evaluate the effect of a heightened sea level at such large spatial scales, running models with sea level increased by 10 m</w:t>
      </w:r>
      <w:r w:rsidR="007821C6">
        <w:t xml:space="preserve"> (Figure SM1)</w:t>
      </w:r>
      <w:r>
        <w:t>. We found no consider</w:t>
      </w:r>
      <w:r w:rsidR="0010269B">
        <w:t>able difference in model output;</w:t>
      </w:r>
      <w:r>
        <w:t xml:space="preserve"> as such, we used the modern DEM in both modern and LIG ENM constructs. </w:t>
      </w:r>
      <w:bookmarkStart w:id="0" w:name="_Ref524012291"/>
    </w:p>
    <w:p w:rsidR="007821C6" w:rsidRDefault="007821C6" w:rsidP="007821C6">
      <w:pPr>
        <w:keepNext/>
        <w:spacing w:line="360" w:lineRule="auto"/>
        <w:jc w:val="both"/>
      </w:pPr>
      <w:r>
        <w:rPr>
          <w:noProof/>
        </w:rPr>
        <w:lastRenderedPageBreak/>
        <w:drawing>
          <wp:inline distT="0" distB="0" distL="0" distR="0">
            <wp:extent cx="6646545" cy="726059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bined_diff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6545" cy="7260590"/>
                    </a:xfrm>
                    <a:prstGeom prst="rect">
                      <a:avLst/>
                    </a:prstGeom>
                  </pic:spPr>
                </pic:pic>
              </a:graphicData>
            </a:graphic>
          </wp:inline>
        </w:drawing>
      </w:r>
    </w:p>
    <w:p w:rsidR="007821C6" w:rsidRPr="007821C6" w:rsidRDefault="007821C6" w:rsidP="007821C6">
      <w:pPr>
        <w:pStyle w:val="Caption"/>
        <w:jc w:val="both"/>
        <w:rPr>
          <w:i w:val="0"/>
          <w:color w:val="auto"/>
          <w:sz w:val="22"/>
          <w:szCs w:val="22"/>
        </w:rPr>
      </w:pPr>
      <w:r w:rsidRPr="007821C6">
        <w:rPr>
          <w:i w:val="0"/>
          <w:color w:val="auto"/>
          <w:sz w:val="22"/>
          <w:szCs w:val="22"/>
        </w:rPr>
        <w:t xml:space="preserve">Figure SM </w:t>
      </w:r>
      <w:r w:rsidRPr="007821C6">
        <w:rPr>
          <w:i w:val="0"/>
          <w:color w:val="auto"/>
          <w:sz w:val="22"/>
          <w:szCs w:val="22"/>
        </w:rPr>
        <w:fldChar w:fldCharType="begin"/>
      </w:r>
      <w:r w:rsidRPr="007821C6">
        <w:rPr>
          <w:i w:val="0"/>
          <w:color w:val="auto"/>
          <w:sz w:val="22"/>
          <w:szCs w:val="22"/>
        </w:rPr>
        <w:instrText xml:space="preserve"> SEQ Figure_SM \* ARABIC </w:instrText>
      </w:r>
      <w:r w:rsidRPr="007821C6">
        <w:rPr>
          <w:i w:val="0"/>
          <w:color w:val="auto"/>
          <w:sz w:val="22"/>
          <w:szCs w:val="22"/>
        </w:rPr>
        <w:fldChar w:fldCharType="separate"/>
      </w:r>
      <w:r w:rsidR="006C03E0">
        <w:rPr>
          <w:i w:val="0"/>
          <w:noProof/>
          <w:color w:val="auto"/>
          <w:sz w:val="22"/>
          <w:szCs w:val="22"/>
        </w:rPr>
        <w:t>1</w:t>
      </w:r>
      <w:r w:rsidRPr="007821C6">
        <w:rPr>
          <w:i w:val="0"/>
          <w:color w:val="auto"/>
          <w:sz w:val="22"/>
          <w:szCs w:val="22"/>
        </w:rPr>
        <w:fldChar w:fldCharType="end"/>
      </w:r>
      <w:r w:rsidRPr="007821C6">
        <w:rPr>
          <w:i w:val="0"/>
          <w:color w:val="auto"/>
          <w:sz w:val="22"/>
          <w:szCs w:val="22"/>
        </w:rPr>
        <w:t>.</w:t>
      </w:r>
      <w:r>
        <w:rPr>
          <w:i w:val="0"/>
          <w:color w:val="auto"/>
          <w:sz w:val="22"/>
          <w:szCs w:val="22"/>
        </w:rPr>
        <w:t xml:space="preserve"> Difference maps of predicted habitability for the LIG. a) M</w:t>
      </w:r>
      <w:r w:rsidRPr="007821C6">
        <w:rPr>
          <w:i w:val="0"/>
          <w:color w:val="auto"/>
          <w:sz w:val="22"/>
          <w:szCs w:val="22"/>
        </w:rPr>
        <w:t xml:space="preserve">odern trained </w:t>
      </w:r>
      <w:r>
        <w:rPr>
          <w:i w:val="0"/>
          <w:color w:val="auto"/>
          <w:sz w:val="22"/>
          <w:szCs w:val="22"/>
        </w:rPr>
        <w:t xml:space="preserve">ENM </w:t>
      </w:r>
      <w:r w:rsidRPr="007821C6">
        <w:rPr>
          <w:i w:val="0"/>
          <w:color w:val="auto"/>
          <w:sz w:val="22"/>
          <w:szCs w:val="22"/>
        </w:rPr>
        <w:t>comparison of the LIG using the modern bathymetry and modern bathymetry + 10 m in LIG projections</w:t>
      </w:r>
      <w:r>
        <w:rPr>
          <w:i w:val="0"/>
          <w:color w:val="auto"/>
          <w:sz w:val="22"/>
          <w:szCs w:val="22"/>
        </w:rPr>
        <w:t>. b) LIG trained ENM comparison of the LIG using the modern bathymetry and modern bathymetry + 10 m for LIG training.</w:t>
      </w:r>
    </w:p>
    <w:p w:rsidR="00936124" w:rsidRPr="00A84D9C" w:rsidRDefault="00936124" w:rsidP="00936124">
      <w:pPr>
        <w:pStyle w:val="Heading2"/>
        <w:rPr>
          <w:sz w:val="24"/>
        </w:rPr>
      </w:pPr>
      <w:r w:rsidRPr="00A84D9C">
        <w:rPr>
          <w:sz w:val="24"/>
        </w:rPr>
        <w:t>Aragonite Saturation State</w:t>
      </w:r>
    </w:p>
    <w:p w:rsidR="00936124" w:rsidRDefault="00936124" w:rsidP="00136F93">
      <w:pPr>
        <w:spacing w:line="360" w:lineRule="auto"/>
        <w:jc w:val="both"/>
      </w:pPr>
      <w:r>
        <w:t>A number of variables considered to be of secondary significance in limiting the distribution of coral reefs</w:t>
      </w:r>
      <w:r w:rsidR="007F5F22">
        <w:t>,</w:t>
      </w:r>
      <w:r>
        <w:t xml:space="preserve"> such as nutrient concentrations and aragonite saturation state</w:t>
      </w:r>
      <w:r w:rsidR="007F5F22">
        <w:t>,</w:t>
      </w:r>
      <w:r>
        <w:t xml:space="preserve"> were not included in the generation of our ENMs </w:t>
      </w:r>
      <w:r>
        <w:fldChar w:fldCharType="begin"/>
      </w:r>
      <w:r>
        <w:instrText xml:space="preserve"> ADDIN EN.CITE &lt;EndNote&gt;&lt;Cite&gt;&lt;Author&gt;Couce&lt;/Author&gt;&lt;Year&gt;2012&lt;/Year&gt;&lt;RecNum&gt;705&lt;/RecNum&gt;&lt;DisplayText&gt;[3]&lt;/DisplayText&gt;&lt;record&gt;&lt;rec-number&gt;705&lt;/rec-number&gt;&lt;foreign-keys&gt;&lt;key app="EN" db-id="tzfwspr9dwerfpeedrp5sfrtrz2fwxdz2909" timestamp="1494927084"&gt;705&lt;/key&gt;&lt;key app="ENWeb" db-id=""&gt;0&lt;/key&gt;&lt;/foreign-keys&gt;&lt;ref-type name="Journal Article"&gt;17&lt;/ref-type&gt;&lt;contributors&gt;&lt;authors&gt;&lt;author&gt;Couce, Elena&lt;/author&gt;&lt;author&gt;Ridgwell, Andy&lt;/author&gt;&lt;author&gt;Hendy, Erica J.&lt;/author&gt;&lt;/authors&gt;&lt;/contributors&gt;&lt;titles&gt;&lt;title&gt;Environmental controls on the global distribution of shallow-water coral reefs&lt;/title&gt;&lt;secondary-title&gt;Journal of Biogeography&lt;/secondary-title&gt;&lt;/titles&gt;&lt;periodical&gt;&lt;full-title&gt;Journal of Biogeography&lt;/full-title&gt;&lt;/periodical&gt;&lt;pages&gt;1508-1523&lt;/pages&gt;&lt;volume&gt;39&lt;/volume&gt;&lt;number&gt;8&lt;/number&gt;&lt;dates&gt;&lt;year&gt;2012&lt;/year&gt;&lt;/dates&gt;&lt;isbn&gt;03050270&lt;/isbn&gt;&lt;urls&gt;&lt;/urls&gt;&lt;electronic-resource-num&gt;10.1111/j.1365-2699.2012.02706.x&lt;/electronic-resource-num&gt;&lt;/record&gt;&lt;/Cite&gt;&lt;/EndNote&gt;</w:instrText>
      </w:r>
      <w:r>
        <w:fldChar w:fldCharType="separate"/>
      </w:r>
      <w:r>
        <w:rPr>
          <w:noProof/>
        </w:rPr>
        <w:t>[3]</w:t>
      </w:r>
      <w:r>
        <w:fldChar w:fldCharType="end"/>
      </w:r>
      <w:r>
        <w:t xml:space="preserve">. This was largely due to </w:t>
      </w:r>
      <w:r w:rsidR="00226FDA">
        <w:t>these</w:t>
      </w:r>
      <w:r>
        <w:t xml:space="preserve"> data being </w:t>
      </w:r>
      <w:r w:rsidR="00226FDA">
        <w:t>un</w:t>
      </w:r>
      <w:r>
        <w:t xml:space="preserve">available for the geological past or the future from </w:t>
      </w:r>
      <w:r w:rsidR="000C7291">
        <w:t>general circulation model (GCM)</w:t>
      </w:r>
      <w:r>
        <w:t xml:space="preserve"> </w:t>
      </w:r>
      <w:r>
        <w:lastRenderedPageBreak/>
        <w:t>outputs. However, as our analyses focus on reef corals</w:t>
      </w:r>
      <w:r w:rsidR="00226FDA">
        <w:t>, as</w:t>
      </w:r>
      <w:r>
        <w:t xml:space="preserve"> opposed to actual reef frameworks, it is rational to conceive that aragonite saturation state is of lesser importance to the distribution of reef corals than it is coral reefs. Despite this, we carried out a sensitivity test comparing modern projections from a modern-trained ENM with and without aragonite saturation state included in the model</w:t>
      </w:r>
      <w:r w:rsidR="00094D4D">
        <w:t xml:space="preserve"> (</w:t>
      </w:r>
      <w:r w:rsidR="002A66BB">
        <w:t>Figure SM2)</w:t>
      </w:r>
      <w:r>
        <w:t>. As aragonite saturation state</w:t>
      </w:r>
      <w:r w:rsidR="0010269B">
        <w:t xml:space="preserve"> data</w:t>
      </w:r>
      <w:r>
        <w:t xml:space="preserve"> </w:t>
      </w:r>
      <w:r w:rsidR="0010269B">
        <w:t>were</w:t>
      </w:r>
      <w:r>
        <w:t xml:space="preserve"> not available to us from GCM outputs, we used global gridded data from </w:t>
      </w:r>
      <w:r>
        <w:fldChar w:fldCharType="begin"/>
      </w:r>
      <w:r w:rsidR="00EF2925">
        <w:instrText xml:space="preserve"> ADDIN EN.CITE &lt;EndNote&gt;&lt;Cite AuthorYear="1"&gt;&lt;Author&gt;Jiang&lt;/Author&gt;&lt;Year&gt;2015&lt;/Year&gt;&lt;RecNum&gt;985&lt;/RecNum&gt;&lt;DisplayText&gt;Jiang and Feely [12]&lt;/DisplayText&gt;&lt;record&gt;&lt;rec-number&gt;985&lt;/rec-number&gt;&lt;foreign-keys&gt;&lt;key app="EN" db-id="tzfwspr9dwerfpeedrp5sfrtrz2fwxdz2909" timestamp="1552388870"&gt;985&lt;/key&gt;&lt;/foreign-keys&gt;&lt;ref-type name="Online Database"&gt;45&lt;/ref-type&gt;&lt;contributors&gt;&lt;authors&gt;&lt;author&gt;Jiang, L.Q.&lt;/author&gt;&lt;author&gt;Feely, Richard A.&lt;/author&gt;&lt;/authors&gt;&lt;/contributors&gt;&lt;titles&gt;&lt;title&gt;Aragonite saturation state gridded to 1x1 degree latitude and longitude at depth levels of 0, 50, 100, 200, 500, 1000, 2000, 3000, and 4000 meters in the global oceans (NCEI Accession 0139360). Version 1.1.&lt;/title&gt;&lt;/titles&gt;&lt;dates&gt;&lt;year&gt;2015&lt;/year&gt;&lt;pub-dates&gt;&lt;date&gt;10/03/2019&lt;/date&gt;&lt;/pub-dates&gt;&lt;/dates&gt;&lt;publisher&gt;NOAA National Centers for Environmental Information. &lt;/publisher&gt;&lt;urls&gt;&lt;/urls&gt;&lt;electronic-resource-num&gt;doi:10.7289/V5Q81B4P&lt;/electronic-resource-num&gt;&lt;/record&gt;&lt;/Cite&gt;&lt;/EndNote&gt;</w:instrText>
      </w:r>
      <w:r>
        <w:fldChar w:fldCharType="separate"/>
      </w:r>
      <w:r w:rsidR="00EF2925">
        <w:rPr>
          <w:noProof/>
        </w:rPr>
        <w:t>Jiang and Feely [12]</w:t>
      </w:r>
      <w:r>
        <w:fldChar w:fldCharType="end"/>
      </w:r>
      <w:r w:rsidR="001520B8">
        <w:t>, calculated from</w:t>
      </w:r>
      <w:r w:rsidR="00842DA9">
        <w:t xml:space="preserve"> a number of</w:t>
      </w:r>
      <w:r w:rsidR="001520B8">
        <w:t xml:space="preserve"> in situ measurements </w:t>
      </w:r>
      <w:r w:rsidR="00842DA9">
        <w:t xml:space="preserve">via a </w:t>
      </w:r>
      <w:proofErr w:type="spellStart"/>
      <w:r w:rsidR="00842DA9">
        <w:t>Matlab</w:t>
      </w:r>
      <w:proofErr w:type="spellEnd"/>
      <w:r w:rsidR="00842DA9">
        <w:t xml:space="preserve"> version of CO2SYS (see metadata within </w:t>
      </w:r>
      <w:r w:rsidR="00842DA9">
        <w:fldChar w:fldCharType="begin"/>
      </w:r>
      <w:r w:rsidR="00842DA9">
        <w:instrText xml:space="preserve"> ADDIN EN.CITE &lt;EndNote&gt;&lt;Cite AuthorYear="1"&gt;&lt;Author&gt;Jiang&lt;/Author&gt;&lt;Year&gt;2015&lt;/Year&gt;&lt;RecNum&gt;985&lt;/RecNum&gt;&lt;DisplayText&gt;Jiang and Feely [12]&lt;/DisplayText&gt;&lt;record&gt;&lt;rec-number&gt;985&lt;/rec-number&gt;&lt;foreign-keys&gt;&lt;key app="EN" db-id="tzfwspr9dwerfpeedrp5sfrtrz2fwxdz2909" timestamp="1552388870"&gt;985&lt;/key&gt;&lt;/foreign-keys&gt;&lt;ref-type name="Online Database"&gt;45&lt;/ref-type&gt;&lt;contributors&gt;&lt;authors&gt;&lt;author&gt;Jiang, L.Q.&lt;/author&gt;&lt;author&gt;Feely, Richard A.&lt;/author&gt;&lt;/authors&gt;&lt;/contributors&gt;&lt;titles&gt;&lt;title&gt;Aragonite saturation state gridded to 1x1 degree latitude and longitude at depth levels of 0, 50, 100, 200, 500, 1000, 2000, 3000, and 4000 meters in the global oceans (NCEI Accession 0139360). Version 1.1.&lt;/title&gt;&lt;/titles&gt;&lt;dates&gt;&lt;year&gt;2015&lt;/year&gt;&lt;pub-dates&gt;&lt;date&gt;10/03/2019&lt;/date&gt;&lt;/pub-dates&gt;&lt;/dates&gt;&lt;publisher&gt;NOAA National Centers for Environmental Information. &lt;/publisher&gt;&lt;urls&gt;&lt;/urls&gt;&lt;electronic-resource-num&gt;doi:10.7289/V5Q81B4P&lt;/electronic-resource-num&gt;&lt;/record&gt;&lt;/Cite&gt;&lt;/EndNote&gt;</w:instrText>
      </w:r>
      <w:r w:rsidR="00842DA9">
        <w:fldChar w:fldCharType="separate"/>
      </w:r>
      <w:r w:rsidR="00842DA9">
        <w:rPr>
          <w:noProof/>
        </w:rPr>
        <w:t>Jiang and Feely [12]</w:t>
      </w:r>
      <w:r w:rsidR="00842DA9">
        <w:fldChar w:fldCharType="end"/>
      </w:r>
      <w:r w:rsidR="00842DA9">
        <w:t xml:space="preserve"> for a full description on the data)</w:t>
      </w:r>
      <w:r>
        <w:t xml:space="preserve">. </w:t>
      </w:r>
      <w:r w:rsidR="00BE4C6A">
        <w:t>We</w:t>
      </w:r>
      <w:r>
        <w:t xml:space="preserve"> resampled and clipped</w:t>
      </w:r>
      <w:r w:rsidR="00BE4C6A">
        <w:t xml:space="preserve"> this data</w:t>
      </w:r>
      <w:r>
        <w:t xml:space="preserve"> in accordance to the environmental data</w:t>
      </w:r>
      <w:r w:rsidR="00BE4C6A">
        <w:t xml:space="preserve"> used</w:t>
      </w:r>
      <w:r>
        <w:t xml:space="preserve"> for ENM analyses. We found no considerable difference in global model projections for the modern</w:t>
      </w:r>
      <w:r w:rsidR="002A66BB">
        <w:t xml:space="preserve"> (Figure SM2)</w:t>
      </w:r>
      <w:r w:rsidR="00226FDA">
        <w:t>,</w:t>
      </w:r>
      <w:r>
        <w:t xml:space="preserve"> with the exception of a few </w:t>
      </w:r>
      <w:r w:rsidR="00BE4C6A">
        <w:t>isolated</w:t>
      </w:r>
      <w:r>
        <w:t xml:space="preserve"> regions (Timor Sea, South China Sea</w:t>
      </w:r>
      <w:r w:rsidR="00226FDA">
        <w:t>,</w:t>
      </w:r>
      <w:r>
        <w:t xml:space="preserve"> and to a lesser extent</w:t>
      </w:r>
      <w:r w:rsidR="00226FDA">
        <w:t>,</w:t>
      </w:r>
      <w:r w:rsidR="004F0A74">
        <w:t xml:space="preserve"> northern Andaman Sea [Myanmar], eastern Mediterranean Sea, and south-eastern Atlantic Ocean [Angola/Namibia]). </w:t>
      </w:r>
      <w:r w:rsidR="007E3DD2">
        <w:t>Variable contribution analysis</w:t>
      </w:r>
      <w:r w:rsidR="002A66BB">
        <w:t xml:space="preserve"> (Table SM1)</w:t>
      </w:r>
      <w:r w:rsidR="007E3DD2">
        <w:t xml:space="preserve"> confirms that aragonite saturation state is of secondary importance </w:t>
      </w:r>
      <w:r w:rsidR="00226FDA">
        <w:t>for</w:t>
      </w:r>
      <w:r w:rsidR="007E3DD2">
        <w:t xml:space="preserve"> global scale ENM. However, </w:t>
      </w:r>
      <w:r w:rsidR="006C054B">
        <w:t>its</w:t>
      </w:r>
      <w:r w:rsidR="007E3DD2">
        <w:t xml:space="preserve"> contribution to ENM is not insignificant</w:t>
      </w:r>
      <w:r w:rsidR="00226FDA">
        <w:t>,</w:t>
      </w:r>
      <w:r w:rsidR="007E3DD2">
        <w:t xml:space="preserve"> with similar scores to </w:t>
      </w:r>
      <w:r w:rsidR="007E3DD2" w:rsidRPr="007E3DD2">
        <w:t>June, July, August irradiance</w:t>
      </w:r>
      <w:r w:rsidR="007F5F22">
        <w:t>,</w:t>
      </w:r>
      <w:r w:rsidR="00BE4C6A">
        <w:t xml:space="preserve"> and should </w:t>
      </w:r>
      <w:r w:rsidR="00F42068">
        <w:t xml:space="preserve">therefore </w:t>
      </w:r>
      <w:r w:rsidR="00BE4C6A">
        <w:t xml:space="preserve">be </w:t>
      </w:r>
      <w:r w:rsidR="00F42068">
        <w:t>considered within this context for the interpretation of ENM results</w:t>
      </w:r>
      <w:r w:rsidR="007E3DD2">
        <w:t>.</w:t>
      </w:r>
    </w:p>
    <w:p w:rsidR="006C03E0" w:rsidRDefault="00936124" w:rsidP="00374884">
      <w:pPr>
        <w:keepNext/>
        <w:jc w:val="center"/>
      </w:pPr>
      <w:r>
        <w:rPr>
          <w:noProof/>
          <w:sz w:val="24"/>
        </w:rPr>
        <w:drawing>
          <wp:inline distT="0" distB="0" distL="0" distR="0">
            <wp:extent cx="6597001" cy="378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iff_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597001" cy="3780000"/>
                    </a:xfrm>
                    <a:prstGeom prst="rect">
                      <a:avLst/>
                    </a:prstGeom>
                  </pic:spPr>
                </pic:pic>
              </a:graphicData>
            </a:graphic>
          </wp:inline>
        </w:drawing>
      </w:r>
    </w:p>
    <w:p w:rsidR="00A84D9C" w:rsidRDefault="006C03E0" w:rsidP="00374884">
      <w:pPr>
        <w:pStyle w:val="Caption"/>
        <w:rPr>
          <w:i w:val="0"/>
          <w:color w:val="auto"/>
          <w:sz w:val="22"/>
          <w:szCs w:val="22"/>
        </w:rPr>
      </w:pPr>
      <w:r w:rsidRPr="006C03E0">
        <w:rPr>
          <w:i w:val="0"/>
          <w:color w:val="auto"/>
          <w:sz w:val="22"/>
        </w:rPr>
        <w:t xml:space="preserve">Figure SM </w:t>
      </w:r>
      <w:r w:rsidRPr="006C03E0">
        <w:rPr>
          <w:i w:val="0"/>
          <w:color w:val="auto"/>
          <w:sz w:val="22"/>
        </w:rPr>
        <w:fldChar w:fldCharType="begin"/>
      </w:r>
      <w:r w:rsidRPr="006C03E0">
        <w:rPr>
          <w:i w:val="0"/>
          <w:color w:val="auto"/>
          <w:sz w:val="22"/>
        </w:rPr>
        <w:instrText xml:space="preserve"> SEQ Figure_SM \* ARABIC </w:instrText>
      </w:r>
      <w:r w:rsidRPr="006C03E0">
        <w:rPr>
          <w:i w:val="0"/>
          <w:color w:val="auto"/>
          <w:sz w:val="22"/>
        </w:rPr>
        <w:fldChar w:fldCharType="separate"/>
      </w:r>
      <w:r w:rsidRPr="006C03E0">
        <w:rPr>
          <w:i w:val="0"/>
          <w:noProof/>
          <w:color w:val="auto"/>
          <w:sz w:val="22"/>
        </w:rPr>
        <w:t>2</w:t>
      </w:r>
      <w:r w:rsidRPr="006C03E0">
        <w:rPr>
          <w:i w:val="0"/>
          <w:color w:val="auto"/>
          <w:sz w:val="22"/>
        </w:rPr>
        <w:fldChar w:fldCharType="end"/>
      </w:r>
      <w:r w:rsidRPr="006C03E0">
        <w:rPr>
          <w:i w:val="0"/>
          <w:color w:val="auto"/>
          <w:sz w:val="22"/>
        </w:rPr>
        <w:t>.</w:t>
      </w:r>
      <w:r>
        <w:rPr>
          <w:i w:val="0"/>
          <w:color w:val="auto"/>
          <w:sz w:val="22"/>
        </w:rPr>
        <w:t xml:space="preserve"> </w:t>
      </w:r>
      <w:r w:rsidR="00C41FA3">
        <w:rPr>
          <w:i w:val="0"/>
          <w:color w:val="auto"/>
          <w:sz w:val="22"/>
          <w:szCs w:val="22"/>
        </w:rPr>
        <w:t>Difference map</w:t>
      </w:r>
      <w:r>
        <w:rPr>
          <w:i w:val="0"/>
          <w:color w:val="auto"/>
          <w:sz w:val="22"/>
          <w:szCs w:val="22"/>
        </w:rPr>
        <w:t xml:space="preserve"> of predicted habitability for modern projections from modern-trained ENMs with and without aragonite saturation state variable included.</w:t>
      </w:r>
    </w:p>
    <w:p w:rsidR="00A84D9C" w:rsidRDefault="00A84D9C" w:rsidP="00A84D9C">
      <w:r>
        <w:br w:type="page"/>
      </w:r>
    </w:p>
    <w:p w:rsidR="00C47293" w:rsidRDefault="00C47293" w:rsidP="00374884">
      <w:pPr>
        <w:pStyle w:val="Caption"/>
        <w:keepNext/>
        <w:jc w:val="both"/>
      </w:pPr>
      <w:r w:rsidRPr="00374884">
        <w:rPr>
          <w:i w:val="0"/>
          <w:color w:val="auto"/>
          <w:sz w:val="22"/>
        </w:rPr>
        <w:lastRenderedPageBreak/>
        <w:t xml:space="preserve">Table SM </w:t>
      </w:r>
      <w:r w:rsidRPr="00374884">
        <w:rPr>
          <w:i w:val="0"/>
          <w:color w:val="auto"/>
          <w:sz w:val="22"/>
        </w:rPr>
        <w:fldChar w:fldCharType="begin"/>
      </w:r>
      <w:r w:rsidRPr="00374884">
        <w:rPr>
          <w:i w:val="0"/>
          <w:color w:val="auto"/>
          <w:sz w:val="22"/>
        </w:rPr>
        <w:instrText xml:space="preserve"> SEQ Table_SM \* ARABIC </w:instrText>
      </w:r>
      <w:r w:rsidRPr="00374884">
        <w:rPr>
          <w:i w:val="0"/>
          <w:color w:val="auto"/>
          <w:sz w:val="22"/>
        </w:rPr>
        <w:fldChar w:fldCharType="separate"/>
      </w:r>
      <w:r w:rsidRPr="00374884">
        <w:rPr>
          <w:i w:val="0"/>
          <w:noProof/>
          <w:color w:val="auto"/>
          <w:sz w:val="22"/>
        </w:rPr>
        <w:t>1</w:t>
      </w:r>
      <w:r w:rsidRPr="00374884">
        <w:rPr>
          <w:i w:val="0"/>
          <w:color w:val="auto"/>
          <w:sz w:val="22"/>
        </w:rPr>
        <w:fldChar w:fldCharType="end"/>
      </w:r>
      <w:r w:rsidRPr="00374884">
        <w:rPr>
          <w:i w:val="0"/>
          <w:color w:val="auto"/>
          <w:sz w:val="22"/>
        </w:rPr>
        <w:t>.</w:t>
      </w:r>
      <w:r w:rsidRPr="00374884">
        <w:rPr>
          <w:color w:val="auto"/>
          <w:sz w:val="22"/>
        </w:rPr>
        <w:t xml:space="preserve"> </w:t>
      </w:r>
      <w:r>
        <w:rPr>
          <w:i w:val="0"/>
          <w:color w:val="auto"/>
          <w:sz w:val="22"/>
          <w:szCs w:val="22"/>
        </w:rPr>
        <w:t>Mean b</w:t>
      </w:r>
      <w:r w:rsidRPr="00C679BC">
        <w:rPr>
          <w:i w:val="0"/>
          <w:color w:val="auto"/>
          <w:sz w:val="22"/>
          <w:szCs w:val="22"/>
        </w:rPr>
        <w:t xml:space="preserve">iomod2 variable importance test scores for </w:t>
      </w:r>
      <w:r w:rsidR="00374884">
        <w:rPr>
          <w:i w:val="0"/>
          <w:color w:val="auto"/>
          <w:sz w:val="22"/>
          <w:szCs w:val="22"/>
        </w:rPr>
        <w:t xml:space="preserve">modern-trained ENM with aragonite saturation state variable included. </w:t>
      </w:r>
      <w:r w:rsidRPr="00C679BC">
        <w:rPr>
          <w:i w:val="0"/>
          <w:color w:val="auto"/>
          <w:sz w:val="22"/>
          <w:szCs w:val="22"/>
        </w:rPr>
        <w:t xml:space="preserve">These results display </w:t>
      </w:r>
      <w:r>
        <w:rPr>
          <w:i w:val="0"/>
          <w:color w:val="auto"/>
          <w:sz w:val="22"/>
          <w:szCs w:val="22"/>
        </w:rPr>
        <w:t xml:space="preserve">1 - </w:t>
      </w:r>
      <w:proofErr w:type="spellStart"/>
      <w:r>
        <w:rPr>
          <w:i w:val="0"/>
          <w:color w:val="auto"/>
          <w:sz w:val="22"/>
          <w:szCs w:val="22"/>
        </w:rPr>
        <w:t>cor</w:t>
      </w:r>
      <w:proofErr w:type="spellEnd"/>
      <w:r>
        <w:rPr>
          <w:i w:val="0"/>
          <w:color w:val="auto"/>
          <w:sz w:val="22"/>
          <w:szCs w:val="22"/>
        </w:rPr>
        <w:t xml:space="preserve"> (</w:t>
      </w:r>
      <w:r w:rsidRPr="00C679BC">
        <w:rPr>
          <w:i w:val="0"/>
          <w:color w:val="auto"/>
          <w:sz w:val="22"/>
          <w:szCs w:val="22"/>
        </w:rPr>
        <w:t>Pearson correlation coefficient</w:t>
      </w:r>
      <w:r>
        <w:rPr>
          <w:i w:val="0"/>
          <w:color w:val="auto"/>
          <w:sz w:val="22"/>
          <w:szCs w:val="22"/>
        </w:rPr>
        <w:t xml:space="preserve"> score)</w:t>
      </w:r>
      <w:r w:rsidRPr="00C679BC">
        <w:rPr>
          <w:i w:val="0"/>
          <w:color w:val="auto"/>
          <w:sz w:val="22"/>
          <w:szCs w:val="22"/>
        </w:rPr>
        <w:t xml:space="preserve"> between predictions based on calibrated models, and predictions after one</w:t>
      </w:r>
      <w:r>
        <w:rPr>
          <w:i w:val="0"/>
          <w:color w:val="auto"/>
          <w:sz w:val="22"/>
          <w:szCs w:val="22"/>
        </w:rPr>
        <w:t xml:space="preserve"> environmental</w:t>
      </w:r>
      <w:r w:rsidRPr="00C679BC">
        <w:rPr>
          <w:i w:val="0"/>
          <w:color w:val="auto"/>
          <w:sz w:val="22"/>
          <w:szCs w:val="22"/>
        </w:rPr>
        <w:t xml:space="preserve"> variable is randomised. </w:t>
      </w:r>
      <w:r>
        <w:rPr>
          <w:i w:val="0"/>
          <w:color w:val="auto"/>
          <w:sz w:val="22"/>
          <w:szCs w:val="22"/>
        </w:rPr>
        <w:t>Higher values indicate higher importance in model calibration, whist lower values indicate less importance.</w:t>
      </w:r>
    </w:p>
    <w:tbl>
      <w:tblPr>
        <w:tblW w:w="7592" w:type="dxa"/>
        <w:jc w:val="center"/>
        <w:tblLayout w:type="fixed"/>
        <w:tblLook w:val="04A0" w:firstRow="1" w:lastRow="0" w:firstColumn="1" w:lastColumn="0" w:noHBand="0" w:noVBand="1"/>
      </w:tblPr>
      <w:tblGrid>
        <w:gridCol w:w="4256"/>
        <w:gridCol w:w="3336"/>
      </w:tblGrid>
      <w:tr w:rsidR="009C059C" w:rsidRPr="004C39C0" w:rsidTr="009C059C">
        <w:trPr>
          <w:trHeight w:val="645"/>
          <w:jc w:val="center"/>
        </w:trPr>
        <w:tc>
          <w:tcPr>
            <w:tcW w:w="4256" w:type="dxa"/>
            <w:tcBorders>
              <w:top w:val="single" w:sz="18" w:space="0" w:color="70AD47" w:themeColor="accent6"/>
              <w:left w:val="single" w:sz="18" w:space="0" w:color="70AD47" w:themeColor="accent6"/>
              <w:bottom w:val="single" w:sz="4" w:space="0" w:color="70AD47"/>
              <w:right w:val="single" w:sz="18" w:space="0" w:color="70AD47"/>
            </w:tcBorders>
            <w:shd w:val="clear" w:color="000000" w:fill="FFFFFF"/>
            <w:vAlign w:val="bottom"/>
            <w:hideMark/>
          </w:tcPr>
          <w:p w:rsidR="009C059C" w:rsidRPr="004C39C0" w:rsidRDefault="009C059C" w:rsidP="00BE4C6A">
            <w:pPr>
              <w:spacing w:after="0" w:line="240" w:lineRule="auto"/>
              <w:rPr>
                <w:rFonts w:ascii="Calibri" w:eastAsia="Times New Roman" w:hAnsi="Calibri" w:cs="Times New Roman"/>
                <w:b/>
              </w:rPr>
            </w:pPr>
            <w:r w:rsidRPr="004C39C0">
              <w:rPr>
                <w:rFonts w:ascii="Calibri" w:eastAsia="Times New Roman" w:hAnsi="Calibri" w:cs="Times New Roman"/>
                <w:b/>
              </w:rPr>
              <w:t>ENVIRONMENTAL VARIABLE</w:t>
            </w:r>
          </w:p>
        </w:tc>
        <w:tc>
          <w:tcPr>
            <w:tcW w:w="3336" w:type="dxa"/>
            <w:tcBorders>
              <w:top w:val="single" w:sz="18" w:space="0" w:color="70AD47" w:themeColor="accent6"/>
              <w:left w:val="single" w:sz="18" w:space="0" w:color="70AD47"/>
              <w:right w:val="single" w:sz="18" w:space="0" w:color="70AD47"/>
            </w:tcBorders>
            <w:shd w:val="clear" w:color="000000" w:fill="FFFFFF"/>
            <w:vAlign w:val="bottom"/>
          </w:tcPr>
          <w:p w:rsidR="009C059C" w:rsidRPr="004C39C0" w:rsidRDefault="009C059C" w:rsidP="009C059C">
            <w:pPr>
              <w:spacing w:after="0" w:line="240" w:lineRule="auto"/>
              <w:jc w:val="center"/>
              <w:rPr>
                <w:rFonts w:ascii="Calibri" w:eastAsia="Times New Roman" w:hAnsi="Calibri" w:cs="Times New Roman"/>
                <w:b/>
              </w:rPr>
            </w:pPr>
            <w:r>
              <w:rPr>
                <w:rFonts w:ascii="Calibri" w:eastAsia="Times New Roman" w:hAnsi="Calibri" w:cs="Times New Roman"/>
                <w:b/>
              </w:rPr>
              <w:t>MEAN VARIABLE CONTRIBUTION</w:t>
            </w:r>
          </w:p>
        </w:tc>
      </w:tr>
      <w:tr w:rsidR="009C059C" w:rsidRPr="004C39C0" w:rsidTr="00C47293">
        <w:trPr>
          <w:trHeight w:val="300"/>
          <w:jc w:val="center"/>
        </w:trPr>
        <w:tc>
          <w:tcPr>
            <w:tcW w:w="4256" w:type="dxa"/>
            <w:tcBorders>
              <w:top w:val="single" w:sz="18" w:space="0" w:color="70AD47"/>
              <w:left w:val="single" w:sz="18" w:space="0" w:color="70AD47" w:themeColor="accent6"/>
              <w:bottom w:val="single" w:sz="4" w:space="0" w:color="70AD47"/>
              <w:right w:val="single" w:sz="18" w:space="0" w:color="70AD47"/>
            </w:tcBorders>
            <w:shd w:val="clear" w:color="auto" w:fill="FFFFFF" w:themeFill="background1"/>
            <w:noWrap/>
            <w:vAlign w:val="bottom"/>
            <w:hideMark/>
          </w:tcPr>
          <w:p w:rsidR="009C059C" w:rsidRPr="004C39C0" w:rsidRDefault="00C47293" w:rsidP="00BE4C6A">
            <w:pPr>
              <w:spacing w:after="0" w:line="240" w:lineRule="auto"/>
              <w:rPr>
                <w:rFonts w:ascii="Calibri" w:eastAsia="Times New Roman" w:hAnsi="Calibri" w:cs="Times New Roman"/>
              </w:rPr>
            </w:pPr>
            <w:r>
              <w:rPr>
                <w:rFonts w:ascii="Calibri" w:eastAsia="Times New Roman" w:hAnsi="Calibri" w:cs="Times New Roman"/>
              </w:rPr>
              <w:t>Aragonite saturation state</w:t>
            </w:r>
          </w:p>
        </w:tc>
        <w:tc>
          <w:tcPr>
            <w:tcW w:w="3336" w:type="dxa"/>
            <w:tcBorders>
              <w:top w:val="single" w:sz="18" w:space="0" w:color="70AD47"/>
              <w:left w:val="single" w:sz="18" w:space="0" w:color="70AD47"/>
              <w:bottom w:val="single" w:sz="4" w:space="0" w:color="70AD47"/>
              <w:right w:val="single" w:sz="18" w:space="0" w:color="70AD47"/>
            </w:tcBorders>
            <w:shd w:val="clear" w:color="auto" w:fill="FFFFFF" w:themeFill="background1"/>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0.14367</w:t>
            </w:r>
          </w:p>
        </w:tc>
      </w:tr>
      <w:tr w:rsidR="00C47293" w:rsidRPr="004C39C0" w:rsidTr="00C47293">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auto" w:fill="C5E0B3" w:themeFill="accent6" w:themeFillTint="66"/>
            <w:noWrap/>
            <w:vAlign w:val="bottom"/>
          </w:tcPr>
          <w:p w:rsidR="00C47293" w:rsidRPr="004C39C0" w:rsidRDefault="00C47293" w:rsidP="00BE4C6A">
            <w:pPr>
              <w:spacing w:after="0" w:line="240" w:lineRule="auto"/>
              <w:rPr>
                <w:rFonts w:ascii="Calibri" w:eastAsia="Times New Roman" w:hAnsi="Calibri" w:cs="Times New Roman"/>
              </w:rPr>
            </w:pPr>
            <w:r w:rsidRPr="004C39C0">
              <w:rPr>
                <w:rFonts w:ascii="Calibri" w:eastAsia="Times New Roman" w:hAnsi="Calibri" w:cs="Times New Roman"/>
              </w:rPr>
              <w:t>Bathymetry</w:t>
            </w:r>
          </w:p>
        </w:tc>
        <w:tc>
          <w:tcPr>
            <w:tcW w:w="3336" w:type="dxa"/>
            <w:tcBorders>
              <w:top w:val="nil"/>
              <w:left w:val="single" w:sz="18" w:space="0" w:color="70AD47"/>
              <w:bottom w:val="single" w:sz="4" w:space="0" w:color="70AD47"/>
              <w:right w:val="single" w:sz="18" w:space="0" w:color="70AD47"/>
            </w:tcBorders>
            <w:shd w:val="clear" w:color="auto" w:fill="C5E0B3" w:themeFill="accent6" w:themeFillTint="66"/>
          </w:tcPr>
          <w:p w:rsidR="00C47293"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0.81521</w:t>
            </w:r>
          </w:p>
        </w:tc>
      </w:tr>
      <w:tr w:rsidR="009C059C" w:rsidRPr="004C39C0" w:rsidTr="009C059C">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December, January, February irradiance</w:t>
            </w:r>
          </w:p>
        </w:tc>
        <w:tc>
          <w:tcPr>
            <w:tcW w:w="3336" w:type="dxa"/>
            <w:tcBorders>
              <w:top w:val="nil"/>
              <w:left w:val="single" w:sz="18" w:space="0" w:color="70AD47"/>
              <w:bottom w:val="single" w:sz="4" w:space="0" w:color="70AD47"/>
              <w:right w:val="single" w:sz="18" w:space="0" w:color="70AD47"/>
            </w:tcBorders>
            <w:shd w:val="clear" w:color="000000" w:fill="FFFFFF"/>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0.08713</w:t>
            </w:r>
          </w:p>
        </w:tc>
      </w:tr>
      <w:tr w:rsidR="009C059C" w:rsidRPr="004C39C0" w:rsidTr="009C059C">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000000" w:fill="C6E0B4"/>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June, July, August irradiance</w:t>
            </w:r>
          </w:p>
        </w:tc>
        <w:tc>
          <w:tcPr>
            <w:tcW w:w="3336" w:type="dxa"/>
            <w:tcBorders>
              <w:top w:val="nil"/>
              <w:left w:val="single" w:sz="18" w:space="0" w:color="70AD47"/>
              <w:bottom w:val="single" w:sz="4" w:space="0" w:color="70AD47"/>
              <w:right w:val="single" w:sz="18" w:space="0" w:color="70AD47"/>
            </w:tcBorders>
            <w:shd w:val="clear" w:color="000000" w:fill="C6E0B4"/>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0.13732</w:t>
            </w:r>
          </w:p>
        </w:tc>
      </w:tr>
      <w:tr w:rsidR="009C059C" w:rsidRPr="004C39C0" w:rsidTr="009C059C">
        <w:trPr>
          <w:trHeight w:val="300"/>
          <w:jc w:val="center"/>
        </w:trPr>
        <w:tc>
          <w:tcPr>
            <w:tcW w:w="4256"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Annual salinity</w:t>
            </w:r>
          </w:p>
        </w:tc>
        <w:tc>
          <w:tcPr>
            <w:tcW w:w="3336" w:type="dxa"/>
            <w:tcBorders>
              <w:top w:val="nil"/>
              <w:left w:val="single" w:sz="18" w:space="0" w:color="70AD47"/>
              <w:bottom w:val="single" w:sz="4" w:space="0" w:color="70AD47"/>
              <w:right w:val="single" w:sz="18" w:space="0" w:color="70AD47"/>
            </w:tcBorders>
            <w:shd w:val="clear" w:color="000000" w:fill="FFFFFF"/>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0.05434</w:t>
            </w:r>
          </w:p>
        </w:tc>
      </w:tr>
      <w:tr w:rsidR="009C059C" w:rsidRPr="004C39C0" w:rsidTr="009C059C">
        <w:trPr>
          <w:trHeight w:val="300"/>
          <w:jc w:val="center"/>
        </w:trPr>
        <w:tc>
          <w:tcPr>
            <w:tcW w:w="4256" w:type="dxa"/>
            <w:tcBorders>
              <w:top w:val="nil"/>
              <w:left w:val="single" w:sz="18" w:space="0" w:color="70AD47" w:themeColor="accent6"/>
              <w:bottom w:val="single" w:sz="18" w:space="0" w:color="70AD47" w:themeColor="accent6"/>
              <w:right w:val="single" w:sz="18" w:space="0" w:color="70AD47"/>
            </w:tcBorders>
            <w:shd w:val="clear" w:color="000000" w:fill="C6E0B4"/>
            <w:noWrap/>
            <w:vAlign w:val="bottom"/>
            <w:hideMark/>
          </w:tcPr>
          <w:p w:rsidR="009C059C" w:rsidRPr="004C39C0" w:rsidRDefault="009C059C" w:rsidP="00BE4C6A">
            <w:pPr>
              <w:spacing w:after="0" w:line="240" w:lineRule="auto"/>
              <w:rPr>
                <w:rFonts w:ascii="Calibri" w:eastAsia="Times New Roman" w:hAnsi="Calibri" w:cs="Times New Roman"/>
              </w:rPr>
            </w:pPr>
            <w:r w:rsidRPr="004C39C0">
              <w:rPr>
                <w:rFonts w:ascii="Calibri" w:eastAsia="Times New Roman" w:hAnsi="Calibri" w:cs="Times New Roman"/>
              </w:rPr>
              <w:t>Annual sea surface temperature</w:t>
            </w:r>
          </w:p>
        </w:tc>
        <w:tc>
          <w:tcPr>
            <w:tcW w:w="3336" w:type="dxa"/>
            <w:tcBorders>
              <w:top w:val="nil"/>
              <w:left w:val="single" w:sz="18" w:space="0" w:color="70AD47"/>
              <w:bottom w:val="single" w:sz="18" w:space="0" w:color="70AD47" w:themeColor="accent6"/>
              <w:right w:val="single" w:sz="18" w:space="0" w:color="70AD47"/>
            </w:tcBorders>
            <w:shd w:val="clear" w:color="000000" w:fill="C6E0B4"/>
          </w:tcPr>
          <w:p w:rsidR="009C059C" w:rsidRPr="004C39C0" w:rsidRDefault="00C47293" w:rsidP="006E7EBE">
            <w:pPr>
              <w:spacing w:after="0" w:line="240" w:lineRule="auto"/>
              <w:jc w:val="center"/>
              <w:rPr>
                <w:rFonts w:ascii="Calibri" w:eastAsia="Times New Roman" w:hAnsi="Calibri" w:cs="Times New Roman"/>
              </w:rPr>
            </w:pPr>
            <w:r w:rsidRPr="00C47293">
              <w:rPr>
                <w:rFonts w:ascii="Calibri" w:eastAsia="Times New Roman" w:hAnsi="Calibri" w:cs="Times New Roman"/>
              </w:rPr>
              <w:t>0.43186</w:t>
            </w:r>
          </w:p>
        </w:tc>
      </w:tr>
    </w:tbl>
    <w:p w:rsidR="00A84D9C" w:rsidRDefault="00A84D9C" w:rsidP="00A84D9C">
      <w:pPr>
        <w:rPr>
          <w:rFonts w:eastAsiaTheme="majorEastAsia" w:cstheme="majorBidi"/>
          <w:szCs w:val="26"/>
          <w:lang w:eastAsia="en-US"/>
        </w:rPr>
      </w:pPr>
      <w:r>
        <w:br w:type="page"/>
      </w:r>
    </w:p>
    <w:p w:rsidR="00F71AE5" w:rsidRPr="008C33A5" w:rsidRDefault="00F71AE5" w:rsidP="00F71AE5">
      <w:pPr>
        <w:pStyle w:val="Heading2"/>
        <w:rPr>
          <w:sz w:val="24"/>
        </w:rPr>
      </w:pPr>
      <w:r w:rsidRPr="008C33A5">
        <w:rPr>
          <w:sz w:val="24"/>
        </w:rPr>
        <w:lastRenderedPageBreak/>
        <w:t>Variable selection</w:t>
      </w:r>
    </w:p>
    <w:p w:rsidR="0070587A" w:rsidRPr="000706A3" w:rsidRDefault="0070587A" w:rsidP="00F2009D">
      <w:pPr>
        <w:pStyle w:val="Caption"/>
        <w:keepNext/>
        <w:jc w:val="both"/>
        <w:rPr>
          <w:i w:val="0"/>
          <w:color w:val="auto"/>
          <w:sz w:val="22"/>
          <w:szCs w:val="24"/>
        </w:rPr>
      </w:pPr>
      <w:bookmarkStart w:id="1" w:name="_Ref525218177"/>
      <w:r w:rsidRPr="000706A3">
        <w:rPr>
          <w:i w:val="0"/>
          <w:color w:val="auto"/>
          <w:sz w:val="22"/>
          <w:szCs w:val="24"/>
        </w:rPr>
        <w:t xml:space="preserve">Table SM </w:t>
      </w:r>
      <w:r w:rsidRPr="000706A3">
        <w:rPr>
          <w:i w:val="0"/>
          <w:color w:val="auto"/>
          <w:sz w:val="22"/>
          <w:szCs w:val="24"/>
        </w:rPr>
        <w:fldChar w:fldCharType="begin"/>
      </w:r>
      <w:r w:rsidRPr="000706A3">
        <w:rPr>
          <w:i w:val="0"/>
          <w:color w:val="auto"/>
          <w:sz w:val="22"/>
          <w:szCs w:val="24"/>
        </w:rPr>
        <w:instrText xml:space="preserve"> SEQ Table_SM \* ARABIC </w:instrText>
      </w:r>
      <w:r w:rsidRPr="000706A3">
        <w:rPr>
          <w:i w:val="0"/>
          <w:color w:val="auto"/>
          <w:sz w:val="22"/>
          <w:szCs w:val="24"/>
        </w:rPr>
        <w:fldChar w:fldCharType="separate"/>
      </w:r>
      <w:r w:rsidR="00C47293">
        <w:rPr>
          <w:i w:val="0"/>
          <w:noProof/>
          <w:color w:val="auto"/>
          <w:sz w:val="22"/>
          <w:szCs w:val="24"/>
        </w:rPr>
        <w:t>2</w:t>
      </w:r>
      <w:r w:rsidRPr="000706A3">
        <w:rPr>
          <w:i w:val="0"/>
          <w:color w:val="auto"/>
          <w:sz w:val="22"/>
          <w:szCs w:val="24"/>
        </w:rPr>
        <w:fldChar w:fldCharType="end"/>
      </w:r>
      <w:bookmarkEnd w:id="0"/>
      <w:bookmarkEnd w:id="1"/>
      <w:r w:rsidRPr="000706A3">
        <w:rPr>
          <w:i w:val="0"/>
          <w:color w:val="auto"/>
          <w:sz w:val="22"/>
          <w:szCs w:val="24"/>
        </w:rPr>
        <w:t>. Ecologically relevant variables and their assigned short name and code used in this study.</w:t>
      </w:r>
    </w:p>
    <w:tbl>
      <w:tblPr>
        <w:tblStyle w:val="GridTable2-Accent6"/>
        <w:tblW w:w="8931" w:type="dxa"/>
        <w:jc w:val="center"/>
        <w:tblLook w:val="04A0" w:firstRow="1" w:lastRow="0" w:firstColumn="1" w:lastColumn="0" w:noHBand="0" w:noVBand="1"/>
      </w:tblPr>
      <w:tblGrid>
        <w:gridCol w:w="6470"/>
        <w:gridCol w:w="760"/>
        <w:gridCol w:w="1701"/>
      </w:tblGrid>
      <w:tr w:rsidR="00A90229" w:rsidRPr="00EB0DB0" w:rsidTr="00BA140D">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C41FA3" w:rsidRDefault="00A90229" w:rsidP="00BE4C6A">
            <w:pPr>
              <w:jc w:val="center"/>
              <w:rPr>
                <w:color w:val="000000"/>
                <w:szCs w:val="24"/>
              </w:rPr>
            </w:pPr>
            <w:r w:rsidRPr="00C41FA3">
              <w:rPr>
                <w:color w:val="000000"/>
                <w:szCs w:val="24"/>
              </w:rPr>
              <w:t>ENVIRONMENTAL VARIABLE</w:t>
            </w:r>
          </w:p>
        </w:tc>
        <w:tc>
          <w:tcPr>
            <w:tcW w:w="760" w:type="dxa"/>
          </w:tcPr>
          <w:p w:rsidR="00A90229" w:rsidRPr="00C41FA3" w:rsidRDefault="00A90229" w:rsidP="00BE4C6A">
            <w:pPr>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C41FA3">
              <w:rPr>
                <w:color w:val="000000"/>
                <w:szCs w:val="24"/>
              </w:rPr>
              <w:t>UNIT</w:t>
            </w:r>
          </w:p>
        </w:tc>
        <w:tc>
          <w:tcPr>
            <w:tcW w:w="1701" w:type="dxa"/>
            <w:noWrap/>
          </w:tcPr>
          <w:p w:rsidR="00A90229" w:rsidRPr="00C41FA3" w:rsidRDefault="00A90229" w:rsidP="00BE4C6A">
            <w:pPr>
              <w:jc w:val="center"/>
              <w:cnfStyle w:val="100000000000" w:firstRow="1" w:lastRow="0" w:firstColumn="0" w:lastColumn="0" w:oddVBand="0" w:evenVBand="0" w:oddHBand="0" w:evenHBand="0" w:firstRowFirstColumn="0" w:firstRowLastColumn="0" w:lastRowFirstColumn="0" w:lastRowLastColumn="0"/>
              <w:rPr>
                <w:color w:val="000000"/>
                <w:szCs w:val="24"/>
              </w:rPr>
            </w:pPr>
            <w:r w:rsidRPr="00C41FA3">
              <w:rPr>
                <w:color w:val="000000"/>
                <w:szCs w:val="24"/>
              </w:rPr>
              <w:t xml:space="preserve">SHORT NAME </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Annual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NETSWANN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April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NETSWAPR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August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NETSWAUG</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December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NETSWDEC</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(December, January February)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NETSWDJF</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February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NETSWFEB</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January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NETSWJAN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(June, July, August)</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NETSWJJA</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July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NETSWJUL</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June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NETSWJUN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(March, April, May)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NETSWMAM</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March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NETSWMAR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May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NETSWMAY</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November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NETSWNOV</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October irradiance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NETSWOCT</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September irradiance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NETSWSEP</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irradiance (September, October November)</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W/m</w:t>
            </w:r>
            <w:r w:rsidRPr="00BF0792">
              <w:rPr>
                <w:color w:val="000000"/>
                <w:vertAlign w:val="superscript"/>
              </w:rPr>
              <w:t>2</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NETSWSON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Annual salinity</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SALANN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(December, January, February)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SALDJF</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(June, July, August)</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SALJJA</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(March, April, May)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SALMAM</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salinity (September, October, November)</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proofErr w:type="spellStart"/>
            <w:r w:rsidRPr="00BF0792">
              <w:rPr>
                <w:color w:val="000000"/>
              </w:rPr>
              <w:t>mPSU</w:t>
            </w:r>
            <w:proofErr w:type="spellEnd"/>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SALSON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Annual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SSTANN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April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SSTAPR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August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SSTAUG</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December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SSTDEC</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(December, January, February)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SSTDJF</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February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SSTFEB</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January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SSTJAN</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(June, July, August)</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SSTJJA</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July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SSTJUL</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June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SSTJUN</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(March, April, May)</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SSTMAM</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March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SSTMAR</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May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SSTMAY</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November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SSTNOV</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October sea surface temperature</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SSTOCT</w:t>
            </w:r>
          </w:p>
        </w:tc>
      </w:tr>
      <w:tr w:rsidR="00A90229" w:rsidRPr="00481D8C" w:rsidTr="00BA140D">
        <w:trPr>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September sea surface temperature</w:t>
            </w:r>
          </w:p>
        </w:tc>
        <w:tc>
          <w:tcPr>
            <w:tcW w:w="760" w:type="dxa"/>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000000" w:firstRow="0" w:lastRow="0" w:firstColumn="0" w:lastColumn="0" w:oddVBand="0" w:evenVBand="0" w:oddHBand="0" w:evenHBand="0" w:firstRowFirstColumn="0" w:firstRowLastColumn="0" w:lastRowFirstColumn="0" w:lastRowLastColumn="0"/>
              <w:rPr>
                <w:color w:val="000000"/>
              </w:rPr>
            </w:pPr>
            <w:r w:rsidRPr="00BF0792">
              <w:rPr>
                <w:color w:val="000000"/>
              </w:rPr>
              <w:t>SSTSEP</w:t>
            </w:r>
          </w:p>
        </w:tc>
      </w:tr>
      <w:tr w:rsidR="00A90229" w:rsidRPr="00481D8C" w:rsidTr="00BA140D">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6470" w:type="dxa"/>
          </w:tcPr>
          <w:p w:rsidR="00A90229" w:rsidRPr="00BF0792" w:rsidRDefault="00A90229" w:rsidP="00BE4C6A">
            <w:pPr>
              <w:rPr>
                <w:b w:val="0"/>
                <w:color w:val="000000"/>
              </w:rPr>
            </w:pPr>
            <w:r w:rsidRPr="00BF0792">
              <w:rPr>
                <w:b w:val="0"/>
                <w:color w:val="000000"/>
              </w:rPr>
              <w:t>Seasonal sea surface temperature (September, October, November)</w:t>
            </w:r>
          </w:p>
        </w:tc>
        <w:tc>
          <w:tcPr>
            <w:tcW w:w="760" w:type="dxa"/>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°C</w:t>
            </w:r>
          </w:p>
        </w:tc>
        <w:tc>
          <w:tcPr>
            <w:tcW w:w="1701" w:type="dxa"/>
            <w:noWrap/>
            <w:hideMark/>
          </w:tcPr>
          <w:p w:rsidR="00A90229" w:rsidRPr="00BF0792" w:rsidRDefault="00A90229" w:rsidP="00BE4C6A">
            <w:pPr>
              <w:cnfStyle w:val="000000100000" w:firstRow="0" w:lastRow="0" w:firstColumn="0" w:lastColumn="0" w:oddVBand="0" w:evenVBand="0" w:oddHBand="1" w:evenHBand="0" w:firstRowFirstColumn="0" w:firstRowLastColumn="0" w:lastRowFirstColumn="0" w:lastRowLastColumn="0"/>
              <w:rPr>
                <w:color w:val="000000"/>
              </w:rPr>
            </w:pPr>
            <w:r w:rsidRPr="00BF0792">
              <w:rPr>
                <w:color w:val="000000"/>
              </w:rPr>
              <w:t>SSTSON</w:t>
            </w:r>
          </w:p>
        </w:tc>
      </w:tr>
    </w:tbl>
    <w:p w:rsidR="00C0674B" w:rsidRDefault="00C0674B"/>
    <w:p w:rsidR="00C0674B" w:rsidRDefault="00C0674B">
      <w:r>
        <w:br w:type="page"/>
      </w:r>
    </w:p>
    <w:p w:rsidR="0070587A" w:rsidRDefault="00C0674B" w:rsidP="00D76D2A">
      <w:pPr>
        <w:keepNext/>
        <w:jc w:val="center"/>
      </w:pPr>
      <w:r>
        <w:rPr>
          <w:noProof/>
        </w:rPr>
        <w:lastRenderedPageBreak/>
        <w:drawing>
          <wp:inline distT="0" distB="0" distL="0" distR="0">
            <wp:extent cx="6618631" cy="6120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s_Modern_LIG.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18631" cy="6120000"/>
                    </a:xfrm>
                    <a:prstGeom prst="rect">
                      <a:avLst/>
                    </a:prstGeom>
                  </pic:spPr>
                </pic:pic>
              </a:graphicData>
            </a:graphic>
          </wp:inline>
        </w:drawing>
      </w:r>
    </w:p>
    <w:p w:rsidR="0070587A" w:rsidRPr="000706A3" w:rsidRDefault="0070587A" w:rsidP="007A6FDF">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3</w:t>
      </w:r>
      <w:r w:rsidRPr="000706A3">
        <w:rPr>
          <w:i w:val="0"/>
          <w:color w:val="auto"/>
          <w:sz w:val="22"/>
          <w:szCs w:val="22"/>
        </w:rPr>
        <w:fldChar w:fldCharType="end"/>
      </w:r>
      <w:r w:rsidRPr="000706A3">
        <w:rPr>
          <w:i w:val="0"/>
          <w:color w:val="auto"/>
          <w:sz w:val="22"/>
          <w:szCs w:val="22"/>
        </w:rPr>
        <w:t xml:space="preserve">. Correlation matrix of all modern and </w:t>
      </w:r>
      <w:r w:rsidR="00690FBE">
        <w:rPr>
          <w:i w:val="0"/>
          <w:color w:val="auto"/>
          <w:sz w:val="22"/>
          <w:szCs w:val="22"/>
        </w:rPr>
        <w:t>Last Interglacial</w:t>
      </w:r>
      <w:r w:rsidRPr="000706A3">
        <w:rPr>
          <w:i w:val="0"/>
          <w:color w:val="auto"/>
          <w:sz w:val="22"/>
          <w:szCs w:val="22"/>
        </w:rPr>
        <w:t xml:space="preserve"> environmental variables</w:t>
      </w:r>
      <w:r w:rsidR="007A6FDF" w:rsidRPr="000706A3">
        <w:rPr>
          <w:i w:val="0"/>
          <w:color w:val="auto"/>
          <w:sz w:val="22"/>
          <w:szCs w:val="22"/>
        </w:rPr>
        <w:t xml:space="preserve">. </w:t>
      </w:r>
      <w:r w:rsidRPr="000706A3">
        <w:rPr>
          <w:i w:val="0"/>
          <w:color w:val="auto"/>
          <w:sz w:val="22"/>
          <w:szCs w:val="22"/>
        </w:rPr>
        <w:t xml:space="preserve">The upper diagonal portion of the matrix shows the correlation coefficients of modern covariates. Whereas, the lower diagonal portion of the matrix shows the correlation coefficients of </w:t>
      </w:r>
      <w:r w:rsidR="00690FBE">
        <w:rPr>
          <w:i w:val="0"/>
          <w:color w:val="auto"/>
          <w:sz w:val="22"/>
          <w:szCs w:val="22"/>
        </w:rPr>
        <w:t>Last Interglacial</w:t>
      </w:r>
      <w:r w:rsidRPr="000706A3">
        <w:rPr>
          <w:i w:val="0"/>
          <w:color w:val="auto"/>
          <w:sz w:val="22"/>
          <w:szCs w:val="22"/>
        </w:rPr>
        <w:t xml:space="preserve"> covariates. Variable definitions are given in</w:t>
      </w:r>
      <w:r w:rsidR="00E97167">
        <w:rPr>
          <w:i w:val="0"/>
          <w:color w:val="auto"/>
          <w:sz w:val="22"/>
          <w:szCs w:val="22"/>
        </w:rPr>
        <w:t xml:space="preserve"> Table SM2</w:t>
      </w:r>
      <w:r w:rsidRPr="000706A3">
        <w:rPr>
          <w:color w:val="auto"/>
          <w:sz w:val="22"/>
          <w:szCs w:val="22"/>
        </w:rPr>
        <w:t>.</w:t>
      </w:r>
      <w:r w:rsidRPr="000706A3">
        <w:rPr>
          <w:i w:val="0"/>
          <w:color w:val="auto"/>
          <w:sz w:val="22"/>
          <w:szCs w:val="22"/>
        </w:rPr>
        <w:t xml:space="preserve"> Scale bar represents Pearson’s correlation coefficient betwee</w:t>
      </w:r>
      <w:r w:rsidR="00F61F63">
        <w:rPr>
          <w:i w:val="0"/>
          <w:color w:val="auto"/>
          <w:sz w:val="22"/>
          <w:szCs w:val="22"/>
        </w:rPr>
        <w:t>n each pair of variables (‘r’)</w:t>
      </w:r>
      <w:r w:rsidR="00365964">
        <w:rPr>
          <w:i w:val="0"/>
          <w:color w:val="auto"/>
          <w:sz w:val="22"/>
          <w:szCs w:val="22"/>
        </w:rPr>
        <w:t xml:space="preserve"> in the grid</w:t>
      </w:r>
      <w:r w:rsidR="00F61F63">
        <w:rPr>
          <w:i w:val="0"/>
          <w:color w:val="auto"/>
          <w:sz w:val="22"/>
          <w:szCs w:val="22"/>
        </w:rPr>
        <w:t>.</w:t>
      </w:r>
    </w:p>
    <w:p w:rsidR="0070587A" w:rsidRDefault="0070587A">
      <w:pPr>
        <w:rPr>
          <w:noProof/>
        </w:rPr>
      </w:pPr>
      <w:r>
        <w:rPr>
          <w:noProof/>
        </w:rPr>
        <w:br w:type="page"/>
      </w:r>
    </w:p>
    <w:p w:rsidR="000706A3" w:rsidRDefault="0070587A" w:rsidP="000706A3">
      <w:pPr>
        <w:keepNext/>
        <w:jc w:val="center"/>
      </w:pPr>
      <w:r>
        <w:rPr>
          <w:noProof/>
        </w:rPr>
        <w:lastRenderedPageBreak/>
        <w:drawing>
          <wp:inline distT="0" distB="0" distL="0" distR="0" wp14:anchorId="22A40348" wp14:editId="36797C97">
            <wp:extent cx="4771895" cy="396000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6013" b="11001"/>
                    <a:stretch/>
                  </pic:blipFill>
                  <pic:spPr bwMode="auto">
                    <a:xfrm>
                      <a:off x="0" y="0"/>
                      <a:ext cx="4771895" cy="3960000"/>
                    </a:xfrm>
                    <a:prstGeom prst="rect">
                      <a:avLst/>
                    </a:prstGeom>
                    <a:ln>
                      <a:noFill/>
                    </a:ln>
                    <a:extLst>
                      <a:ext uri="{53640926-AAD7-44D8-BBD7-CCE9431645EC}">
                        <a14:shadowObscured xmlns:a14="http://schemas.microsoft.com/office/drawing/2010/main"/>
                      </a:ext>
                    </a:extLst>
                  </pic:spPr>
                </pic:pic>
              </a:graphicData>
            </a:graphic>
          </wp:inline>
        </w:drawing>
      </w:r>
    </w:p>
    <w:p w:rsidR="0070587A" w:rsidRPr="000706A3" w:rsidRDefault="000706A3" w:rsidP="00690FBE">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4</w:t>
      </w:r>
      <w:r w:rsidRPr="000706A3">
        <w:rPr>
          <w:i w:val="0"/>
          <w:color w:val="auto"/>
          <w:sz w:val="22"/>
          <w:szCs w:val="22"/>
        </w:rPr>
        <w:fldChar w:fldCharType="end"/>
      </w:r>
      <w:r w:rsidRPr="000706A3">
        <w:rPr>
          <w:i w:val="0"/>
          <w:color w:val="auto"/>
          <w:sz w:val="22"/>
          <w:szCs w:val="22"/>
        </w:rPr>
        <w:t>. A cluster dendrogram illustrating the arrangement of clusters produced by hierarchical clustering for modern covariates. The height measure between clusters is calculated as H = 1 – C, where H = Height and C = correlation between compound clusters. Less height is equal to a higher correlation between clusters.</w:t>
      </w:r>
    </w:p>
    <w:p w:rsidR="000706A3" w:rsidRDefault="0070587A" w:rsidP="000706A3">
      <w:pPr>
        <w:keepNext/>
        <w:jc w:val="center"/>
      </w:pPr>
      <w:r>
        <w:rPr>
          <w:noProof/>
        </w:rPr>
        <w:drawing>
          <wp:inline distT="0" distB="0" distL="0" distR="0" wp14:anchorId="33C2A993" wp14:editId="208EDF0E">
            <wp:extent cx="4799719" cy="3960000"/>
            <wp:effectExtent l="0" t="0" r="127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t="5773" b="11722"/>
                    <a:stretch/>
                  </pic:blipFill>
                  <pic:spPr bwMode="auto">
                    <a:xfrm>
                      <a:off x="0" y="0"/>
                      <a:ext cx="4799719" cy="3960000"/>
                    </a:xfrm>
                    <a:prstGeom prst="rect">
                      <a:avLst/>
                    </a:prstGeom>
                    <a:ln>
                      <a:noFill/>
                    </a:ln>
                    <a:extLst>
                      <a:ext uri="{53640926-AAD7-44D8-BBD7-CCE9431645EC}">
                        <a14:shadowObscured xmlns:a14="http://schemas.microsoft.com/office/drawing/2010/main"/>
                      </a:ext>
                    </a:extLst>
                  </pic:spPr>
                </pic:pic>
              </a:graphicData>
            </a:graphic>
          </wp:inline>
        </w:drawing>
      </w:r>
    </w:p>
    <w:p w:rsidR="000706A3" w:rsidRPr="000706A3" w:rsidRDefault="000706A3" w:rsidP="00690FBE">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5</w:t>
      </w:r>
      <w:r w:rsidRPr="000706A3">
        <w:rPr>
          <w:i w:val="0"/>
          <w:color w:val="auto"/>
          <w:sz w:val="22"/>
          <w:szCs w:val="22"/>
        </w:rPr>
        <w:fldChar w:fldCharType="end"/>
      </w:r>
      <w:r w:rsidRPr="000706A3">
        <w:rPr>
          <w:i w:val="0"/>
          <w:color w:val="auto"/>
          <w:sz w:val="22"/>
          <w:szCs w:val="22"/>
        </w:rPr>
        <w:t xml:space="preserve">. A cluster dendrogram illustrating the arrangement of clusters produced by hierarchical clustering for </w:t>
      </w:r>
      <w:r w:rsidR="00690FBE">
        <w:rPr>
          <w:i w:val="0"/>
          <w:color w:val="auto"/>
          <w:sz w:val="22"/>
          <w:szCs w:val="22"/>
        </w:rPr>
        <w:t>Last Interglacial</w:t>
      </w:r>
      <w:r w:rsidRPr="000706A3">
        <w:rPr>
          <w:i w:val="0"/>
          <w:color w:val="auto"/>
          <w:sz w:val="22"/>
          <w:szCs w:val="22"/>
        </w:rPr>
        <w:t xml:space="preserve"> covariates. The height measure between clusters is calculated as H = 1 – C, where H = Height and C = correlation between compound clusters. Less height is equal to a higher correlation between clusters.</w:t>
      </w:r>
    </w:p>
    <w:p w:rsidR="000706A3" w:rsidRDefault="000706A3" w:rsidP="003C05EF">
      <w:pPr>
        <w:keepNext/>
        <w:jc w:val="center"/>
      </w:pPr>
      <w:r>
        <w:rPr>
          <w:noProof/>
        </w:rPr>
        <w:lastRenderedPageBreak/>
        <w:drawing>
          <wp:inline distT="0" distB="0" distL="0" distR="0">
            <wp:extent cx="6623396" cy="61200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mbers_RCP45_RCP8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23396" cy="6120000"/>
                    </a:xfrm>
                    <a:prstGeom prst="rect">
                      <a:avLst/>
                    </a:prstGeom>
                  </pic:spPr>
                </pic:pic>
              </a:graphicData>
            </a:graphic>
          </wp:inline>
        </w:drawing>
      </w:r>
    </w:p>
    <w:p w:rsidR="00E82931" w:rsidRDefault="000706A3" w:rsidP="00E82931">
      <w:pPr>
        <w:pStyle w:val="Caption"/>
        <w:jc w:val="both"/>
        <w:rPr>
          <w:i w:val="0"/>
          <w:color w:val="auto"/>
          <w:sz w:val="22"/>
          <w:szCs w:val="22"/>
        </w:rPr>
      </w:pPr>
      <w:r w:rsidRPr="000706A3">
        <w:rPr>
          <w:i w:val="0"/>
          <w:color w:val="auto"/>
          <w:sz w:val="22"/>
          <w:szCs w:val="22"/>
        </w:rPr>
        <w:t xml:space="preserve">Figure SM </w:t>
      </w:r>
      <w:r w:rsidRPr="000706A3">
        <w:rPr>
          <w:i w:val="0"/>
          <w:color w:val="auto"/>
          <w:sz w:val="22"/>
          <w:szCs w:val="22"/>
        </w:rPr>
        <w:fldChar w:fldCharType="begin"/>
      </w:r>
      <w:r w:rsidRPr="000706A3">
        <w:rPr>
          <w:i w:val="0"/>
          <w:color w:val="auto"/>
          <w:sz w:val="22"/>
          <w:szCs w:val="22"/>
        </w:rPr>
        <w:instrText xml:space="preserve"> SEQ Figure_SM \* ARABIC </w:instrText>
      </w:r>
      <w:r w:rsidRPr="000706A3">
        <w:rPr>
          <w:i w:val="0"/>
          <w:color w:val="auto"/>
          <w:sz w:val="22"/>
          <w:szCs w:val="22"/>
        </w:rPr>
        <w:fldChar w:fldCharType="separate"/>
      </w:r>
      <w:r w:rsidR="006C03E0">
        <w:rPr>
          <w:i w:val="0"/>
          <w:noProof/>
          <w:color w:val="auto"/>
          <w:sz w:val="22"/>
          <w:szCs w:val="22"/>
        </w:rPr>
        <w:t>6</w:t>
      </w:r>
      <w:r w:rsidRPr="000706A3">
        <w:rPr>
          <w:i w:val="0"/>
          <w:color w:val="auto"/>
          <w:sz w:val="22"/>
          <w:szCs w:val="22"/>
        </w:rPr>
        <w:fldChar w:fldCharType="end"/>
      </w:r>
      <w:r w:rsidRPr="000706A3">
        <w:rPr>
          <w:i w:val="0"/>
          <w:color w:val="auto"/>
          <w:sz w:val="22"/>
          <w:szCs w:val="22"/>
        </w:rPr>
        <w:t>. Correlation matrix of all RCP4.5 and RCP8.5 environmental variables. The upper diagonal portion of the matrix shows the correlation coefficients of RCP4.5 covariates. Whereas, the lower diagonal portion of the matrix shows the correlation coefficients of RCP8.5 covariates. Variable definitions are given in</w:t>
      </w:r>
      <w:r w:rsidR="00E97167">
        <w:rPr>
          <w:i w:val="0"/>
          <w:color w:val="auto"/>
          <w:sz w:val="22"/>
          <w:szCs w:val="22"/>
        </w:rPr>
        <w:t xml:space="preserve"> Table SM2</w:t>
      </w:r>
      <w:r w:rsidRPr="000706A3">
        <w:rPr>
          <w:i w:val="0"/>
          <w:color w:val="auto"/>
          <w:sz w:val="22"/>
          <w:szCs w:val="22"/>
        </w:rPr>
        <w:t>. Scale bar represents Pearson’s correlation coefficient between each pair of variables (‘r’)</w:t>
      </w:r>
      <w:r w:rsidR="00365964">
        <w:rPr>
          <w:i w:val="0"/>
          <w:color w:val="auto"/>
          <w:sz w:val="22"/>
          <w:szCs w:val="22"/>
        </w:rPr>
        <w:t xml:space="preserve"> in the grid</w:t>
      </w:r>
      <w:r w:rsidRPr="000706A3">
        <w:rPr>
          <w:i w:val="0"/>
          <w:color w:val="auto"/>
          <w:sz w:val="22"/>
          <w:szCs w:val="22"/>
        </w:rPr>
        <w:t xml:space="preserve">. </w:t>
      </w:r>
    </w:p>
    <w:p w:rsidR="00E82931" w:rsidRPr="00E82931" w:rsidRDefault="00E82931" w:rsidP="00E82931"/>
    <w:p w:rsidR="00A90229" w:rsidRDefault="00A90229">
      <w:r>
        <w:br w:type="page"/>
      </w:r>
    </w:p>
    <w:p w:rsidR="00E82931" w:rsidRDefault="00E82931" w:rsidP="00E82931">
      <w:pPr>
        <w:keepNext/>
        <w:spacing w:line="360" w:lineRule="auto"/>
        <w:jc w:val="center"/>
      </w:pPr>
      <w:r>
        <w:rPr>
          <w:noProof/>
        </w:rPr>
        <w:lastRenderedPageBreak/>
        <w:drawing>
          <wp:inline distT="0" distB="0" distL="0" distR="0" wp14:anchorId="7BCFDA8D" wp14:editId="3AA46872">
            <wp:extent cx="4827871" cy="3960000"/>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6975" b="11001"/>
                    <a:stretch/>
                  </pic:blipFill>
                  <pic:spPr bwMode="auto">
                    <a:xfrm>
                      <a:off x="0" y="0"/>
                      <a:ext cx="4827871" cy="3960000"/>
                    </a:xfrm>
                    <a:prstGeom prst="rect">
                      <a:avLst/>
                    </a:prstGeom>
                    <a:ln>
                      <a:noFill/>
                    </a:ln>
                    <a:extLst>
                      <a:ext uri="{53640926-AAD7-44D8-BBD7-CCE9431645EC}">
                        <a14:shadowObscured xmlns:a14="http://schemas.microsoft.com/office/drawing/2010/main"/>
                      </a:ext>
                    </a:extLst>
                  </pic:spPr>
                </pic:pic>
              </a:graphicData>
            </a:graphic>
          </wp:inline>
        </w:drawing>
      </w:r>
    </w:p>
    <w:p w:rsidR="00A90229" w:rsidRPr="00E82931" w:rsidRDefault="00E82931" w:rsidP="00E82931">
      <w:pPr>
        <w:pStyle w:val="Caption"/>
        <w:jc w:val="both"/>
        <w:rPr>
          <w:i w:val="0"/>
          <w:color w:val="auto"/>
          <w:sz w:val="22"/>
          <w:szCs w:val="22"/>
        </w:rPr>
      </w:pPr>
      <w:r w:rsidRPr="00E82931">
        <w:rPr>
          <w:i w:val="0"/>
          <w:color w:val="auto"/>
          <w:sz w:val="22"/>
          <w:szCs w:val="22"/>
        </w:rPr>
        <w:t xml:space="preserve">Figure SM </w:t>
      </w:r>
      <w:r w:rsidRPr="00E82931">
        <w:rPr>
          <w:i w:val="0"/>
          <w:color w:val="auto"/>
          <w:sz w:val="22"/>
          <w:szCs w:val="22"/>
        </w:rPr>
        <w:fldChar w:fldCharType="begin"/>
      </w:r>
      <w:r w:rsidRPr="00E82931">
        <w:rPr>
          <w:i w:val="0"/>
          <w:color w:val="auto"/>
          <w:sz w:val="22"/>
          <w:szCs w:val="22"/>
        </w:rPr>
        <w:instrText xml:space="preserve"> SEQ Figure_SM \* ARABIC </w:instrText>
      </w:r>
      <w:r w:rsidRPr="00E82931">
        <w:rPr>
          <w:i w:val="0"/>
          <w:color w:val="auto"/>
          <w:sz w:val="22"/>
          <w:szCs w:val="22"/>
        </w:rPr>
        <w:fldChar w:fldCharType="separate"/>
      </w:r>
      <w:r w:rsidR="006C03E0">
        <w:rPr>
          <w:i w:val="0"/>
          <w:noProof/>
          <w:color w:val="auto"/>
          <w:sz w:val="22"/>
          <w:szCs w:val="22"/>
        </w:rPr>
        <w:t>7</w:t>
      </w:r>
      <w:r w:rsidRPr="00E82931">
        <w:rPr>
          <w:i w:val="0"/>
          <w:color w:val="auto"/>
          <w:sz w:val="22"/>
          <w:szCs w:val="22"/>
        </w:rPr>
        <w:fldChar w:fldCharType="end"/>
      </w:r>
      <w:r w:rsidRPr="00E82931">
        <w:rPr>
          <w:i w:val="0"/>
          <w:color w:val="auto"/>
          <w:sz w:val="22"/>
          <w:szCs w:val="22"/>
        </w:rPr>
        <w:t>. A cluster dendrogram illustrating the arrangement of clusters produced by hierarchical clustering for RCP4.5 covariates. The height measure between clusters is calculated as H = 1 – C, where H = Height and C = correlation between compound clusters. Less height is equal to a higher correlation between clusters.</w:t>
      </w:r>
    </w:p>
    <w:p w:rsidR="00E82931" w:rsidRDefault="00E82931" w:rsidP="00E82931">
      <w:pPr>
        <w:keepNext/>
        <w:spacing w:line="360" w:lineRule="auto"/>
        <w:jc w:val="center"/>
      </w:pPr>
      <w:r>
        <w:rPr>
          <w:noProof/>
        </w:rPr>
        <w:lastRenderedPageBreak/>
        <w:drawing>
          <wp:inline distT="0" distB="0" distL="0" distR="0" wp14:anchorId="1A872191" wp14:editId="60BB979A">
            <wp:extent cx="4943856" cy="3960000"/>
            <wp:effectExtent l="0" t="0" r="952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8419" b="11482"/>
                    <a:stretch/>
                  </pic:blipFill>
                  <pic:spPr bwMode="auto">
                    <a:xfrm>
                      <a:off x="0" y="0"/>
                      <a:ext cx="4943856" cy="3960000"/>
                    </a:xfrm>
                    <a:prstGeom prst="rect">
                      <a:avLst/>
                    </a:prstGeom>
                    <a:ln>
                      <a:noFill/>
                    </a:ln>
                    <a:extLst>
                      <a:ext uri="{53640926-AAD7-44D8-BBD7-CCE9431645EC}">
                        <a14:shadowObscured xmlns:a14="http://schemas.microsoft.com/office/drawing/2010/main"/>
                      </a:ext>
                    </a:extLst>
                  </pic:spPr>
                </pic:pic>
              </a:graphicData>
            </a:graphic>
          </wp:inline>
        </w:drawing>
      </w:r>
    </w:p>
    <w:p w:rsidR="00E82931" w:rsidRPr="00E82931" w:rsidRDefault="00E82931" w:rsidP="00E82931">
      <w:pPr>
        <w:pStyle w:val="Caption"/>
        <w:jc w:val="both"/>
        <w:rPr>
          <w:i w:val="0"/>
          <w:color w:val="auto"/>
          <w:sz w:val="22"/>
          <w:szCs w:val="22"/>
        </w:rPr>
        <w:sectPr w:rsidR="00E82931" w:rsidRPr="00E82931" w:rsidSect="00BA140D">
          <w:headerReference w:type="even" r:id="rId16"/>
          <w:headerReference w:type="default" r:id="rId17"/>
          <w:footerReference w:type="even" r:id="rId18"/>
          <w:footerReference w:type="default" r:id="rId19"/>
          <w:headerReference w:type="first" r:id="rId20"/>
          <w:footerReference w:type="first" r:id="rId21"/>
          <w:pgSz w:w="11907" w:h="16839" w:code="9"/>
          <w:pgMar w:top="720" w:right="720" w:bottom="720" w:left="720" w:header="720" w:footer="720" w:gutter="0"/>
          <w:cols w:space="720"/>
          <w:titlePg/>
          <w:docGrid w:linePitch="360"/>
        </w:sectPr>
      </w:pPr>
      <w:r w:rsidRPr="00E82931">
        <w:rPr>
          <w:i w:val="0"/>
          <w:color w:val="auto"/>
          <w:sz w:val="22"/>
          <w:szCs w:val="22"/>
        </w:rPr>
        <w:t xml:space="preserve">Figure SM </w:t>
      </w:r>
      <w:r w:rsidRPr="00E82931">
        <w:rPr>
          <w:i w:val="0"/>
          <w:color w:val="auto"/>
          <w:sz w:val="22"/>
          <w:szCs w:val="22"/>
        </w:rPr>
        <w:fldChar w:fldCharType="begin"/>
      </w:r>
      <w:r w:rsidRPr="00E82931">
        <w:rPr>
          <w:i w:val="0"/>
          <w:color w:val="auto"/>
          <w:sz w:val="22"/>
          <w:szCs w:val="22"/>
        </w:rPr>
        <w:instrText xml:space="preserve"> SEQ Figure_SM \* ARABIC </w:instrText>
      </w:r>
      <w:r w:rsidRPr="00E82931">
        <w:rPr>
          <w:i w:val="0"/>
          <w:color w:val="auto"/>
          <w:sz w:val="22"/>
          <w:szCs w:val="22"/>
        </w:rPr>
        <w:fldChar w:fldCharType="separate"/>
      </w:r>
      <w:r w:rsidR="006C03E0">
        <w:rPr>
          <w:i w:val="0"/>
          <w:noProof/>
          <w:color w:val="auto"/>
          <w:sz w:val="22"/>
          <w:szCs w:val="22"/>
        </w:rPr>
        <w:t>8</w:t>
      </w:r>
      <w:r w:rsidRPr="00E82931">
        <w:rPr>
          <w:i w:val="0"/>
          <w:color w:val="auto"/>
          <w:sz w:val="22"/>
          <w:szCs w:val="22"/>
        </w:rPr>
        <w:fldChar w:fldCharType="end"/>
      </w:r>
      <w:r w:rsidRPr="00E82931">
        <w:rPr>
          <w:i w:val="0"/>
          <w:color w:val="auto"/>
          <w:sz w:val="22"/>
          <w:szCs w:val="22"/>
        </w:rPr>
        <w:t>. A cluster dendrogram illustrating the arrangement of clusters produced by hierarchical clustering for RCP8.5 covariates. The height measure between clusters is calculated as H = 1 – C, where H = Height and C = correlation between compound clusters. Less height is equal to a higher correlation between clusters.</w:t>
      </w:r>
    </w:p>
    <w:p w:rsidR="00E61E5A" w:rsidRDefault="00E61E5A" w:rsidP="00E61E5A">
      <w:pPr>
        <w:pStyle w:val="Heading1"/>
      </w:pPr>
      <w:r>
        <w:lastRenderedPageBreak/>
        <w:t>Niche analysis</w:t>
      </w:r>
    </w:p>
    <w:p w:rsidR="00754FBC" w:rsidRDefault="001974C4" w:rsidP="00754FBC">
      <w:pPr>
        <w:keepNext/>
        <w:jc w:val="center"/>
      </w:pPr>
      <w:r>
        <w:rPr>
          <w:noProof/>
        </w:rPr>
        <w:lastRenderedPageBreak/>
        <w:drawing>
          <wp:inline distT="0" distB="0" distL="0" distR="0">
            <wp:extent cx="5291299" cy="91440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ospat_Figur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91299" cy="9144000"/>
                    </a:xfrm>
                    <a:prstGeom prst="rect">
                      <a:avLst/>
                    </a:prstGeom>
                  </pic:spPr>
                </pic:pic>
              </a:graphicData>
            </a:graphic>
          </wp:inline>
        </w:drawing>
      </w:r>
    </w:p>
    <w:p w:rsidR="001974C4" w:rsidRPr="00754FBC" w:rsidRDefault="00754FBC" w:rsidP="00754FBC">
      <w:pPr>
        <w:pStyle w:val="Caption"/>
        <w:jc w:val="both"/>
        <w:rPr>
          <w:i w:val="0"/>
          <w:color w:val="auto"/>
          <w:sz w:val="22"/>
        </w:rPr>
      </w:pPr>
      <w:r w:rsidRPr="00754FBC">
        <w:rPr>
          <w:i w:val="0"/>
          <w:color w:val="auto"/>
          <w:sz w:val="22"/>
        </w:rPr>
        <w:lastRenderedPageBreak/>
        <w:t xml:space="preserve">Figure SM </w:t>
      </w:r>
      <w:r w:rsidRPr="00754FBC">
        <w:rPr>
          <w:i w:val="0"/>
          <w:color w:val="auto"/>
          <w:sz w:val="22"/>
        </w:rPr>
        <w:fldChar w:fldCharType="begin"/>
      </w:r>
      <w:r w:rsidRPr="00754FBC">
        <w:rPr>
          <w:i w:val="0"/>
          <w:color w:val="auto"/>
          <w:sz w:val="22"/>
        </w:rPr>
        <w:instrText xml:space="preserve"> SEQ Figure_SM \* ARABIC </w:instrText>
      </w:r>
      <w:r w:rsidRPr="00754FBC">
        <w:rPr>
          <w:i w:val="0"/>
          <w:color w:val="auto"/>
          <w:sz w:val="22"/>
        </w:rPr>
        <w:fldChar w:fldCharType="separate"/>
      </w:r>
      <w:r w:rsidR="006C03E0">
        <w:rPr>
          <w:i w:val="0"/>
          <w:noProof/>
          <w:color w:val="auto"/>
          <w:sz w:val="22"/>
        </w:rPr>
        <w:t>9</w:t>
      </w:r>
      <w:r w:rsidRPr="00754FBC">
        <w:rPr>
          <w:i w:val="0"/>
          <w:color w:val="auto"/>
          <w:sz w:val="22"/>
        </w:rPr>
        <w:fldChar w:fldCharType="end"/>
      </w:r>
      <w:r w:rsidRPr="00754FBC">
        <w:rPr>
          <w:i w:val="0"/>
          <w:color w:val="auto"/>
          <w:sz w:val="22"/>
        </w:rPr>
        <w:t xml:space="preserve">. Niche overlap results for reef corals during the </w:t>
      </w:r>
      <w:r>
        <w:rPr>
          <w:i w:val="0"/>
          <w:color w:val="auto"/>
          <w:sz w:val="22"/>
        </w:rPr>
        <w:t>LIG</w:t>
      </w:r>
      <w:r w:rsidRPr="00754FBC">
        <w:rPr>
          <w:i w:val="0"/>
          <w:color w:val="auto"/>
          <w:sz w:val="22"/>
        </w:rPr>
        <w:t xml:space="preserve"> and </w:t>
      </w:r>
      <w:r>
        <w:rPr>
          <w:i w:val="0"/>
          <w:color w:val="auto"/>
          <w:sz w:val="22"/>
        </w:rPr>
        <w:t>modern</w:t>
      </w:r>
      <w:r w:rsidRPr="00754FBC">
        <w:rPr>
          <w:i w:val="0"/>
          <w:color w:val="auto"/>
          <w:sz w:val="22"/>
        </w:rPr>
        <w:t>. (</w:t>
      </w:r>
      <w:proofErr w:type="gramStart"/>
      <w:r w:rsidRPr="00754FBC">
        <w:rPr>
          <w:i w:val="0"/>
          <w:color w:val="auto"/>
          <w:sz w:val="22"/>
        </w:rPr>
        <w:t>a</w:t>
      </w:r>
      <w:r>
        <w:rPr>
          <w:i w:val="0"/>
          <w:color w:val="auto"/>
          <w:sz w:val="22"/>
        </w:rPr>
        <w:t>-c</w:t>
      </w:r>
      <w:proofErr w:type="gramEnd"/>
      <w:r w:rsidRPr="00754FBC">
        <w:rPr>
          <w:i w:val="0"/>
          <w:color w:val="auto"/>
          <w:sz w:val="22"/>
        </w:rPr>
        <w:t xml:space="preserve">) Comparison of the environmental space occupied by </w:t>
      </w:r>
      <w:r>
        <w:rPr>
          <w:i w:val="0"/>
          <w:color w:val="auto"/>
          <w:sz w:val="22"/>
        </w:rPr>
        <w:t>LIG</w:t>
      </w:r>
      <w:r w:rsidRPr="00754FBC">
        <w:rPr>
          <w:i w:val="0"/>
          <w:color w:val="auto"/>
          <w:sz w:val="22"/>
        </w:rPr>
        <w:t xml:space="preserve"> and </w:t>
      </w:r>
      <w:r>
        <w:rPr>
          <w:i w:val="0"/>
          <w:color w:val="auto"/>
          <w:sz w:val="22"/>
        </w:rPr>
        <w:t>modern</w:t>
      </w:r>
      <w:r w:rsidRPr="00754FBC">
        <w:rPr>
          <w:i w:val="0"/>
          <w:color w:val="auto"/>
          <w:sz w:val="22"/>
        </w:rPr>
        <w:t xml:space="preserve"> reef corals</w:t>
      </w:r>
      <w:r w:rsidR="00A73625">
        <w:rPr>
          <w:i w:val="0"/>
          <w:color w:val="auto"/>
          <w:sz w:val="22"/>
        </w:rPr>
        <w:t xml:space="preserve"> via the PCA-</w:t>
      </w:r>
      <w:proofErr w:type="spellStart"/>
      <w:r w:rsidR="00A73625">
        <w:rPr>
          <w:i w:val="0"/>
          <w:color w:val="auto"/>
          <w:sz w:val="22"/>
        </w:rPr>
        <w:t>env</w:t>
      </w:r>
      <w:proofErr w:type="spellEnd"/>
      <w:r w:rsidRPr="00754FBC">
        <w:rPr>
          <w:i w:val="0"/>
          <w:color w:val="auto"/>
          <w:sz w:val="22"/>
        </w:rPr>
        <w:t xml:space="preserve">. The figure </w:t>
      </w:r>
      <w:r w:rsidR="00E77A08">
        <w:rPr>
          <w:i w:val="0"/>
          <w:color w:val="auto"/>
          <w:sz w:val="22"/>
        </w:rPr>
        <w:t>shows</w:t>
      </w:r>
      <w:r w:rsidRPr="00754FBC">
        <w:rPr>
          <w:i w:val="0"/>
          <w:color w:val="auto"/>
          <w:sz w:val="22"/>
        </w:rPr>
        <w:t xml:space="preserve"> considerable overlap (purple) </w:t>
      </w:r>
      <w:r>
        <w:rPr>
          <w:i w:val="0"/>
          <w:color w:val="auto"/>
          <w:sz w:val="22"/>
        </w:rPr>
        <w:t>in</w:t>
      </w:r>
      <w:r w:rsidRPr="00754FBC">
        <w:rPr>
          <w:i w:val="0"/>
          <w:color w:val="auto"/>
          <w:sz w:val="22"/>
        </w:rPr>
        <w:t xml:space="preserve"> environmental space, minimal expansion (environmental space </w:t>
      </w:r>
      <w:r>
        <w:rPr>
          <w:i w:val="0"/>
          <w:color w:val="auto"/>
          <w:sz w:val="22"/>
        </w:rPr>
        <w:t>LIG</w:t>
      </w:r>
      <w:r w:rsidRPr="00754FBC">
        <w:rPr>
          <w:i w:val="0"/>
          <w:color w:val="auto"/>
          <w:sz w:val="22"/>
        </w:rPr>
        <w:t xml:space="preserve"> </w:t>
      </w:r>
      <w:r w:rsidR="00040D7C">
        <w:rPr>
          <w:i w:val="0"/>
          <w:color w:val="auto"/>
          <w:sz w:val="22"/>
        </w:rPr>
        <w:t xml:space="preserve">reef </w:t>
      </w:r>
      <w:r w:rsidRPr="00754FBC">
        <w:rPr>
          <w:i w:val="0"/>
          <w:color w:val="auto"/>
          <w:sz w:val="22"/>
        </w:rPr>
        <w:t xml:space="preserve">corals </w:t>
      </w:r>
      <w:r w:rsidR="00040D7C">
        <w:rPr>
          <w:i w:val="0"/>
          <w:color w:val="auto"/>
          <w:sz w:val="22"/>
        </w:rPr>
        <w:t>did not occupy,</w:t>
      </w:r>
      <w:r w:rsidRPr="00754FBC">
        <w:rPr>
          <w:i w:val="0"/>
          <w:color w:val="auto"/>
          <w:sz w:val="22"/>
        </w:rPr>
        <w:t xml:space="preserve"> but </w:t>
      </w:r>
      <w:r w:rsidR="00040D7C">
        <w:rPr>
          <w:i w:val="0"/>
          <w:color w:val="auto"/>
          <w:sz w:val="22"/>
        </w:rPr>
        <w:t xml:space="preserve">modern do </w:t>
      </w:r>
      <w:r w:rsidRPr="00754FBC">
        <w:rPr>
          <w:i w:val="0"/>
          <w:color w:val="auto"/>
          <w:sz w:val="22"/>
        </w:rPr>
        <w:t xml:space="preserve"> [red]) and </w:t>
      </w:r>
      <w:proofErr w:type="spellStart"/>
      <w:r w:rsidRPr="00754FBC">
        <w:rPr>
          <w:i w:val="0"/>
          <w:color w:val="auto"/>
          <w:sz w:val="22"/>
        </w:rPr>
        <w:t>unfilling</w:t>
      </w:r>
      <w:proofErr w:type="spellEnd"/>
      <w:r w:rsidRPr="00754FBC">
        <w:rPr>
          <w:i w:val="0"/>
          <w:color w:val="auto"/>
          <w:sz w:val="22"/>
        </w:rPr>
        <w:t xml:space="preserve"> (environmental space </w:t>
      </w:r>
      <w:r>
        <w:rPr>
          <w:i w:val="0"/>
          <w:color w:val="auto"/>
          <w:sz w:val="22"/>
        </w:rPr>
        <w:t>LIG</w:t>
      </w:r>
      <w:r w:rsidRPr="00754FBC">
        <w:rPr>
          <w:i w:val="0"/>
          <w:color w:val="auto"/>
          <w:sz w:val="22"/>
        </w:rPr>
        <w:t xml:space="preserve"> reef corals </w:t>
      </w:r>
      <w:r>
        <w:rPr>
          <w:i w:val="0"/>
          <w:color w:val="auto"/>
          <w:sz w:val="22"/>
        </w:rPr>
        <w:t>occupied</w:t>
      </w:r>
      <w:r w:rsidRPr="00754FBC">
        <w:rPr>
          <w:i w:val="0"/>
          <w:color w:val="auto"/>
          <w:sz w:val="22"/>
        </w:rPr>
        <w:t xml:space="preserve"> but </w:t>
      </w:r>
      <w:r>
        <w:rPr>
          <w:i w:val="0"/>
          <w:color w:val="auto"/>
          <w:sz w:val="22"/>
        </w:rPr>
        <w:t>modern do not</w:t>
      </w:r>
      <w:r w:rsidRPr="00754FBC">
        <w:rPr>
          <w:i w:val="0"/>
          <w:color w:val="auto"/>
          <w:sz w:val="22"/>
        </w:rPr>
        <w:t xml:space="preserve"> [green]). The solid contour line depicts 100% of environmental space available in both time slices, whilst the dashed line illustrates 50%. </w:t>
      </w:r>
      <w:r>
        <w:rPr>
          <w:i w:val="0"/>
          <w:color w:val="auto"/>
          <w:sz w:val="22"/>
        </w:rPr>
        <w:t xml:space="preserve">(c) </w:t>
      </w:r>
      <w:r w:rsidRPr="00754FBC">
        <w:rPr>
          <w:i w:val="0"/>
          <w:color w:val="auto"/>
          <w:sz w:val="22"/>
        </w:rPr>
        <w:t xml:space="preserve">The red arrow illustrates the directional change of the niche centre from </w:t>
      </w:r>
      <w:r w:rsidR="00FA6F6E">
        <w:rPr>
          <w:i w:val="0"/>
          <w:color w:val="auto"/>
          <w:sz w:val="22"/>
        </w:rPr>
        <w:t>LIG</w:t>
      </w:r>
      <w:r w:rsidRPr="00754FBC">
        <w:rPr>
          <w:i w:val="0"/>
          <w:color w:val="auto"/>
          <w:sz w:val="22"/>
        </w:rPr>
        <w:t xml:space="preserve"> to </w:t>
      </w:r>
      <w:r w:rsidR="00FA6F6E">
        <w:rPr>
          <w:i w:val="0"/>
          <w:color w:val="auto"/>
          <w:sz w:val="22"/>
        </w:rPr>
        <w:t>modern</w:t>
      </w:r>
      <w:r w:rsidRPr="00754FBC">
        <w:rPr>
          <w:i w:val="0"/>
          <w:color w:val="auto"/>
          <w:sz w:val="22"/>
        </w:rPr>
        <w:t xml:space="preserve">. </w:t>
      </w:r>
      <w:r w:rsidR="00FA6F6E">
        <w:rPr>
          <w:i w:val="0"/>
          <w:color w:val="auto"/>
          <w:sz w:val="22"/>
        </w:rPr>
        <w:t>(d) Results of the niche margin dynamics and overlap tests. (e) Contribution of the environmental variables to the two axes of the PCA-</w:t>
      </w:r>
      <w:proofErr w:type="spellStart"/>
      <w:r w:rsidR="00FA6F6E">
        <w:rPr>
          <w:i w:val="0"/>
          <w:color w:val="auto"/>
          <w:sz w:val="22"/>
        </w:rPr>
        <w:t>env</w:t>
      </w:r>
      <w:proofErr w:type="spellEnd"/>
      <w:r w:rsidR="00FA6F6E">
        <w:rPr>
          <w:i w:val="0"/>
          <w:color w:val="auto"/>
          <w:sz w:val="22"/>
        </w:rPr>
        <w:t>, as well as the percentage of inertia explained by the two axes.</w:t>
      </w:r>
      <w:r w:rsidR="00A73625">
        <w:rPr>
          <w:i w:val="0"/>
          <w:color w:val="auto"/>
          <w:sz w:val="22"/>
        </w:rPr>
        <w:t xml:space="preserve"> (</w:t>
      </w:r>
      <w:proofErr w:type="gramStart"/>
      <w:r w:rsidR="00A73625">
        <w:rPr>
          <w:i w:val="0"/>
          <w:color w:val="auto"/>
          <w:sz w:val="22"/>
        </w:rPr>
        <w:t>f-h</w:t>
      </w:r>
      <w:proofErr w:type="gramEnd"/>
      <w:r w:rsidRPr="00754FBC">
        <w:rPr>
          <w:i w:val="0"/>
          <w:color w:val="auto"/>
          <w:sz w:val="22"/>
        </w:rPr>
        <w:t>) The plots illustrate the results from both niche equivalency and similarity tests. The red diamond identifies the observed niche overlap metrics, whilst the grey bars indicates the randomly estimated niche equivalency/similarity.</w:t>
      </w:r>
    </w:p>
    <w:p w:rsidR="0042213F" w:rsidRPr="0042213F" w:rsidRDefault="00E61E5A" w:rsidP="0042213F">
      <w:pPr>
        <w:pStyle w:val="Heading1"/>
      </w:pPr>
      <w:r w:rsidRPr="00A35F85">
        <w:t>Ecological niche modelling</w:t>
      </w:r>
    </w:p>
    <w:p w:rsidR="00E61E5A" w:rsidRPr="00180196" w:rsidRDefault="00E61E5A" w:rsidP="00E61E5A">
      <w:pPr>
        <w:pStyle w:val="Heading2"/>
        <w:rPr>
          <w:sz w:val="24"/>
          <w:szCs w:val="24"/>
        </w:rPr>
      </w:pPr>
      <w:r w:rsidRPr="00180196">
        <w:rPr>
          <w:sz w:val="24"/>
          <w:szCs w:val="24"/>
        </w:rPr>
        <w:t>Model validation and performance</w:t>
      </w:r>
    </w:p>
    <w:p w:rsidR="008257B3" w:rsidRDefault="0042213F" w:rsidP="001A2B9D">
      <w:pPr>
        <w:spacing w:line="360" w:lineRule="auto"/>
        <w:jc w:val="both"/>
      </w:pPr>
      <w:r w:rsidRPr="0042213F">
        <w:rPr>
          <w:lang w:eastAsia="en-US"/>
        </w:rPr>
        <w:t xml:space="preserve">To assess our model </w:t>
      </w:r>
      <w:r w:rsidR="00152EBA">
        <w:rPr>
          <w:lang w:eastAsia="en-US"/>
        </w:rPr>
        <w:t>ensemble</w:t>
      </w:r>
      <w:r w:rsidRPr="0042213F">
        <w:rPr>
          <w:lang w:eastAsia="en-US"/>
        </w:rPr>
        <w:t xml:space="preserve"> approach we determined the variation of calculated habitability between modelling methods. Accordingly, we extracted the values from model outputs for modern and LIG occurrence data to inspect the assigned raw habitability values, thus testing our approach</w:t>
      </w:r>
      <w:r>
        <w:rPr>
          <w:lang w:eastAsia="en-US"/>
        </w:rPr>
        <w:t xml:space="preserve"> </w:t>
      </w:r>
      <w:r>
        <w:t>rather than using an arbitrary threshold of 0.5. Habitability values for each occurrence record and model</w:t>
      </w:r>
      <w:r w:rsidR="008257B3">
        <w:t xml:space="preserve"> </w:t>
      </w:r>
      <w:r w:rsidR="008257B3" w:rsidRPr="008257B3">
        <w:t>(</w:t>
      </w:r>
      <w:r w:rsidR="008257B3" w:rsidRPr="008257B3">
        <w:fldChar w:fldCharType="begin"/>
      </w:r>
      <w:r w:rsidR="008257B3" w:rsidRPr="008257B3">
        <w:instrText xml:space="preserve"> REF _Ref525215978 \h  \* MERGEFORMAT </w:instrText>
      </w:r>
      <w:r w:rsidR="008257B3" w:rsidRPr="008257B3">
        <w:fldChar w:fldCharType="separate"/>
      </w:r>
      <w:r w:rsidR="00E97167" w:rsidRPr="00E97167">
        <w:t xml:space="preserve">Figure SM </w:t>
      </w:r>
      <w:r w:rsidR="00E97167" w:rsidRPr="00E97167">
        <w:rPr>
          <w:noProof/>
        </w:rPr>
        <w:t>10</w:t>
      </w:r>
      <w:r w:rsidR="008257B3" w:rsidRPr="008257B3">
        <w:fldChar w:fldCharType="end"/>
      </w:r>
      <w:r w:rsidR="008257B3">
        <w:t xml:space="preserve">) </w:t>
      </w:r>
      <w:r>
        <w:t xml:space="preserve">validate our approach in the construction of binary maps due to the variance in assigned habitability values. </w:t>
      </w:r>
      <w:r w:rsidR="008257B3" w:rsidRPr="00960452">
        <w:t xml:space="preserve">BIOCLIM models appear to represent the most synchronous models between models trained on both the modern and LIG training dataset. However, </w:t>
      </w:r>
      <w:r w:rsidR="004B10E4" w:rsidRPr="00960452">
        <w:t xml:space="preserve">the algorithm also assigns a large amount of the occurrences to low habitability scores. </w:t>
      </w:r>
      <w:proofErr w:type="spellStart"/>
      <w:r w:rsidR="008257B3" w:rsidRPr="00960452">
        <w:t>MaxEnt</w:t>
      </w:r>
      <w:proofErr w:type="spellEnd"/>
      <w:r w:rsidR="008257B3" w:rsidRPr="00960452">
        <w:t xml:space="preserve"> models show a general increase in occurrence records at higher habitability values, and appears mostly synchronous between models trained on both modern and LIG training datasets. </w:t>
      </w:r>
      <w:proofErr w:type="spellStart"/>
      <w:r w:rsidR="004B10E4" w:rsidRPr="00960452">
        <w:t>RandomForest</w:t>
      </w:r>
      <w:proofErr w:type="spellEnd"/>
      <w:r w:rsidR="004B10E4" w:rsidRPr="00960452">
        <w:t xml:space="preserve"> provides the most asynchronous results between models trained on both datasets. This suggests that within this study, </w:t>
      </w:r>
      <w:proofErr w:type="spellStart"/>
      <w:r w:rsidR="004B10E4" w:rsidRPr="00960452">
        <w:t>RandomForest</w:t>
      </w:r>
      <w:proofErr w:type="spellEnd"/>
      <w:r w:rsidR="004B10E4" w:rsidRPr="00960452">
        <w:t xml:space="preserve"> may be overfitting. This is particularly evident for those models trained on the LIG occurrence dataset, with a projection to the modern. These results, in combination with the AUC and TSS scores</w:t>
      </w:r>
      <w:r w:rsidR="004D66F4" w:rsidRPr="00960452">
        <w:t xml:space="preserve"> (</w:t>
      </w:r>
      <w:r w:rsidR="004D66F4" w:rsidRPr="00960452">
        <w:fldChar w:fldCharType="begin"/>
      </w:r>
      <w:r w:rsidR="004D66F4" w:rsidRPr="00960452">
        <w:instrText xml:space="preserve"> REF _Ref525217186 \h  \* MERGEFORMAT </w:instrText>
      </w:r>
      <w:r w:rsidR="004D66F4" w:rsidRPr="00960452">
        <w:fldChar w:fldCharType="separate"/>
      </w:r>
      <w:r w:rsidR="00E97167" w:rsidRPr="00E97167">
        <w:t xml:space="preserve">Figure SM </w:t>
      </w:r>
      <w:r w:rsidR="00E97167" w:rsidRPr="00E97167">
        <w:rPr>
          <w:noProof/>
        </w:rPr>
        <w:t>11</w:t>
      </w:r>
      <w:r w:rsidR="004D66F4" w:rsidRPr="00960452">
        <w:fldChar w:fldCharType="end"/>
      </w:r>
      <w:r w:rsidR="004D66F4" w:rsidRPr="00960452">
        <w:t>)</w:t>
      </w:r>
      <w:r w:rsidR="004B10E4" w:rsidRPr="00960452">
        <w:t xml:space="preserve">, suggest that </w:t>
      </w:r>
      <w:proofErr w:type="spellStart"/>
      <w:r w:rsidR="004B10E4" w:rsidRPr="00960452">
        <w:t>MaxEnt</w:t>
      </w:r>
      <w:proofErr w:type="spellEnd"/>
      <w:r w:rsidR="004B10E4" w:rsidRPr="00960452">
        <w:t xml:space="preserve"> performs better when compared to BIOCLIM and </w:t>
      </w:r>
      <w:proofErr w:type="spellStart"/>
      <w:r w:rsidR="004B10E4" w:rsidRPr="00960452">
        <w:t>RandomForest</w:t>
      </w:r>
      <w:proofErr w:type="spellEnd"/>
      <w:r w:rsidR="004B10E4" w:rsidRPr="00960452">
        <w:t xml:space="preserve"> across temporal boundaries, and potentially when analysing spatially biased training datasets.</w:t>
      </w:r>
    </w:p>
    <w:p w:rsidR="0042213F" w:rsidRDefault="0042213F" w:rsidP="008C33A5">
      <w:pPr>
        <w:keepNext/>
        <w:jc w:val="center"/>
      </w:pPr>
      <w:r>
        <w:rPr>
          <w:noProof/>
        </w:rPr>
        <w:lastRenderedPageBreak/>
        <w:drawing>
          <wp:inline distT="0" distB="0" distL="0" distR="0">
            <wp:extent cx="6620082" cy="60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del_Hab_Scores.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20082" cy="6048000"/>
                    </a:xfrm>
                    <a:prstGeom prst="rect">
                      <a:avLst/>
                    </a:prstGeom>
                  </pic:spPr>
                </pic:pic>
              </a:graphicData>
            </a:graphic>
          </wp:inline>
        </w:drawing>
      </w:r>
    </w:p>
    <w:p w:rsidR="0042213F" w:rsidRPr="0042213F" w:rsidRDefault="0042213F" w:rsidP="0042213F">
      <w:pPr>
        <w:pStyle w:val="Caption"/>
        <w:jc w:val="both"/>
        <w:rPr>
          <w:i w:val="0"/>
          <w:color w:val="auto"/>
          <w:sz w:val="22"/>
          <w:szCs w:val="22"/>
          <w:lang w:eastAsia="en-US"/>
        </w:rPr>
      </w:pPr>
      <w:bookmarkStart w:id="3" w:name="_Ref525215978"/>
      <w:bookmarkStart w:id="4" w:name="_Ref525215966"/>
      <w:r w:rsidRPr="0042213F">
        <w:rPr>
          <w:i w:val="0"/>
          <w:color w:val="auto"/>
          <w:sz w:val="22"/>
          <w:szCs w:val="22"/>
        </w:rPr>
        <w:t xml:space="preserve">Figure SM </w:t>
      </w:r>
      <w:r w:rsidRPr="0042213F">
        <w:rPr>
          <w:i w:val="0"/>
          <w:color w:val="auto"/>
          <w:sz w:val="22"/>
          <w:szCs w:val="22"/>
        </w:rPr>
        <w:fldChar w:fldCharType="begin"/>
      </w:r>
      <w:r w:rsidRPr="0042213F">
        <w:rPr>
          <w:i w:val="0"/>
          <w:color w:val="auto"/>
          <w:sz w:val="22"/>
          <w:szCs w:val="22"/>
        </w:rPr>
        <w:instrText xml:space="preserve"> SEQ Figure_SM \* ARABIC </w:instrText>
      </w:r>
      <w:r w:rsidRPr="0042213F">
        <w:rPr>
          <w:i w:val="0"/>
          <w:color w:val="auto"/>
          <w:sz w:val="22"/>
          <w:szCs w:val="22"/>
        </w:rPr>
        <w:fldChar w:fldCharType="separate"/>
      </w:r>
      <w:r w:rsidR="006C03E0">
        <w:rPr>
          <w:i w:val="0"/>
          <w:noProof/>
          <w:color w:val="auto"/>
          <w:sz w:val="22"/>
          <w:szCs w:val="22"/>
        </w:rPr>
        <w:t>10</w:t>
      </w:r>
      <w:r w:rsidRPr="0042213F">
        <w:rPr>
          <w:i w:val="0"/>
          <w:color w:val="auto"/>
          <w:sz w:val="22"/>
          <w:szCs w:val="22"/>
        </w:rPr>
        <w:fldChar w:fldCharType="end"/>
      </w:r>
      <w:bookmarkEnd w:id="3"/>
      <w:r w:rsidRPr="0042213F">
        <w:rPr>
          <w:i w:val="0"/>
          <w:color w:val="auto"/>
          <w:sz w:val="22"/>
          <w:szCs w:val="22"/>
        </w:rPr>
        <w:t>. Binned habitability plots for each modelling algorithm’s habitability values associated with the known occurrences of modern and LIG reef corals. (a) Present day habitability values associated with modern occurrence records for models trained on the modern and LIG training dataset. (b) LIG habitability values associated with LIG occurrence records for models trained on the LIG and modern training dataset.</w:t>
      </w:r>
      <w:bookmarkEnd w:id="4"/>
      <w:r w:rsidRPr="0042213F">
        <w:rPr>
          <w:i w:val="0"/>
          <w:color w:val="auto"/>
          <w:sz w:val="22"/>
          <w:szCs w:val="22"/>
        </w:rPr>
        <w:t xml:space="preserve"> </w:t>
      </w:r>
    </w:p>
    <w:p w:rsidR="00D1117E" w:rsidRDefault="008A0BB4" w:rsidP="00D1117E">
      <w:pPr>
        <w:keepNext/>
        <w:jc w:val="center"/>
      </w:pPr>
      <w:r>
        <w:rPr>
          <w:noProof/>
        </w:rPr>
        <w:lastRenderedPageBreak/>
        <w:drawing>
          <wp:inline distT="0" distB="0" distL="0" distR="0">
            <wp:extent cx="6616696" cy="9000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xplots.png"/>
                    <pic:cNvPicPr/>
                  </pic:nvPicPr>
                  <pic:blipFill rotWithShape="1">
                    <a:blip r:embed="rId24" cstate="print">
                      <a:extLst>
                        <a:ext uri="{28A0092B-C50C-407E-A947-70E740481C1C}">
                          <a14:useLocalDpi xmlns:a14="http://schemas.microsoft.com/office/drawing/2010/main" val="0"/>
                        </a:ext>
                      </a:extLst>
                    </a:blip>
                    <a:srcRect t="28989" b="4867"/>
                    <a:stretch/>
                  </pic:blipFill>
                  <pic:spPr bwMode="auto">
                    <a:xfrm>
                      <a:off x="0" y="0"/>
                      <a:ext cx="6616696" cy="9000000"/>
                    </a:xfrm>
                    <a:prstGeom prst="rect">
                      <a:avLst/>
                    </a:prstGeom>
                    <a:ln>
                      <a:noFill/>
                    </a:ln>
                    <a:extLst>
                      <a:ext uri="{53640926-AAD7-44D8-BBD7-CCE9431645EC}">
                        <a14:shadowObscured xmlns:a14="http://schemas.microsoft.com/office/drawing/2010/main"/>
                      </a:ext>
                    </a:extLst>
                  </pic:spPr>
                </pic:pic>
              </a:graphicData>
            </a:graphic>
          </wp:inline>
        </w:drawing>
      </w:r>
    </w:p>
    <w:p w:rsidR="008A0BB4" w:rsidRPr="00D1117E" w:rsidRDefault="00D1117E" w:rsidP="00D1117E">
      <w:pPr>
        <w:pStyle w:val="Caption"/>
        <w:rPr>
          <w:i w:val="0"/>
          <w:color w:val="auto"/>
          <w:sz w:val="22"/>
          <w:lang w:eastAsia="en-US"/>
        </w:rPr>
      </w:pPr>
      <w:bookmarkStart w:id="5" w:name="_Ref525217186"/>
      <w:r w:rsidRPr="00D1117E">
        <w:rPr>
          <w:i w:val="0"/>
          <w:color w:val="auto"/>
          <w:sz w:val="22"/>
        </w:rPr>
        <w:lastRenderedPageBreak/>
        <w:t xml:space="preserve">Figure SM </w:t>
      </w:r>
      <w:r w:rsidRPr="00D1117E">
        <w:rPr>
          <w:i w:val="0"/>
          <w:color w:val="auto"/>
          <w:sz w:val="22"/>
        </w:rPr>
        <w:fldChar w:fldCharType="begin"/>
      </w:r>
      <w:r w:rsidRPr="00D1117E">
        <w:rPr>
          <w:i w:val="0"/>
          <w:color w:val="auto"/>
          <w:sz w:val="22"/>
        </w:rPr>
        <w:instrText xml:space="preserve"> SEQ Figure_SM \* ARABIC </w:instrText>
      </w:r>
      <w:r w:rsidRPr="00D1117E">
        <w:rPr>
          <w:i w:val="0"/>
          <w:color w:val="auto"/>
          <w:sz w:val="22"/>
        </w:rPr>
        <w:fldChar w:fldCharType="separate"/>
      </w:r>
      <w:r w:rsidR="006C03E0">
        <w:rPr>
          <w:i w:val="0"/>
          <w:noProof/>
          <w:color w:val="auto"/>
          <w:sz w:val="22"/>
        </w:rPr>
        <w:t>11</w:t>
      </w:r>
      <w:r w:rsidRPr="00D1117E">
        <w:rPr>
          <w:i w:val="0"/>
          <w:color w:val="auto"/>
          <w:sz w:val="22"/>
        </w:rPr>
        <w:fldChar w:fldCharType="end"/>
      </w:r>
      <w:bookmarkEnd w:id="5"/>
      <w:r w:rsidRPr="00D1117E">
        <w:rPr>
          <w:i w:val="0"/>
          <w:color w:val="auto"/>
          <w:sz w:val="22"/>
        </w:rPr>
        <w:t>. Boxplots illustrating model performance</w:t>
      </w:r>
      <w:r w:rsidR="00B40747">
        <w:rPr>
          <w:i w:val="0"/>
          <w:color w:val="auto"/>
          <w:sz w:val="22"/>
        </w:rPr>
        <w:t xml:space="preserve"> for each algorithm</w:t>
      </w:r>
      <w:r w:rsidRPr="00D1117E">
        <w:rPr>
          <w:i w:val="0"/>
          <w:color w:val="auto"/>
          <w:sz w:val="22"/>
        </w:rPr>
        <w:t xml:space="preserve"> based on (a) AUC and (b) TSS scores</w:t>
      </w:r>
      <w:r w:rsidR="008C02AC">
        <w:rPr>
          <w:i w:val="0"/>
          <w:color w:val="auto"/>
          <w:sz w:val="22"/>
        </w:rPr>
        <w:t xml:space="preserve"> for test data</w:t>
      </w:r>
      <w:r w:rsidRPr="00D1117E">
        <w:rPr>
          <w:i w:val="0"/>
          <w:color w:val="auto"/>
          <w:sz w:val="22"/>
        </w:rPr>
        <w:t>.</w:t>
      </w:r>
    </w:p>
    <w:p w:rsidR="00CE4561" w:rsidRDefault="00C525B3" w:rsidP="00CE4561">
      <w:pPr>
        <w:keepNext/>
        <w:jc w:val="center"/>
      </w:pPr>
      <w:r>
        <w:rPr>
          <w:noProof/>
        </w:rPr>
        <w:lastRenderedPageBreak/>
        <w:drawing>
          <wp:inline distT="0" distB="0" distL="0" distR="0">
            <wp:extent cx="4895223" cy="8496000"/>
            <wp:effectExtent l="0" t="0" r="63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odern_Summary.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95223" cy="8496000"/>
                    </a:xfrm>
                    <a:prstGeom prst="rect">
                      <a:avLst/>
                    </a:prstGeom>
                  </pic:spPr>
                </pic:pic>
              </a:graphicData>
            </a:graphic>
          </wp:inline>
        </w:drawing>
      </w:r>
    </w:p>
    <w:p w:rsidR="00C525B3" w:rsidRPr="009E5439" w:rsidRDefault="00CE4561" w:rsidP="009E5439">
      <w:pPr>
        <w:pStyle w:val="Caption"/>
        <w:jc w:val="both"/>
        <w:rPr>
          <w:i w:val="0"/>
          <w:color w:val="auto"/>
          <w:sz w:val="22"/>
          <w:lang w:eastAsia="en-US"/>
        </w:rPr>
      </w:pPr>
      <w:r w:rsidRPr="00CE4561">
        <w:rPr>
          <w:i w:val="0"/>
          <w:color w:val="auto"/>
          <w:sz w:val="22"/>
        </w:rPr>
        <w:t xml:space="preserve">Figure SM </w:t>
      </w:r>
      <w:r w:rsidRPr="00CE4561">
        <w:rPr>
          <w:i w:val="0"/>
          <w:color w:val="auto"/>
          <w:sz w:val="22"/>
        </w:rPr>
        <w:fldChar w:fldCharType="begin"/>
      </w:r>
      <w:r w:rsidRPr="00CE4561">
        <w:rPr>
          <w:i w:val="0"/>
          <w:color w:val="auto"/>
          <w:sz w:val="22"/>
        </w:rPr>
        <w:instrText xml:space="preserve"> SEQ Figure_SM \* ARABIC </w:instrText>
      </w:r>
      <w:r w:rsidRPr="00CE4561">
        <w:rPr>
          <w:i w:val="0"/>
          <w:color w:val="auto"/>
          <w:sz w:val="22"/>
        </w:rPr>
        <w:fldChar w:fldCharType="separate"/>
      </w:r>
      <w:r w:rsidR="006C03E0">
        <w:rPr>
          <w:i w:val="0"/>
          <w:noProof/>
          <w:color w:val="auto"/>
          <w:sz w:val="22"/>
        </w:rPr>
        <w:t>12</w:t>
      </w:r>
      <w:r w:rsidRPr="00CE4561">
        <w:rPr>
          <w:i w:val="0"/>
          <w:color w:val="auto"/>
          <w:sz w:val="22"/>
        </w:rPr>
        <w:fldChar w:fldCharType="end"/>
      </w:r>
      <w:r w:rsidRPr="00CE4561">
        <w:rPr>
          <w:i w:val="0"/>
          <w:color w:val="auto"/>
          <w:sz w:val="22"/>
        </w:rPr>
        <w:t>. Receiver operating characteristic</w:t>
      </w:r>
      <w:r>
        <w:rPr>
          <w:i w:val="0"/>
          <w:color w:val="auto"/>
          <w:sz w:val="22"/>
        </w:rPr>
        <w:t xml:space="preserve"> (ROC)</w:t>
      </w:r>
      <w:r w:rsidRPr="00CE4561">
        <w:rPr>
          <w:i w:val="0"/>
          <w:color w:val="auto"/>
          <w:sz w:val="22"/>
        </w:rPr>
        <w:t xml:space="preserve"> curves </w:t>
      </w:r>
      <w:r>
        <w:rPr>
          <w:i w:val="0"/>
          <w:color w:val="auto"/>
          <w:sz w:val="22"/>
        </w:rPr>
        <w:t xml:space="preserve">from mean model predictions for </w:t>
      </w:r>
      <w:r w:rsidR="00DE2B73">
        <w:rPr>
          <w:i w:val="0"/>
          <w:color w:val="auto"/>
          <w:sz w:val="22"/>
        </w:rPr>
        <w:t>each</w:t>
      </w:r>
      <w:r>
        <w:rPr>
          <w:i w:val="0"/>
          <w:color w:val="auto"/>
          <w:sz w:val="22"/>
        </w:rPr>
        <w:t xml:space="preserve"> model algorithm, trained on the m</w:t>
      </w:r>
      <w:r w:rsidR="00DE2B73">
        <w:rPr>
          <w:i w:val="0"/>
          <w:color w:val="auto"/>
          <w:sz w:val="22"/>
        </w:rPr>
        <w:t xml:space="preserve">odern occurrence dataset. (a) </w:t>
      </w:r>
      <w:r>
        <w:rPr>
          <w:i w:val="0"/>
          <w:color w:val="auto"/>
          <w:sz w:val="22"/>
        </w:rPr>
        <w:t>ROC curve</w:t>
      </w:r>
      <w:r w:rsidR="00DE2B73">
        <w:rPr>
          <w:i w:val="0"/>
          <w:color w:val="auto"/>
          <w:sz w:val="22"/>
        </w:rPr>
        <w:t>s</w:t>
      </w:r>
      <w:r>
        <w:rPr>
          <w:i w:val="0"/>
          <w:color w:val="auto"/>
          <w:sz w:val="22"/>
        </w:rPr>
        <w:t xml:space="preserve"> and AUC values generated using the modern occurrence dataset and </w:t>
      </w:r>
      <w:r w:rsidR="0079337D">
        <w:rPr>
          <w:i w:val="0"/>
          <w:color w:val="auto"/>
          <w:sz w:val="22"/>
        </w:rPr>
        <w:t>modern projection</w:t>
      </w:r>
      <w:r w:rsidR="00DE2B73">
        <w:rPr>
          <w:i w:val="0"/>
          <w:color w:val="auto"/>
          <w:sz w:val="22"/>
        </w:rPr>
        <w:t xml:space="preserve">. (b) </w:t>
      </w:r>
      <w:r>
        <w:rPr>
          <w:i w:val="0"/>
          <w:color w:val="auto"/>
          <w:sz w:val="22"/>
        </w:rPr>
        <w:t>ROC curve</w:t>
      </w:r>
      <w:r w:rsidR="00DE2B73">
        <w:rPr>
          <w:i w:val="0"/>
          <w:color w:val="auto"/>
          <w:sz w:val="22"/>
        </w:rPr>
        <w:t>s</w:t>
      </w:r>
      <w:r>
        <w:rPr>
          <w:i w:val="0"/>
          <w:color w:val="auto"/>
          <w:sz w:val="22"/>
        </w:rPr>
        <w:t xml:space="preserve"> </w:t>
      </w:r>
      <w:r w:rsidR="0079337D">
        <w:rPr>
          <w:i w:val="0"/>
          <w:color w:val="auto"/>
          <w:sz w:val="22"/>
        </w:rPr>
        <w:t xml:space="preserve">and AUC values </w:t>
      </w:r>
      <w:r>
        <w:rPr>
          <w:i w:val="0"/>
          <w:color w:val="auto"/>
          <w:sz w:val="22"/>
        </w:rPr>
        <w:t xml:space="preserve">generated using </w:t>
      </w:r>
      <w:r w:rsidR="0079337D">
        <w:rPr>
          <w:i w:val="0"/>
          <w:color w:val="auto"/>
          <w:sz w:val="22"/>
        </w:rPr>
        <w:t>the modern test datas</w:t>
      </w:r>
      <w:r w:rsidR="00DE2B73">
        <w:rPr>
          <w:i w:val="0"/>
          <w:color w:val="auto"/>
          <w:sz w:val="22"/>
        </w:rPr>
        <w:t xml:space="preserve">et and modern </w:t>
      </w:r>
      <w:r w:rsidR="00DE2B73">
        <w:rPr>
          <w:i w:val="0"/>
          <w:color w:val="auto"/>
          <w:sz w:val="22"/>
        </w:rPr>
        <w:lastRenderedPageBreak/>
        <w:t xml:space="preserve">projection. (c) </w:t>
      </w:r>
      <w:r w:rsidR="0079337D">
        <w:rPr>
          <w:i w:val="0"/>
          <w:color w:val="auto"/>
          <w:sz w:val="22"/>
        </w:rPr>
        <w:t>ROC curve</w:t>
      </w:r>
      <w:r w:rsidR="00DE2B73">
        <w:rPr>
          <w:i w:val="0"/>
          <w:color w:val="auto"/>
          <w:sz w:val="22"/>
        </w:rPr>
        <w:t>s</w:t>
      </w:r>
      <w:r w:rsidR="0079337D">
        <w:rPr>
          <w:i w:val="0"/>
          <w:color w:val="auto"/>
          <w:sz w:val="22"/>
        </w:rPr>
        <w:t xml:space="preserve"> and AUC values generated using LIG occurrence</w:t>
      </w:r>
      <w:r w:rsidR="00DE7C68">
        <w:rPr>
          <w:i w:val="0"/>
          <w:color w:val="auto"/>
          <w:sz w:val="22"/>
        </w:rPr>
        <w:t>s</w:t>
      </w:r>
      <w:r w:rsidR="0079337D">
        <w:rPr>
          <w:i w:val="0"/>
          <w:color w:val="auto"/>
          <w:sz w:val="22"/>
        </w:rPr>
        <w:t xml:space="preserve"> as an evaluation dataset </w:t>
      </w:r>
      <w:r w:rsidR="00DE7C68">
        <w:rPr>
          <w:i w:val="0"/>
          <w:color w:val="auto"/>
          <w:sz w:val="22"/>
        </w:rPr>
        <w:t>with the</w:t>
      </w:r>
      <w:r w:rsidR="0079337D">
        <w:rPr>
          <w:i w:val="0"/>
          <w:color w:val="auto"/>
          <w:sz w:val="22"/>
        </w:rPr>
        <w:t xml:space="preserve"> LIG </w:t>
      </w:r>
      <w:r w:rsidR="00DE7C68">
        <w:rPr>
          <w:i w:val="0"/>
          <w:color w:val="auto"/>
          <w:sz w:val="22"/>
        </w:rPr>
        <w:t xml:space="preserve">hindcasting </w:t>
      </w:r>
      <w:r w:rsidR="0079337D">
        <w:rPr>
          <w:i w:val="0"/>
          <w:color w:val="auto"/>
          <w:sz w:val="22"/>
        </w:rPr>
        <w:t xml:space="preserve">projection.  </w:t>
      </w:r>
    </w:p>
    <w:p w:rsidR="00CE4561" w:rsidRDefault="00C525B3" w:rsidP="00CE4561">
      <w:pPr>
        <w:keepNext/>
        <w:jc w:val="center"/>
      </w:pPr>
      <w:r>
        <w:rPr>
          <w:noProof/>
        </w:rPr>
        <w:lastRenderedPageBreak/>
        <w:drawing>
          <wp:inline distT="0" distB="0" distL="0" distR="0">
            <wp:extent cx="4945063" cy="8496000"/>
            <wp:effectExtent l="0" t="0" r="825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LIG_Summary.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945063" cy="8496000"/>
                    </a:xfrm>
                    <a:prstGeom prst="rect">
                      <a:avLst/>
                    </a:prstGeom>
                  </pic:spPr>
                </pic:pic>
              </a:graphicData>
            </a:graphic>
          </wp:inline>
        </w:drawing>
      </w:r>
    </w:p>
    <w:p w:rsidR="00BF0792" w:rsidRPr="009E5439" w:rsidRDefault="00CE4561" w:rsidP="009E5439">
      <w:pPr>
        <w:pStyle w:val="Caption"/>
        <w:jc w:val="both"/>
        <w:rPr>
          <w:i w:val="0"/>
          <w:color w:val="auto"/>
          <w:sz w:val="22"/>
          <w:szCs w:val="22"/>
          <w:lang w:eastAsia="en-US"/>
        </w:rPr>
      </w:pPr>
      <w:r w:rsidRPr="009E5439">
        <w:rPr>
          <w:i w:val="0"/>
          <w:color w:val="auto"/>
          <w:sz w:val="22"/>
          <w:szCs w:val="22"/>
        </w:rPr>
        <w:t xml:space="preserve">Figure SM </w:t>
      </w:r>
      <w:r w:rsidRPr="009E5439">
        <w:rPr>
          <w:i w:val="0"/>
          <w:color w:val="auto"/>
          <w:sz w:val="22"/>
          <w:szCs w:val="22"/>
        </w:rPr>
        <w:fldChar w:fldCharType="begin"/>
      </w:r>
      <w:r w:rsidRPr="009E5439">
        <w:rPr>
          <w:i w:val="0"/>
          <w:color w:val="auto"/>
          <w:sz w:val="22"/>
          <w:szCs w:val="22"/>
        </w:rPr>
        <w:instrText xml:space="preserve"> SEQ Figure_SM \* ARABIC </w:instrText>
      </w:r>
      <w:r w:rsidRPr="009E5439">
        <w:rPr>
          <w:i w:val="0"/>
          <w:color w:val="auto"/>
          <w:sz w:val="22"/>
          <w:szCs w:val="22"/>
        </w:rPr>
        <w:fldChar w:fldCharType="separate"/>
      </w:r>
      <w:r w:rsidR="006C03E0">
        <w:rPr>
          <w:i w:val="0"/>
          <w:noProof/>
          <w:color w:val="auto"/>
          <w:sz w:val="22"/>
          <w:szCs w:val="22"/>
        </w:rPr>
        <w:t>13</w:t>
      </w:r>
      <w:r w:rsidRPr="009E5439">
        <w:rPr>
          <w:i w:val="0"/>
          <w:color w:val="auto"/>
          <w:sz w:val="22"/>
          <w:szCs w:val="22"/>
        </w:rPr>
        <w:fldChar w:fldCharType="end"/>
      </w:r>
      <w:r w:rsidR="009E5439" w:rsidRPr="009E5439">
        <w:rPr>
          <w:i w:val="0"/>
          <w:color w:val="auto"/>
          <w:sz w:val="22"/>
          <w:szCs w:val="22"/>
        </w:rPr>
        <w:t xml:space="preserve">. Receiver operating characteristic (ROC) curves from mean model predictions for </w:t>
      </w:r>
      <w:r w:rsidR="00DE2B73">
        <w:rPr>
          <w:i w:val="0"/>
          <w:color w:val="auto"/>
          <w:sz w:val="22"/>
          <w:szCs w:val="22"/>
        </w:rPr>
        <w:t>each</w:t>
      </w:r>
      <w:r w:rsidR="009E5439" w:rsidRPr="009E5439">
        <w:rPr>
          <w:i w:val="0"/>
          <w:color w:val="auto"/>
          <w:sz w:val="22"/>
          <w:szCs w:val="22"/>
        </w:rPr>
        <w:t xml:space="preserve"> model algorithm, trained on the LIG occurrence dataset. (a) ROC curve</w:t>
      </w:r>
      <w:r w:rsidR="00DE2B73">
        <w:rPr>
          <w:i w:val="0"/>
          <w:color w:val="auto"/>
          <w:sz w:val="22"/>
          <w:szCs w:val="22"/>
        </w:rPr>
        <w:t>s</w:t>
      </w:r>
      <w:r w:rsidR="009E5439" w:rsidRPr="009E5439">
        <w:rPr>
          <w:i w:val="0"/>
          <w:color w:val="auto"/>
          <w:sz w:val="22"/>
          <w:szCs w:val="22"/>
        </w:rPr>
        <w:t xml:space="preserve"> and AUC values generated using the LIG occurrence dataset and LIG projection. (b) ROC curve</w:t>
      </w:r>
      <w:r w:rsidR="00DE2B73">
        <w:rPr>
          <w:i w:val="0"/>
          <w:color w:val="auto"/>
          <w:sz w:val="22"/>
          <w:szCs w:val="22"/>
        </w:rPr>
        <w:t>s</w:t>
      </w:r>
      <w:r w:rsidR="009E5439" w:rsidRPr="009E5439">
        <w:rPr>
          <w:i w:val="0"/>
          <w:color w:val="auto"/>
          <w:sz w:val="22"/>
          <w:szCs w:val="22"/>
        </w:rPr>
        <w:t xml:space="preserve"> and AUC values generated using the LIG test dataset and LIG projection. (c) ROC curve</w:t>
      </w:r>
      <w:r w:rsidR="00DE2B73">
        <w:rPr>
          <w:i w:val="0"/>
          <w:color w:val="auto"/>
          <w:sz w:val="22"/>
          <w:szCs w:val="22"/>
        </w:rPr>
        <w:t>s</w:t>
      </w:r>
      <w:r w:rsidR="009E5439" w:rsidRPr="009E5439">
        <w:rPr>
          <w:i w:val="0"/>
          <w:color w:val="auto"/>
          <w:sz w:val="22"/>
          <w:szCs w:val="22"/>
        </w:rPr>
        <w:t xml:space="preserve"> and AUC values generated using LIG occurrences as an evaluation dataset with the modern forecasting projection.  </w:t>
      </w:r>
    </w:p>
    <w:p w:rsidR="00DE2B73" w:rsidRDefault="00DE2B73" w:rsidP="00DE2B73">
      <w:pPr>
        <w:keepNext/>
        <w:jc w:val="center"/>
      </w:pPr>
      <w:r>
        <w:rPr>
          <w:b/>
          <w:noProof/>
        </w:rPr>
        <w:lastRenderedPageBreak/>
        <w:drawing>
          <wp:inline distT="0" distB="0" distL="0" distR="0">
            <wp:extent cx="6153584" cy="8280000"/>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an_Summary.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53584" cy="8280000"/>
                    </a:xfrm>
                    <a:prstGeom prst="rect">
                      <a:avLst/>
                    </a:prstGeom>
                  </pic:spPr>
                </pic:pic>
              </a:graphicData>
            </a:graphic>
          </wp:inline>
        </w:drawing>
      </w:r>
    </w:p>
    <w:p w:rsidR="00330190" w:rsidRPr="0094201D" w:rsidRDefault="00DE2B73" w:rsidP="0094201D">
      <w:pPr>
        <w:pStyle w:val="Caption"/>
        <w:jc w:val="both"/>
        <w:rPr>
          <w:i w:val="0"/>
          <w:color w:val="auto"/>
          <w:sz w:val="22"/>
          <w:szCs w:val="22"/>
        </w:rPr>
      </w:pPr>
      <w:r w:rsidRPr="00DE2B73">
        <w:rPr>
          <w:i w:val="0"/>
          <w:color w:val="auto"/>
          <w:sz w:val="22"/>
          <w:szCs w:val="22"/>
        </w:rPr>
        <w:t xml:space="preserve">Figure SM </w:t>
      </w:r>
      <w:r w:rsidRPr="00DE2B73">
        <w:rPr>
          <w:i w:val="0"/>
          <w:color w:val="auto"/>
          <w:sz w:val="22"/>
          <w:szCs w:val="22"/>
        </w:rPr>
        <w:fldChar w:fldCharType="begin"/>
      </w:r>
      <w:r w:rsidRPr="00DE2B73">
        <w:rPr>
          <w:i w:val="0"/>
          <w:color w:val="auto"/>
          <w:sz w:val="22"/>
          <w:szCs w:val="22"/>
        </w:rPr>
        <w:instrText xml:space="preserve"> SEQ Figure_SM \* ARABIC </w:instrText>
      </w:r>
      <w:r w:rsidRPr="00DE2B73">
        <w:rPr>
          <w:i w:val="0"/>
          <w:color w:val="auto"/>
          <w:sz w:val="22"/>
          <w:szCs w:val="22"/>
        </w:rPr>
        <w:fldChar w:fldCharType="separate"/>
      </w:r>
      <w:r w:rsidR="006C03E0">
        <w:rPr>
          <w:i w:val="0"/>
          <w:noProof/>
          <w:color w:val="auto"/>
          <w:sz w:val="22"/>
          <w:szCs w:val="22"/>
        </w:rPr>
        <w:t>14</w:t>
      </w:r>
      <w:r w:rsidRPr="00DE2B73">
        <w:rPr>
          <w:i w:val="0"/>
          <w:color w:val="auto"/>
          <w:sz w:val="22"/>
          <w:szCs w:val="22"/>
        </w:rPr>
        <w:fldChar w:fldCharType="end"/>
      </w:r>
      <w:r w:rsidRPr="00DE2B73">
        <w:rPr>
          <w:i w:val="0"/>
          <w:color w:val="auto"/>
          <w:sz w:val="22"/>
          <w:szCs w:val="22"/>
        </w:rPr>
        <w:t xml:space="preserve">. Receiver operating characteristic (ROC) curves </w:t>
      </w:r>
      <w:r>
        <w:rPr>
          <w:i w:val="0"/>
          <w:color w:val="auto"/>
          <w:sz w:val="22"/>
          <w:szCs w:val="22"/>
        </w:rPr>
        <w:t>for</w:t>
      </w:r>
      <w:r w:rsidRPr="00DE2B73">
        <w:rPr>
          <w:i w:val="0"/>
          <w:color w:val="auto"/>
          <w:sz w:val="22"/>
          <w:szCs w:val="22"/>
        </w:rPr>
        <w:t xml:space="preserve"> </w:t>
      </w:r>
      <w:r>
        <w:rPr>
          <w:i w:val="0"/>
          <w:color w:val="auto"/>
          <w:sz w:val="22"/>
          <w:szCs w:val="22"/>
        </w:rPr>
        <w:t xml:space="preserve">the mean predictions made from all model algorithms from both training datasets. (a) </w:t>
      </w:r>
      <w:r w:rsidRPr="00DE2B73">
        <w:rPr>
          <w:i w:val="0"/>
          <w:color w:val="auto"/>
          <w:sz w:val="22"/>
          <w:szCs w:val="22"/>
        </w:rPr>
        <w:t>ROC curve</w:t>
      </w:r>
      <w:r>
        <w:rPr>
          <w:i w:val="0"/>
          <w:color w:val="auto"/>
          <w:sz w:val="22"/>
          <w:szCs w:val="22"/>
        </w:rPr>
        <w:t>s</w:t>
      </w:r>
      <w:r w:rsidRPr="00DE2B73">
        <w:rPr>
          <w:i w:val="0"/>
          <w:color w:val="auto"/>
          <w:sz w:val="22"/>
          <w:szCs w:val="22"/>
        </w:rPr>
        <w:t xml:space="preserve"> and AUC values </w:t>
      </w:r>
      <w:r>
        <w:rPr>
          <w:i w:val="0"/>
          <w:color w:val="auto"/>
          <w:sz w:val="22"/>
          <w:szCs w:val="22"/>
        </w:rPr>
        <w:t xml:space="preserve">for model predictions trained on the modern occurrence dataset. The different ROC curves show values associated with test occurrence dataset, full occurrence dataset and evaluation dataset (LIG occurrence and LIG projection). </w:t>
      </w:r>
      <w:r w:rsidRPr="00DE2B73">
        <w:rPr>
          <w:i w:val="0"/>
          <w:color w:val="auto"/>
          <w:sz w:val="22"/>
          <w:szCs w:val="22"/>
        </w:rPr>
        <w:t>(b) ROC curve</w:t>
      </w:r>
      <w:r>
        <w:rPr>
          <w:i w:val="0"/>
          <w:color w:val="auto"/>
          <w:sz w:val="22"/>
          <w:szCs w:val="22"/>
        </w:rPr>
        <w:t>s</w:t>
      </w:r>
      <w:r w:rsidRPr="00DE2B73">
        <w:rPr>
          <w:i w:val="0"/>
          <w:color w:val="auto"/>
          <w:sz w:val="22"/>
          <w:szCs w:val="22"/>
        </w:rPr>
        <w:t xml:space="preserve"> and AUC values </w:t>
      </w:r>
      <w:r>
        <w:rPr>
          <w:i w:val="0"/>
          <w:color w:val="auto"/>
          <w:sz w:val="22"/>
          <w:szCs w:val="22"/>
        </w:rPr>
        <w:t xml:space="preserve">for model predictions trained </w:t>
      </w:r>
      <w:r>
        <w:rPr>
          <w:i w:val="0"/>
          <w:color w:val="auto"/>
          <w:sz w:val="22"/>
          <w:szCs w:val="22"/>
        </w:rPr>
        <w:lastRenderedPageBreak/>
        <w:t xml:space="preserve">on the LIG occurrence dataset. The different ROC curves show values associated with test occurrence dataset, full occurrence dataset and evaluation dataset (modern occurrence and modern projection). </w:t>
      </w:r>
    </w:p>
    <w:p w:rsidR="00BF0792" w:rsidRDefault="00BF0792" w:rsidP="00180196">
      <w:pPr>
        <w:pStyle w:val="Heading2"/>
        <w:rPr>
          <w:sz w:val="24"/>
        </w:rPr>
      </w:pPr>
      <w:r w:rsidRPr="00180196">
        <w:rPr>
          <w:sz w:val="24"/>
        </w:rPr>
        <w:t>Variable contribution</w:t>
      </w:r>
    </w:p>
    <w:p w:rsidR="00180196" w:rsidRPr="00180196" w:rsidRDefault="00180196" w:rsidP="008C33A5">
      <w:pPr>
        <w:spacing w:line="360" w:lineRule="auto"/>
        <w:jc w:val="both"/>
        <w:rPr>
          <w:lang w:eastAsia="en-US"/>
        </w:rPr>
      </w:pPr>
      <w:r>
        <w:rPr>
          <w:lang w:eastAsia="en-US"/>
        </w:rPr>
        <w:t>To provide insight into the importance of each environmental variable for the development of our ENMs, we employed biomod2’s variable importance test. Based on the results of this test, bathymetry is consistently the most important variable for all algorithms and training datasets for model fitting, followed by annual sea surface temperature</w:t>
      </w:r>
      <w:r w:rsidRPr="00180196">
        <w:rPr>
          <w:lang w:eastAsia="en-US"/>
        </w:rPr>
        <w:t xml:space="preserve"> </w:t>
      </w:r>
      <w:r>
        <w:rPr>
          <w:lang w:eastAsia="en-US"/>
        </w:rPr>
        <w:t>(</w:t>
      </w:r>
      <w:r w:rsidRPr="00180196">
        <w:rPr>
          <w:lang w:eastAsia="en-US"/>
        </w:rPr>
        <w:fldChar w:fldCharType="begin"/>
      </w:r>
      <w:r w:rsidRPr="00180196">
        <w:rPr>
          <w:lang w:eastAsia="en-US"/>
        </w:rPr>
        <w:instrText xml:space="preserve"> REF _Ref525218211 \h  \* MERGEFORMAT </w:instrText>
      </w:r>
      <w:r w:rsidRPr="00180196">
        <w:rPr>
          <w:lang w:eastAsia="en-US"/>
        </w:rPr>
      </w:r>
      <w:r w:rsidRPr="00180196">
        <w:rPr>
          <w:lang w:eastAsia="en-US"/>
        </w:rPr>
        <w:fldChar w:fldCharType="separate"/>
      </w:r>
      <w:r w:rsidR="00E97167" w:rsidRPr="00E97167">
        <w:t xml:space="preserve">Table SM </w:t>
      </w:r>
      <w:r w:rsidR="00E97167" w:rsidRPr="00E97167">
        <w:rPr>
          <w:noProof/>
        </w:rPr>
        <w:t>3</w:t>
      </w:r>
      <w:r w:rsidRPr="00180196">
        <w:rPr>
          <w:lang w:eastAsia="en-US"/>
        </w:rPr>
        <w:fldChar w:fldCharType="end"/>
      </w:r>
      <w:r>
        <w:rPr>
          <w:lang w:eastAsia="en-US"/>
        </w:rPr>
        <w:t xml:space="preserve">). </w:t>
      </w:r>
      <w:r w:rsidR="0027694A">
        <w:rPr>
          <w:lang w:eastAsia="en-US"/>
        </w:rPr>
        <w:t xml:space="preserve">Annual salinity and irradiance variables seem relatively unimportant for model fitting using the </w:t>
      </w:r>
      <w:proofErr w:type="spellStart"/>
      <w:r w:rsidR="0027694A">
        <w:rPr>
          <w:lang w:eastAsia="en-US"/>
        </w:rPr>
        <w:t>MaxEnt</w:t>
      </w:r>
      <w:proofErr w:type="spellEnd"/>
      <w:r w:rsidR="0027694A">
        <w:rPr>
          <w:lang w:eastAsia="en-US"/>
        </w:rPr>
        <w:t xml:space="preserve"> algorithm, whilst having particularly more importance for the BIOCLIM algorithm</w:t>
      </w:r>
      <w:r w:rsidR="003706A2">
        <w:rPr>
          <w:lang w:eastAsia="en-US"/>
        </w:rPr>
        <w:t xml:space="preserve"> for both training datasets. </w:t>
      </w:r>
    </w:p>
    <w:p w:rsidR="00314E17" w:rsidRPr="00C679BC" w:rsidRDefault="00314E17" w:rsidP="00C679BC">
      <w:pPr>
        <w:pStyle w:val="Caption"/>
        <w:keepNext/>
        <w:jc w:val="both"/>
        <w:rPr>
          <w:i w:val="0"/>
          <w:color w:val="auto"/>
          <w:sz w:val="22"/>
          <w:szCs w:val="22"/>
        </w:rPr>
      </w:pPr>
      <w:bookmarkStart w:id="6" w:name="_Ref525218211"/>
      <w:r w:rsidRPr="00C679BC">
        <w:rPr>
          <w:i w:val="0"/>
          <w:color w:val="auto"/>
          <w:sz w:val="22"/>
          <w:szCs w:val="22"/>
        </w:rPr>
        <w:t xml:space="preserve">Table SM </w:t>
      </w:r>
      <w:r w:rsidRPr="00C679BC">
        <w:rPr>
          <w:i w:val="0"/>
          <w:color w:val="auto"/>
          <w:sz w:val="22"/>
          <w:szCs w:val="22"/>
        </w:rPr>
        <w:fldChar w:fldCharType="begin"/>
      </w:r>
      <w:r w:rsidRPr="00C679BC">
        <w:rPr>
          <w:i w:val="0"/>
          <w:color w:val="auto"/>
          <w:sz w:val="22"/>
          <w:szCs w:val="22"/>
        </w:rPr>
        <w:instrText xml:space="preserve"> SEQ Table_SM \* ARABIC </w:instrText>
      </w:r>
      <w:r w:rsidRPr="00C679BC">
        <w:rPr>
          <w:i w:val="0"/>
          <w:color w:val="auto"/>
          <w:sz w:val="22"/>
          <w:szCs w:val="22"/>
        </w:rPr>
        <w:fldChar w:fldCharType="separate"/>
      </w:r>
      <w:r w:rsidR="00C47293">
        <w:rPr>
          <w:i w:val="0"/>
          <w:noProof/>
          <w:color w:val="auto"/>
          <w:sz w:val="22"/>
          <w:szCs w:val="22"/>
        </w:rPr>
        <w:t>3</w:t>
      </w:r>
      <w:r w:rsidRPr="00C679BC">
        <w:rPr>
          <w:i w:val="0"/>
          <w:color w:val="auto"/>
          <w:sz w:val="22"/>
          <w:szCs w:val="22"/>
        </w:rPr>
        <w:fldChar w:fldCharType="end"/>
      </w:r>
      <w:bookmarkEnd w:id="6"/>
      <w:r w:rsidR="00C679BC">
        <w:rPr>
          <w:i w:val="0"/>
          <w:color w:val="auto"/>
          <w:sz w:val="22"/>
          <w:szCs w:val="22"/>
        </w:rPr>
        <w:t>. Mean b</w:t>
      </w:r>
      <w:r w:rsidRPr="00C679BC">
        <w:rPr>
          <w:i w:val="0"/>
          <w:color w:val="auto"/>
          <w:sz w:val="22"/>
          <w:szCs w:val="22"/>
        </w:rPr>
        <w:t>iomod2 variable importance test scores for ecological niche models trained on both modern and LIG training datasets</w:t>
      </w:r>
      <w:r w:rsidR="00C679BC">
        <w:rPr>
          <w:i w:val="0"/>
          <w:color w:val="auto"/>
          <w:sz w:val="22"/>
          <w:szCs w:val="22"/>
        </w:rPr>
        <w:t>,</w:t>
      </w:r>
      <w:r w:rsidRPr="00C679BC">
        <w:rPr>
          <w:i w:val="0"/>
          <w:color w:val="auto"/>
          <w:sz w:val="22"/>
          <w:szCs w:val="22"/>
        </w:rPr>
        <w:t xml:space="preserve"> for all modelling algorithms implemented. These results display </w:t>
      </w:r>
      <w:r w:rsidR="00C679BC">
        <w:rPr>
          <w:i w:val="0"/>
          <w:color w:val="auto"/>
          <w:sz w:val="22"/>
          <w:szCs w:val="22"/>
        </w:rPr>
        <w:t>1</w:t>
      </w:r>
      <w:r w:rsidR="00B5409B">
        <w:rPr>
          <w:i w:val="0"/>
          <w:color w:val="auto"/>
          <w:sz w:val="22"/>
          <w:szCs w:val="22"/>
        </w:rPr>
        <w:t xml:space="preserve"> </w:t>
      </w:r>
      <w:r w:rsidR="00C679BC">
        <w:rPr>
          <w:i w:val="0"/>
          <w:color w:val="auto"/>
          <w:sz w:val="22"/>
          <w:szCs w:val="22"/>
        </w:rPr>
        <w:t>-</w:t>
      </w:r>
      <w:r w:rsidR="00B5409B">
        <w:rPr>
          <w:i w:val="0"/>
          <w:color w:val="auto"/>
          <w:sz w:val="22"/>
          <w:szCs w:val="22"/>
        </w:rPr>
        <w:t xml:space="preserve"> </w:t>
      </w:r>
      <w:proofErr w:type="spellStart"/>
      <w:r w:rsidR="00C679BC">
        <w:rPr>
          <w:i w:val="0"/>
          <w:color w:val="auto"/>
          <w:sz w:val="22"/>
          <w:szCs w:val="22"/>
        </w:rPr>
        <w:t>cor</w:t>
      </w:r>
      <w:proofErr w:type="spellEnd"/>
      <w:r w:rsidR="00C679BC">
        <w:rPr>
          <w:i w:val="0"/>
          <w:color w:val="auto"/>
          <w:sz w:val="22"/>
          <w:szCs w:val="22"/>
        </w:rPr>
        <w:t xml:space="preserve"> (</w:t>
      </w:r>
      <w:r w:rsidRPr="00C679BC">
        <w:rPr>
          <w:i w:val="0"/>
          <w:color w:val="auto"/>
          <w:sz w:val="22"/>
          <w:szCs w:val="22"/>
        </w:rPr>
        <w:t>Pearson correlation coefficient</w:t>
      </w:r>
      <w:r w:rsidR="00C679BC">
        <w:rPr>
          <w:i w:val="0"/>
          <w:color w:val="auto"/>
          <w:sz w:val="22"/>
          <w:szCs w:val="22"/>
        </w:rPr>
        <w:t xml:space="preserve"> score)</w:t>
      </w:r>
      <w:r w:rsidRPr="00C679BC">
        <w:rPr>
          <w:i w:val="0"/>
          <w:color w:val="auto"/>
          <w:sz w:val="22"/>
          <w:szCs w:val="22"/>
        </w:rPr>
        <w:t xml:space="preserve"> between predictions based on </w:t>
      </w:r>
      <w:r w:rsidR="00C679BC" w:rsidRPr="00C679BC">
        <w:rPr>
          <w:i w:val="0"/>
          <w:color w:val="auto"/>
          <w:sz w:val="22"/>
          <w:szCs w:val="22"/>
        </w:rPr>
        <w:t>calibrated models, and predictions after one</w:t>
      </w:r>
      <w:r w:rsidR="00C679BC">
        <w:rPr>
          <w:i w:val="0"/>
          <w:color w:val="auto"/>
          <w:sz w:val="22"/>
          <w:szCs w:val="22"/>
        </w:rPr>
        <w:t xml:space="preserve"> environmental</w:t>
      </w:r>
      <w:r w:rsidR="00C679BC" w:rsidRPr="00C679BC">
        <w:rPr>
          <w:i w:val="0"/>
          <w:color w:val="auto"/>
          <w:sz w:val="22"/>
          <w:szCs w:val="22"/>
        </w:rPr>
        <w:t xml:space="preserve"> variable is randomised. </w:t>
      </w:r>
      <w:r w:rsidR="00C679BC">
        <w:rPr>
          <w:i w:val="0"/>
          <w:color w:val="auto"/>
          <w:sz w:val="22"/>
          <w:szCs w:val="22"/>
        </w:rPr>
        <w:t>Higher values indicate higher importance in model calibration, whist lower values indicate less importance.</w:t>
      </w:r>
    </w:p>
    <w:tbl>
      <w:tblPr>
        <w:tblW w:w="8931" w:type="dxa"/>
        <w:jc w:val="center"/>
        <w:tblLayout w:type="fixed"/>
        <w:tblLook w:val="04A0" w:firstRow="1" w:lastRow="0" w:firstColumn="1" w:lastColumn="0" w:noHBand="0" w:noVBand="1"/>
      </w:tblPr>
      <w:tblGrid>
        <w:gridCol w:w="851"/>
        <w:gridCol w:w="3850"/>
        <w:gridCol w:w="1134"/>
        <w:gridCol w:w="1276"/>
        <w:gridCol w:w="1820"/>
      </w:tblGrid>
      <w:tr w:rsidR="0018799F" w:rsidRPr="00F80394" w:rsidTr="008C33A5">
        <w:trPr>
          <w:trHeight w:val="300"/>
          <w:jc w:val="center"/>
        </w:trPr>
        <w:tc>
          <w:tcPr>
            <w:tcW w:w="851" w:type="dxa"/>
            <w:vMerge w:val="restart"/>
            <w:tcBorders>
              <w:right w:val="single" w:sz="18" w:space="0" w:color="70AD47" w:themeColor="accent6"/>
            </w:tcBorders>
            <w:shd w:val="clear" w:color="000000" w:fill="FFFFFF"/>
            <w:textDirection w:val="btLr"/>
          </w:tcPr>
          <w:p w:rsidR="0018799F" w:rsidRPr="00F80394" w:rsidRDefault="0018799F" w:rsidP="0018799F">
            <w:pPr>
              <w:spacing w:after="0" w:line="240" w:lineRule="auto"/>
              <w:ind w:left="113" w:right="113"/>
              <w:jc w:val="center"/>
              <w:rPr>
                <w:rFonts w:ascii="Calibri" w:eastAsia="Times New Roman" w:hAnsi="Calibri" w:cs="Times New Roman"/>
                <w:b/>
              </w:rPr>
            </w:pPr>
            <w:r w:rsidRPr="001833A4">
              <w:rPr>
                <w:rFonts w:ascii="Calibri" w:eastAsia="Times New Roman" w:hAnsi="Calibri" w:cs="Times New Roman"/>
                <w:b/>
                <w:sz w:val="40"/>
              </w:rPr>
              <w:t>MODERN</w:t>
            </w:r>
          </w:p>
        </w:tc>
        <w:tc>
          <w:tcPr>
            <w:tcW w:w="3850" w:type="dxa"/>
            <w:vMerge w:val="restart"/>
            <w:tcBorders>
              <w:top w:val="single" w:sz="18" w:space="0" w:color="70AD47" w:themeColor="accent6"/>
              <w:left w:val="single" w:sz="18" w:space="0" w:color="70AD47" w:themeColor="accent6"/>
              <w:bottom w:val="single" w:sz="4" w:space="0" w:color="70AD47"/>
              <w:right w:val="single" w:sz="18" w:space="0" w:color="70AD47"/>
            </w:tcBorders>
            <w:shd w:val="clear" w:color="000000" w:fill="FFFFFF"/>
            <w:vAlign w:val="bottom"/>
            <w:hideMark/>
          </w:tcPr>
          <w:p w:rsidR="0018799F" w:rsidRPr="004C39C0" w:rsidRDefault="004C39C0" w:rsidP="0018799F">
            <w:pPr>
              <w:spacing w:after="0" w:line="240" w:lineRule="auto"/>
              <w:rPr>
                <w:rFonts w:ascii="Calibri" w:eastAsia="Times New Roman" w:hAnsi="Calibri" w:cs="Times New Roman"/>
                <w:b/>
              </w:rPr>
            </w:pPr>
            <w:r w:rsidRPr="004C39C0">
              <w:rPr>
                <w:rFonts w:ascii="Calibri" w:eastAsia="Times New Roman" w:hAnsi="Calibri" w:cs="Times New Roman"/>
                <w:b/>
              </w:rPr>
              <w:t>ENVIRONMENTAL VARIABLE</w:t>
            </w:r>
          </w:p>
        </w:tc>
        <w:tc>
          <w:tcPr>
            <w:tcW w:w="4230" w:type="dxa"/>
            <w:gridSpan w:val="3"/>
            <w:tcBorders>
              <w:top w:val="single" w:sz="18" w:space="0" w:color="70AD47" w:themeColor="accent6"/>
              <w:left w:val="single" w:sz="18" w:space="0" w:color="70AD47"/>
              <w:bottom w:val="single" w:sz="4" w:space="0" w:color="70AD47" w:themeColor="accent6"/>
              <w:right w:val="single" w:sz="18" w:space="0" w:color="70AD47" w:themeColor="accent6"/>
            </w:tcBorders>
            <w:shd w:val="clear" w:color="000000" w:fill="FFFFFF"/>
            <w:noWrap/>
            <w:vAlign w:val="bottom"/>
            <w:hideMark/>
          </w:tcPr>
          <w:p w:rsidR="0018799F" w:rsidRPr="004C39C0" w:rsidRDefault="004C39C0" w:rsidP="001833A4">
            <w:pPr>
              <w:spacing w:after="0" w:line="240" w:lineRule="auto"/>
              <w:jc w:val="center"/>
              <w:rPr>
                <w:rFonts w:ascii="Calibri" w:eastAsia="Times New Roman" w:hAnsi="Calibri" w:cs="Times New Roman"/>
                <w:b/>
              </w:rPr>
            </w:pPr>
            <w:r w:rsidRPr="004C39C0">
              <w:rPr>
                <w:rFonts w:ascii="Calibri" w:eastAsia="Times New Roman" w:hAnsi="Calibri" w:cs="Times New Roman"/>
                <w:b/>
              </w:rPr>
              <w:t>MODELLING ALGORITHM</w:t>
            </w:r>
          </w:p>
        </w:tc>
      </w:tr>
      <w:tr w:rsidR="0018799F" w:rsidRPr="00F80394" w:rsidTr="008C33A5">
        <w:trPr>
          <w:trHeight w:val="300"/>
          <w:jc w:val="center"/>
        </w:trPr>
        <w:tc>
          <w:tcPr>
            <w:tcW w:w="851" w:type="dxa"/>
            <w:vMerge/>
            <w:tcBorders>
              <w:right w:val="single" w:sz="18" w:space="0" w:color="70AD47" w:themeColor="accent6"/>
            </w:tcBorders>
          </w:tcPr>
          <w:p w:rsidR="0018799F" w:rsidRPr="00F80394" w:rsidRDefault="0018799F" w:rsidP="00F80394">
            <w:pPr>
              <w:spacing w:after="0" w:line="240" w:lineRule="auto"/>
              <w:rPr>
                <w:rFonts w:ascii="Calibri" w:eastAsia="Times New Roman" w:hAnsi="Calibri" w:cs="Times New Roman"/>
                <w:b/>
              </w:rPr>
            </w:pPr>
          </w:p>
        </w:tc>
        <w:tc>
          <w:tcPr>
            <w:tcW w:w="3850" w:type="dxa"/>
            <w:vMerge/>
            <w:tcBorders>
              <w:top w:val="single" w:sz="4" w:space="0" w:color="70AD47"/>
              <w:left w:val="single" w:sz="18" w:space="0" w:color="70AD47" w:themeColor="accent6"/>
              <w:bottom w:val="single" w:sz="18" w:space="0" w:color="70AD47"/>
              <w:right w:val="single" w:sz="18" w:space="0" w:color="70AD47"/>
            </w:tcBorders>
            <w:vAlign w:val="center"/>
            <w:hideMark/>
          </w:tcPr>
          <w:p w:rsidR="0018799F" w:rsidRPr="004C39C0" w:rsidRDefault="0018799F" w:rsidP="0018799F">
            <w:pPr>
              <w:spacing w:after="0" w:line="240" w:lineRule="auto"/>
              <w:rPr>
                <w:rFonts w:ascii="Calibri" w:eastAsia="Times New Roman" w:hAnsi="Calibri" w:cs="Times New Roman"/>
                <w:b/>
              </w:rPr>
            </w:pPr>
          </w:p>
        </w:tc>
        <w:tc>
          <w:tcPr>
            <w:tcW w:w="1134" w:type="dxa"/>
            <w:tcBorders>
              <w:top w:val="single" w:sz="4" w:space="0" w:color="70AD47" w:themeColor="accent6"/>
              <w:left w:val="single" w:sz="18" w:space="0" w:color="70AD47"/>
              <w:bottom w:val="single" w:sz="18" w:space="0" w:color="70AD47"/>
              <w:right w:val="single" w:sz="4" w:space="0" w:color="70AD47"/>
            </w:tcBorders>
            <w:shd w:val="clear" w:color="000000" w:fill="FFFFFF"/>
            <w:noWrap/>
            <w:vAlign w:val="bottom"/>
            <w:hideMark/>
          </w:tcPr>
          <w:p w:rsidR="0018799F" w:rsidRPr="004C39C0" w:rsidRDefault="004C39C0" w:rsidP="001833A4">
            <w:pPr>
              <w:spacing w:after="0" w:line="240" w:lineRule="auto"/>
              <w:jc w:val="center"/>
              <w:rPr>
                <w:rFonts w:ascii="Calibri" w:eastAsia="Times New Roman" w:hAnsi="Calibri" w:cs="Times New Roman"/>
                <w:b/>
              </w:rPr>
            </w:pPr>
            <w:r w:rsidRPr="004C39C0">
              <w:rPr>
                <w:rFonts w:ascii="Calibri" w:eastAsia="Times New Roman" w:hAnsi="Calibri" w:cs="Times New Roman"/>
                <w:b/>
              </w:rPr>
              <w:t>MAXENT</w:t>
            </w:r>
          </w:p>
        </w:tc>
        <w:tc>
          <w:tcPr>
            <w:tcW w:w="1276" w:type="dxa"/>
            <w:tcBorders>
              <w:top w:val="single" w:sz="4" w:space="0" w:color="70AD47" w:themeColor="accent6"/>
              <w:left w:val="nil"/>
              <w:bottom w:val="single" w:sz="18" w:space="0" w:color="70AD47"/>
              <w:right w:val="single" w:sz="4" w:space="0" w:color="70AD47"/>
            </w:tcBorders>
            <w:shd w:val="clear" w:color="000000" w:fill="FFFFFF"/>
            <w:noWrap/>
            <w:vAlign w:val="bottom"/>
            <w:hideMark/>
          </w:tcPr>
          <w:p w:rsidR="0018799F" w:rsidRPr="004C39C0" w:rsidRDefault="004C39C0" w:rsidP="0027694A">
            <w:pPr>
              <w:spacing w:after="0" w:line="240" w:lineRule="auto"/>
              <w:jc w:val="center"/>
              <w:rPr>
                <w:rFonts w:ascii="Calibri" w:eastAsia="Times New Roman" w:hAnsi="Calibri" w:cs="Times New Roman"/>
                <w:b/>
              </w:rPr>
            </w:pPr>
            <w:r w:rsidRPr="004C39C0">
              <w:rPr>
                <w:rFonts w:ascii="Calibri" w:eastAsia="Times New Roman" w:hAnsi="Calibri" w:cs="Times New Roman"/>
                <w:b/>
              </w:rPr>
              <w:t>BIOCLIM</w:t>
            </w:r>
          </w:p>
        </w:tc>
        <w:tc>
          <w:tcPr>
            <w:tcW w:w="1820" w:type="dxa"/>
            <w:tcBorders>
              <w:top w:val="single" w:sz="4" w:space="0" w:color="70AD47" w:themeColor="accent6"/>
              <w:left w:val="nil"/>
              <w:bottom w:val="single" w:sz="18" w:space="0" w:color="70AD47"/>
              <w:right w:val="single" w:sz="18" w:space="0" w:color="70AD47" w:themeColor="accent6"/>
            </w:tcBorders>
            <w:shd w:val="clear" w:color="000000" w:fill="FFFFFF"/>
            <w:noWrap/>
            <w:vAlign w:val="bottom"/>
            <w:hideMark/>
          </w:tcPr>
          <w:p w:rsidR="0018799F" w:rsidRPr="004C39C0" w:rsidRDefault="004C39C0" w:rsidP="001833A4">
            <w:pPr>
              <w:spacing w:after="0" w:line="240" w:lineRule="auto"/>
              <w:jc w:val="center"/>
              <w:rPr>
                <w:rFonts w:ascii="Calibri" w:eastAsia="Times New Roman" w:hAnsi="Calibri" w:cs="Times New Roman"/>
                <w:b/>
              </w:rPr>
            </w:pPr>
            <w:r w:rsidRPr="004C39C0">
              <w:rPr>
                <w:rFonts w:ascii="Calibri" w:eastAsia="Times New Roman" w:hAnsi="Calibri" w:cs="Times New Roman"/>
                <w:b/>
              </w:rPr>
              <w:t>RANDOMFOREST</w:t>
            </w:r>
          </w:p>
        </w:tc>
      </w:tr>
      <w:tr w:rsidR="0018799F" w:rsidRPr="00F80394" w:rsidTr="008C33A5">
        <w:trPr>
          <w:trHeight w:val="300"/>
          <w:jc w:val="center"/>
        </w:trPr>
        <w:tc>
          <w:tcPr>
            <w:tcW w:w="851" w:type="dxa"/>
            <w:vMerge/>
            <w:tcBorders>
              <w:right w:val="single" w:sz="18" w:space="0" w:color="70AD47" w:themeColor="accent6"/>
            </w:tcBorders>
            <w:shd w:val="clear" w:color="000000" w:fill="C6E0B4"/>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single" w:sz="18" w:space="0" w:color="70AD47"/>
              <w:left w:val="single" w:sz="18" w:space="0" w:color="70AD47" w:themeColor="accent6"/>
              <w:bottom w:val="single" w:sz="4" w:space="0" w:color="70AD47"/>
              <w:right w:val="single" w:sz="18" w:space="0" w:color="70AD47"/>
            </w:tcBorders>
            <w:shd w:val="clear" w:color="000000" w:fill="C6E0B4"/>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Bathymetry</w:t>
            </w:r>
          </w:p>
        </w:tc>
        <w:tc>
          <w:tcPr>
            <w:tcW w:w="1134" w:type="dxa"/>
            <w:tcBorders>
              <w:top w:val="single" w:sz="18" w:space="0" w:color="70AD47"/>
              <w:left w:val="single" w:sz="18" w:space="0" w:color="70AD47"/>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0.86229</w:t>
            </w:r>
          </w:p>
        </w:tc>
        <w:tc>
          <w:tcPr>
            <w:tcW w:w="1276" w:type="dxa"/>
            <w:tcBorders>
              <w:top w:val="single" w:sz="18" w:space="0" w:color="70AD47"/>
              <w:left w:val="nil"/>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0.83352</w:t>
            </w:r>
          </w:p>
        </w:tc>
        <w:tc>
          <w:tcPr>
            <w:tcW w:w="1820" w:type="dxa"/>
            <w:tcBorders>
              <w:top w:val="single" w:sz="18" w:space="0" w:color="70AD47"/>
              <w:left w:val="nil"/>
              <w:bottom w:val="single" w:sz="4" w:space="0" w:color="70AD47"/>
              <w:right w:val="single" w:sz="18" w:space="0" w:color="70AD47" w:themeColor="accent6"/>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0.79289</w:t>
            </w:r>
          </w:p>
        </w:tc>
      </w:tr>
      <w:tr w:rsidR="0018799F" w:rsidRPr="00F80394" w:rsidTr="008C33A5">
        <w:trPr>
          <w:trHeight w:val="300"/>
          <w:jc w:val="center"/>
        </w:trPr>
        <w:tc>
          <w:tcPr>
            <w:tcW w:w="851" w:type="dxa"/>
            <w:vMerge/>
            <w:tcBorders>
              <w:right w:val="single" w:sz="18" w:space="0" w:color="70AD47" w:themeColor="accent6"/>
            </w:tcBorders>
            <w:shd w:val="clear" w:color="000000" w:fill="FFFFFF"/>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December, January, February irradiance</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0.01895</w:t>
            </w:r>
          </w:p>
        </w:tc>
        <w:tc>
          <w:tcPr>
            <w:tcW w:w="1276" w:type="dxa"/>
            <w:tcBorders>
              <w:top w:val="nil"/>
              <w:left w:val="nil"/>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0.16982</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0.08015</w:t>
            </w:r>
          </w:p>
        </w:tc>
      </w:tr>
      <w:tr w:rsidR="0018799F" w:rsidRPr="00F80394" w:rsidTr="008C33A5">
        <w:trPr>
          <w:trHeight w:val="300"/>
          <w:jc w:val="center"/>
        </w:trPr>
        <w:tc>
          <w:tcPr>
            <w:tcW w:w="851" w:type="dxa"/>
            <w:vMerge/>
            <w:tcBorders>
              <w:right w:val="single" w:sz="18" w:space="0" w:color="70AD47" w:themeColor="accent6"/>
            </w:tcBorders>
            <w:shd w:val="clear" w:color="000000" w:fill="C6E0B4"/>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C6E0B4"/>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June, July, August irradiance</w:t>
            </w:r>
          </w:p>
        </w:tc>
        <w:tc>
          <w:tcPr>
            <w:tcW w:w="1134" w:type="dxa"/>
            <w:tcBorders>
              <w:top w:val="nil"/>
              <w:left w:val="single" w:sz="18" w:space="0" w:color="70AD47"/>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0.08996</w:t>
            </w:r>
          </w:p>
        </w:tc>
        <w:tc>
          <w:tcPr>
            <w:tcW w:w="1276" w:type="dxa"/>
            <w:tcBorders>
              <w:top w:val="nil"/>
              <w:left w:val="nil"/>
              <w:bottom w:val="single" w:sz="4" w:space="0" w:color="70AD47"/>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0.29486</w:t>
            </w:r>
          </w:p>
        </w:tc>
        <w:tc>
          <w:tcPr>
            <w:tcW w:w="1820" w:type="dxa"/>
            <w:tcBorders>
              <w:top w:val="nil"/>
              <w:left w:val="nil"/>
              <w:bottom w:val="single" w:sz="4" w:space="0" w:color="70AD47"/>
              <w:right w:val="single" w:sz="18" w:space="0" w:color="70AD47" w:themeColor="accent6"/>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0.09462</w:t>
            </w:r>
          </w:p>
        </w:tc>
      </w:tr>
      <w:tr w:rsidR="0018799F" w:rsidRPr="00F80394" w:rsidTr="008C33A5">
        <w:trPr>
          <w:trHeight w:val="300"/>
          <w:jc w:val="center"/>
        </w:trPr>
        <w:tc>
          <w:tcPr>
            <w:tcW w:w="851" w:type="dxa"/>
            <w:vMerge/>
            <w:tcBorders>
              <w:right w:val="single" w:sz="18" w:space="0" w:color="70AD47" w:themeColor="accent6"/>
            </w:tcBorders>
            <w:shd w:val="clear" w:color="000000" w:fill="FFFFFF"/>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Annual salinity</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0.02147</w:t>
            </w:r>
          </w:p>
        </w:tc>
        <w:tc>
          <w:tcPr>
            <w:tcW w:w="1276" w:type="dxa"/>
            <w:tcBorders>
              <w:top w:val="nil"/>
              <w:left w:val="nil"/>
              <w:bottom w:val="single" w:sz="4" w:space="0" w:color="70AD47"/>
              <w:right w:val="single" w:sz="4" w:space="0" w:color="70AD47"/>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0.1025</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0.06003</w:t>
            </w:r>
          </w:p>
        </w:tc>
      </w:tr>
      <w:tr w:rsidR="0018799F" w:rsidRPr="00F80394" w:rsidTr="008C33A5">
        <w:trPr>
          <w:trHeight w:val="300"/>
          <w:jc w:val="center"/>
        </w:trPr>
        <w:tc>
          <w:tcPr>
            <w:tcW w:w="851" w:type="dxa"/>
            <w:vMerge/>
            <w:tcBorders>
              <w:right w:val="single" w:sz="18" w:space="0" w:color="70AD47" w:themeColor="accent6"/>
            </w:tcBorders>
            <w:shd w:val="clear" w:color="000000" w:fill="C6E0B4"/>
          </w:tcPr>
          <w:p w:rsidR="0018799F" w:rsidRPr="00F80394" w:rsidRDefault="0018799F" w:rsidP="00F80394">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18" w:space="0" w:color="70AD47" w:themeColor="accent6"/>
              <w:right w:val="single" w:sz="18" w:space="0" w:color="70AD47"/>
            </w:tcBorders>
            <w:shd w:val="clear" w:color="000000" w:fill="C6E0B4"/>
            <w:noWrap/>
            <w:vAlign w:val="bottom"/>
            <w:hideMark/>
          </w:tcPr>
          <w:p w:rsidR="0018799F" w:rsidRPr="004C39C0" w:rsidRDefault="0018799F" w:rsidP="0018799F">
            <w:pPr>
              <w:spacing w:after="0" w:line="240" w:lineRule="auto"/>
              <w:rPr>
                <w:rFonts w:ascii="Calibri" w:eastAsia="Times New Roman" w:hAnsi="Calibri" w:cs="Times New Roman"/>
              </w:rPr>
            </w:pPr>
            <w:r w:rsidRPr="004C39C0">
              <w:rPr>
                <w:rFonts w:ascii="Calibri" w:eastAsia="Times New Roman" w:hAnsi="Calibri" w:cs="Times New Roman"/>
              </w:rPr>
              <w:t>Annual sea surface temperature</w:t>
            </w:r>
          </w:p>
        </w:tc>
        <w:tc>
          <w:tcPr>
            <w:tcW w:w="1134" w:type="dxa"/>
            <w:tcBorders>
              <w:top w:val="nil"/>
              <w:left w:val="single" w:sz="18" w:space="0" w:color="70AD47"/>
              <w:bottom w:val="single" w:sz="18" w:space="0" w:color="70AD47" w:themeColor="accent6"/>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0.53401</w:t>
            </w:r>
          </w:p>
        </w:tc>
        <w:tc>
          <w:tcPr>
            <w:tcW w:w="1276" w:type="dxa"/>
            <w:tcBorders>
              <w:top w:val="nil"/>
              <w:left w:val="nil"/>
              <w:bottom w:val="single" w:sz="18" w:space="0" w:color="70AD47" w:themeColor="accent6"/>
              <w:right w:val="single" w:sz="4" w:space="0" w:color="70AD47"/>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0.38374</w:t>
            </w:r>
          </w:p>
        </w:tc>
        <w:tc>
          <w:tcPr>
            <w:tcW w:w="1820" w:type="dxa"/>
            <w:tcBorders>
              <w:top w:val="nil"/>
              <w:left w:val="nil"/>
              <w:bottom w:val="single" w:sz="18" w:space="0" w:color="70AD47" w:themeColor="accent6"/>
              <w:right w:val="single" w:sz="18" w:space="0" w:color="70AD47" w:themeColor="accent6"/>
            </w:tcBorders>
            <w:shd w:val="clear" w:color="000000" w:fill="C6E0B4"/>
            <w:noWrap/>
            <w:vAlign w:val="bottom"/>
            <w:hideMark/>
          </w:tcPr>
          <w:p w:rsidR="0018799F" w:rsidRPr="004C39C0" w:rsidRDefault="0018799F" w:rsidP="001833A4">
            <w:pPr>
              <w:spacing w:after="0" w:line="240" w:lineRule="auto"/>
              <w:jc w:val="center"/>
              <w:rPr>
                <w:rFonts w:ascii="Calibri" w:eastAsia="Times New Roman" w:hAnsi="Calibri" w:cs="Times New Roman"/>
              </w:rPr>
            </w:pPr>
            <w:r w:rsidRPr="004C39C0">
              <w:rPr>
                <w:rFonts w:ascii="Calibri" w:eastAsia="Times New Roman" w:hAnsi="Calibri" w:cs="Times New Roman"/>
              </w:rPr>
              <w:t>0.44529</w:t>
            </w:r>
          </w:p>
        </w:tc>
      </w:tr>
      <w:tr w:rsidR="00E63C3B" w:rsidRPr="00F80394" w:rsidTr="008C33A5">
        <w:trPr>
          <w:trHeight w:val="300"/>
          <w:jc w:val="center"/>
        </w:trPr>
        <w:tc>
          <w:tcPr>
            <w:tcW w:w="851" w:type="dxa"/>
            <w:tcBorders>
              <w:left w:val="single" w:sz="18" w:space="0" w:color="FFFFFF" w:themeColor="background1"/>
              <w:bottom w:val="single" w:sz="18" w:space="0" w:color="FFFFFF" w:themeColor="background1"/>
              <w:right w:val="single" w:sz="4" w:space="0" w:color="FFFFFF" w:themeColor="background1"/>
            </w:tcBorders>
            <w:shd w:val="clear" w:color="000000" w:fill="FFFFFF"/>
            <w:textDirection w:val="btLr"/>
          </w:tcPr>
          <w:p w:rsidR="00E63C3B" w:rsidRDefault="00E63C3B" w:rsidP="00BE4C6A">
            <w:pPr>
              <w:spacing w:after="0" w:line="240" w:lineRule="auto"/>
              <w:ind w:left="113" w:right="113"/>
              <w:jc w:val="center"/>
              <w:rPr>
                <w:rFonts w:ascii="Calibri" w:eastAsia="Times New Roman" w:hAnsi="Calibri" w:cs="Times New Roman"/>
                <w:b/>
                <w:sz w:val="40"/>
              </w:rPr>
            </w:pPr>
          </w:p>
        </w:tc>
        <w:tc>
          <w:tcPr>
            <w:tcW w:w="3850" w:type="dxa"/>
            <w:tcBorders>
              <w:top w:val="single" w:sz="18" w:space="0" w:color="70AD47" w:themeColor="accent6"/>
              <w:left w:val="single" w:sz="4" w:space="0" w:color="FFFFFF" w:themeColor="background1"/>
              <w:bottom w:val="single" w:sz="18" w:space="0" w:color="FFFFFF" w:themeColor="background1"/>
              <w:right w:val="single" w:sz="4" w:space="0" w:color="FFFFFF" w:themeColor="background1"/>
            </w:tcBorders>
            <w:shd w:val="clear" w:color="000000" w:fill="FFFFFF"/>
            <w:vAlign w:val="bottom"/>
          </w:tcPr>
          <w:p w:rsidR="00E63C3B" w:rsidRPr="00F80394" w:rsidRDefault="00E63C3B" w:rsidP="00BE4C6A">
            <w:pPr>
              <w:spacing w:after="0" w:line="240" w:lineRule="auto"/>
              <w:rPr>
                <w:rFonts w:ascii="Calibri" w:eastAsia="Times New Roman" w:hAnsi="Calibri" w:cs="Times New Roman"/>
                <w:b/>
                <w:sz w:val="24"/>
              </w:rPr>
            </w:pPr>
          </w:p>
        </w:tc>
        <w:tc>
          <w:tcPr>
            <w:tcW w:w="4230" w:type="dxa"/>
            <w:gridSpan w:val="3"/>
            <w:tcBorders>
              <w:top w:val="single" w:sz="18" w:space="0" w:color="70AD47" w:themeColor="accent6"/>
              <w:left w:val="single" w:sz="4" w:space="0" w:color="FFFFFF" w:themeColor="background1"/>
              <w:bottom w:val="single" w:sz="18" w:space="0" w:color="FFFFFF" w:themeColor="background1"/>
              <w:right w:val="single" w:sz="4" w:space="0" w:color="FFFFFF" w:themeColor="background1"/>
            </w:tcBorders>
            <w:shd w:val="clear" w:color="000000" w:fill="FFFFFF"/>
            <w:noWrap/>
            <w:vAlign w:val="bottom"/>
          </w:tcPr>
          <w:p w:rsidR="00E63C3B" w:rsidRPr="00F80394" w:rsidRDefault="00E63C3B" w:rsidP="00BE4C6A">
            <w:pPr>
              <w:spacing w:after="0" w:line="240" w:lineRule="auto"/>
              <w:jc w:val="center"/>
              <w:rPr>
                <w:rFonts w:ascii="Calibri" w:eastAsia="Times New Roman" w:hAnsi="Calibri" w:cs="Times New Roman"/>
                <w:b/>
                <w:sz w:val="24"/>
              </w:rPr>
            </w:pPr>
          </w:p>
        </w:tc>
      </w:tr>
      <w:tr w:rsidR="00877CE5" w:rsidRPr="00F80394" w:rsidTr="008C33A5">
        <w:trPr>
          <w:trHeight w:val="300"/>
          <w:jc w:val="center"/>
        </w:trPr>
        <w:tc>
          <w:tcPr>
            <w:tcW w:w="851" w:type="dxa"/>
            <w:tcBorders>
              <w:top w:val="single" w:sz="18" w:space="0" w:color="FFFFFF" w:themeColor="background1"/>
              <w:left w:val="single" w:sz="18" w:space="0" w:color="FFFFFF" w:themeColor="background1"/>
              <w:right w:val="single" w:sz="4" w:space="0" w:color="FFFFFF" w:themeColor="background1"/>
            </w:tcBorders>
            <w:shd w:val="clear" w:color="000000" w:fill="FFFFFF"/>
            <w:textDirection w:val="btLr"/>
          </w:tcPr>
          <w:p w:rsidR="00877CE5" w:rsidRDefault="00877CE5" w:rsidP="00BE4C6A">
            <w:pPr>
              <w:spacing w:after="0" w:line="240" w:lineRule="auto"/>
              <w:ind w:left="113" w:right="113"/>
              <w:jc w:val="center"/>
              <w:rPr>
                <w:rFonts w:ascii="Calibri" w:eastAsia="Times New Roman" w:hAnsi="Calibri" w:cs="Times New Roman"/>
                <w:b/>
                <w:sz w:val="40"/>
              </w:rPr>
            </w:pPr>
          </w:p>
        </w:tc>
        <w:tc>
          <w:tcPr>
            <w:tcW w:w="3850" w:type="dxa"/>
            <w:tcBorders>
              <w:top w:val="single" w:sz="18" w:space="0" w:color="FFFFFF" w:themeColor="background1"/>
              <w:left w:val="single" w:sz="4" w:space="0" w:color="FFFFFF" w:themeColor="background1"/>
              <w:bottom w:val="single" w:sz="4" w:space="0" w:color="70AD47"/>
              <w:right w:val="single" w:sz="4" w:space="0" w:color="FFFFFF" w:themeColor="background1"/>
            </w:tcBorders>
            <w:shd w:val="clear" w:color="000000" w:fill="FFFFFF"/>
            <w:vAlign w:val="bottom"/>
          </w:tcPr>
          <w:p w:rsidR="00877CE5" w:rsidRPr="00F80394" w:rsidRDefault="00877CE5" w:rsidP="00BE4C6A">
            <w:pPr>
              <w:spacing w:after="0" w:line="240" w:lineRule="auto"/>
              <w:rPr>
                <w:rFonts w:ascii="Calibri" w:eastAsia="Times New Roman" w:hAnsi="Calibri" w:cs="Times New Roman"/>
                <w:b/>
                <w:sz w:val="24"/>
              </w:rPr>
            </w:pPr>
          </w:p>
        </w:tc>
        <w:tc>
          <w:tcPr>
            <w:tcW w:w="4230" w:type="dxa"/>
            <w:gridSpan w:val="3"/>
            <w:tcBorders>
              <w:top w:val="single" w:sz="18" w:space="0" w:color="FFFFFF" w:themeColor="background1"/>
              <w:left w:val="single" w:sz="4" w:space="0" w:color="FFFFFF" w:themeColor="background1"/>
              <w:bottom w:val="single" w:sz="4" w:space="0" w:color="70AD47" w:themeColor="accent6"/>
              <w:right w:val="single" w:sz="4" w:space="0" w:color="FFFFFF" w:themeColor="background1"/>
            </w:tcBorders>
            <w:shd w:val="clear" w:color="000000" w:fill="FFFFFF"/>
            <w:noWrap/>
            <w:vAlign w:val="bottom"/>
          </w:tcPr>
          <w:p w:rsidR="00877CE5" w:rsidRPr="00F80394" w:rsidRDefault="00877CE5" w:rsidP="00BE4C6A">
            <w:pPr>
              <w:spacing w:after="0" w:line="240" w:lineRule="auto"/>
              <w:jc w:val="center"/>
              <w:rPr>
                <w:rFonts w:ascii="Calibri" w:eastAsia="Times New Roman" w:hAnsi="Calibri" w:cs="Times New Roman"/>
                <w:b/>
                <w:sz w:val="24"/>
              </w:rPr>
            </w:pPr>
          </w:p>
        </w:tc>
      </w:tr>
      <w:tr w:rsidR="00877CE5" w:rsidRPr="00F80394" w:rsidTr="008C33A5">
        <w:trPr>
          <w:trHeight w:val="300"/>
          <w:jc w:val="center"/>
        </w:trPr>
        <w:tc>
          <w:tcPr>
            <w:tcW w:w="851" w:type="dxa"/>
            <w:vMerge w:val="restart"/>
            <w:tcBorders>
              <w:top w:val="single" w:sz="18" w:space="0" w:color="FFFFFF" w:themeColor="background1"/>
              <w:left w:val="single" w:sz="18" w:space="0" w:color="FFFFFF" w:themeColor="background1"/>
              <w:right w:val="single" w:sz="18" w:space="0" w:color="70AD47"/>
            </w:tcBorders>
            <w:shd w:val="clear" w:color="000000" w:fill="FFFFFF"/>
            <w:textDirection w:val="btLr"/>
          </w:tcPr>
          <w:p w:rsidR="00877CE5" w:rsidRPr="00F80394" w:rsidRDefault="00877CE5" w:rsidP="00BE4C6A">
            <w:pPr>
              <w:spacing w:after="0" w:line="240" w:lineRule="auto"/>
              <w:ind w:left="113" w:right="113"/>
              <w:jc w:val="center"/>
              <w:rPr>
                <w:rFonts w:ascii="Calibri" w:eastAsia="Times New Roman" w:hAnsi="Calibri" w:cs="Times New Roman"/>
                <w:b/>
              </w:rPr>
            </w:pPr>
            <w:r>
              <w:rPr>
                <w:rFonts w:ascii="Calibri" w:eastAsia="Times New Roman" w:hAnsi="Calibri" w:cs="Times New Roman"/>
                <w:b/>
                <w:sz w:val="40"/>
              </w:rPr>
              <w:t>LIG</w:t>
            </w:r>
          </w:p>
        </w:tc>
        <w:tc>
          <w:tcPr>
            <w:tcW w:w="3850" w:type="dxa"/>
            <w:vMerge w:val="restart"/>
            <w:tcBorders>
              <w:top w:val="single" w:sz="18" w:space="0" w:color="70AD47" w:themeColor="accent6"/>
              <w:left w:val="single" w:sz="18" w:space="0" w:color="70AD47" w:themeColor="accent6"/>
              <w:bottom w:val="single" w:sz="4" w:space="0" w:color="70AD47"/>
              <w:right w:val="single" w:sz="18" w:space="0" w:color="70AD47"/>
            </w:tcBorders>
            <w:shd w:val="clear" w:color="000000" w:fill="FFFFFF"/>
            <w:vAlign w:val="bottom"/>
            <w:hideMark/>
          </w:tcPr>
          <w:p w:rsidR="00877CE5" w:rsidRPr="004C39C0" w:rsidRDefault="004C39C0" w:rsidP="00BE4C6A">
            <w:pPr>
              <w:spacing w:after="0" w:line="240" w:lineRule="auto"/>
              <w:rPr>
                <w:rFonts w:ascii="Calibri" w:eastAsia="Times New Roman" w:hAnsi="Calibri" w:cs="Times New Roman"/>
                <w:b/>
              </w:rPr>
            </w:pPr>
            <w:r w:rsidRPr="004C39C0">
              <w:rPr>
                <w:rFonts w:ascii="Calibri" w:eastAsia="Times New Roman" w:hAnsi="Calibri" w:cs="Times New Roman"/>
                <w:b/>
              </w:rPr>
              <w:t>ENVIRONMENTAL VARIABLE</w:t>
            </w:r>
          </w:p>
        </w:tc>
        <w:tc>
          <w:tcPr>
            <w:tcW w:w="4230" w:type="dxa"/>
            <w:gridSpan w:val="3"/>
            <w:tcBorders>
              <w:top w:val="single" w:sz="18" w:space="0" w:color="70AD47" w:themeColor="accent6"/>
              <w:left w:val="single" w:sz="18" w:space="0" w:color="70AD47"/>
              <w:bottom w:val="single" w:sz="4" w:space="0" w:color="70AD47" w:themeColor="accent6"/>
              <w:right w:val="single" w:sz="18" w:space="0" w:color="70AD47" w:themeColor="accent6"/>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MODELLING ALGORITHM</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tcPr>
          <w:p w:rsidR="00877CE5" w:rsidRPr="00F80394" w:rsidRDefault="00877CE5" w:rsidP="00BE4C6A">
            <w:pPr>
              <w:spacing w:after="0" w:line="240" w:lineRule="auto"/>
              <w:rPr>
                <w:rFonts w:ascii="Calibri" w:eastAsia="Times New Roman" w:hAnsi="Calibri" w:cs="Times New Roman"/>
                <w:b/>
              </w:rPr>
            </w:pPr>
          </w:p>
        </w:tc>
        <w:tc>
          <w:tcPr>
            <w:tcW w:w="3850" w:type="dxa"/>
            <w:vMerge/>
            <w:tcBorders>
              <w:top w:val="single" w:sz="4" w:space="0" w:color="70AD47"/>
              <w:left w:val="single" w:sz="18" w:space="0" w:color="70AD47" w:themeColor="accent6"/>
              <w:bottom w:val="single" w:sz="18" w:space="0" w:color="70AD47"/>
              <w:right w:val="single" w:sz="18" w:space="0" w:color="70AD47"/>
            </w:tcBorders>
            <w:vAlign w:val="center"/>
            <w:hideMark/>
          </w:tcPr>
          <w:p w:rsidR="00877CE5" w:rsidRPr="004C39C0" w:rsidRDefault="00877CE5" w:rsidP="00BE4C6A">
            <w:pPr>
              <w:spacing w:after="0" w:line="240" w:lineRule="auto"/>
              <w:rPr>
                <w:rFonts w:ascii="Calibri" w:eastAsia="Times New Roman" w:hAnsi="Calibri" w:cs="Times New Roman"/>
                <w:b/>
              </w:rPr>
            </w:pPr>
          </w:p>
        </w:tc>
        <w:tc>
          <w:tcPr>
            <w:tcW w:w="1134" w:type="dxa"/>
            <w:tcBorders>
              <w:top w:val="single" w:sz="4" w:space="0" w:color="70AD47" w:themeColor="accent6"/>
              <w:left w:val="single" w:sz="18" w:space="0" w:color="70AD47"/>
              <w:bottom w:val="single" w:sz="18" w:space="0" w:color="70AD47"/>
              <w:right w:val="single" w:sz="4" w:space="0" w:color="70AD47"/>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MAXENT</w:t>
            </w:r>
          </w:p>
        </w:tc>
        <w:tc>
          <w:tcPr>
            <w:tcW w:w="1276" w:type="dxa"/>
            <w:tcBorders>
              <w:top w:val="single" w:sz="4" w:space="0" w:color="70AD47" w:themeColor="accent6"/>
              <w:left w:val="nil"/>
              <w:bottom w:val="single" w:sz="18" w:space="0" w:color="70AD47"/>
              <w:right w:val="single" w:sz="4" w:space="0" w:color="70AD47"/>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BIOCLIM</w:t>
            </w:r>
          </w:p>
        </w:tc>
        <w:tc>
          <w:tcPr>
            <w:tcW w:w="1820" w:type="dxa"/>
            <w:tcBorders>
              <w:top w:val="single" w:sz="4" w:space="0" w:color="70AD47" w:themeColor="accent6"/>
              <w:left w:val="nil"/>
              <w:bottom w:val="single" w:sz="18" w:space="0" w:color="70AD47"/>
              <w:right w:val="single" w:sz="18" w:space="0" w:color="70AD47" w:themeColor="accent6"/>
            </w:tcBorders>
            <w:shd w:val="clear" w:color="000000" w:fill="FFFFFF"/>
            <w:noWrap/>
            <w:vAlign w:val="bottom"/>
            <w:hideMark/>
          </w:tcPr>
          <w:p w:rsidR="00877CE5" w:rsidRPr="004C39C0" w:rsidRDefault="004C39C0" w:rsidP="00BE4C6A">
            <w:pPr>
              <w:spacing w:after="0" w:line="240" w:lineRule="auto"/>
              <w:jc w:val="center"/>
              <w:rPr>
                <w:rFonts w:ascii="Calibri" w:eastAsia="Times New Roman" w:hAnsi="Calibri" w:cs="Times New Roman"/>
                <w:b/>
              </w:rPr>
            </w:pPr>
            <w:r w:rsidRPr="004C39C0">
              <w:rPr>
                <w:rFonts w:ascii="Calibri" w:eastAsia="Times New Roman" w:hAnsi="Calibri" w:cs="Times New Roman"/>
                <w:b/>
              </w:rPr>
              <w:t>RANDOMFOREST</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C6E0B4"/>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single" w:sz="18" w:space="0" w:color="70AD47"/>
              <w:left w:val="single" w:sz="18" w:space="0" w:color="70AD47" w:themeColor="accent6"/>
              <w:bottom w:val="single" w:sz="4" w:space="0" w:color="70AD47"/>
              <w:right w:val="single" w:sz="18" w:space="0" w:color="70AD47"/>
            </w:tcBorders>
            <w:shd w:val="clear" w:color="000000" w:fill="C6E0B4"/>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Bathymetry</w:t>
            </w:r>
          </w:p>
        </w:tc>
        <w:tc>
          <w:tcPr>
            <w:tcW w:w="1134" w:type="dxa"/>
            <w:tcBorders>
              <w:top w:val="single" w:sz="18" w:space="0" w:color="70AD47"/>
              <w:left w:val="single" w:sz="18" w:space="0" w:color="70AD47"/>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0.84902</w:t>
            </w:r>
          </w:p>
        </w:tc>
        <w:tc>
          <w:tcPr>
            <w:tcW w:w="1276" w:type="dxa"/>
            <w:tcBorders>
              <w:top w:val="single" w:sz="18" w:space="0" w:color="70AD47"/>
              <w:left w:val="nil"/>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0.87536</w:t>
            </w:r>
          </w:p>
        </w:tc>
        <w:tc>
          <w:tcPr>
            <w:tcW w:w="1820" w:type="dxa"/>
            <w:tcBorders>
              <w:top w:val="single" w:sz="18" w:space="0" w:color="70AD47"/>
              <w:left w:val="nil"/>
              <w:bottom w:val="single" w:sz="4" w:space="0" w:color="70AD47"/>
              <w:right w:val="single" w:sz="18" w:space="0" w:color="70AD47" w:themeColor="accent6"/>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0.67951</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FFFFFF"/>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December, January, February irradiance</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0.03225</w:t>
            </w:r>
          </w:p>
        </w:tc>
        <w:tc>
          <w:tcPr>
            <w:tcW w:w="1276" w:type="dxa"/>
            <w:tcBorders>
              <w:top w:val="nil"/>
              <w:left w:val="nil"/>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0.17303</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0.22486</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C6E0B4"/>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C6E0B4"/>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June, July, August irradiance</w:t>
            </w:r>
          </w:p>
        </w:tc>
        <w:tc>
          <w:tcPr>
            <w:tcW w:w="1134" w:type="dxa"/>
            <w:tcBorders>
              <w:top w:val="nil"/>
              <w:left w:val="single" w:sz="18" w:space="0" w:color="70AD47"/>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0.06195</w:t>
            </w:r>
          </w:p>
        </w:tc>
        <w:tc>
          <w:tcPr>
            <w:tcW w:w="1276" w:type="dxa"/>
            <w:tcBorders>
              <w:top w:val="nil"/>
              <w:left w:val="nil"/>
              <w:bottom w:val="single" w:sz="4" w:space="0" w:color="70AD47"/>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0.37765</w:t>
            </w:r>
          </w:p>
        </w:tc>
        <w:tc>
          <w:tcPr>
            <w:tcW w:w="1820" w:type="dxa"/>
            <w:tcBorders>
              <w:top w:val="nil"/>
              <w:left w:val="nil"/>
              <w:bottom w:val="single" w:sz="4" w:space="0" w:color="70AD47"/>
              <w:right w:val="single" w:sz="18" w:space="0" w:color="70AD47" w:themeColor="accent6"/>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0.20744</w:t>
            </w:r>
          </w:p>
        </w:tc>
      </w:tr>
      <w:tr w:rsidR="00877CE5" w:rsidRPr="00F80394" w:rsidTr="008C33A5">
        <w:trPr>
          <w:trHeight w:val="300"/>
          <w:jc w:val="center"/>
        </w:trPr>
        <w:tc>
          <w:tcPr>
            <w:tcW w:w="851" w:type="dxa"/>
            <w:vMerge/>
            <w:tcBorders>
              <w:left w:val="single" w:sz="18" w:space="0" w:color="FFFFFF" w:themeColor="background1"/>
              <w:right w:val="single" w:sz="18" w:space="0" w:color="70AD47"/>
            </w:tcBorders>
            <w:shd w:val="clear" w:color="000000" w:fill="FFFFFF"/>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4" w:space="0" w:color="70AD47"/>
              <w:right w:val="single" w:sz="18" w:space="0" w:color="70AD47"/>
            </w:tcBorders>
            <w:shd w:val="clear" w:color="000000" w:fill="FFFFFF"/>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Annual salinity</w:t>
            </w:r>
          </w:p>
        </w:tc>
        <w:tc>
          <w:tcPr>
            <w:tcW w:w="1134" w:type="dxa"/>
            <w:tcBorders>
              <w:top w:val="nil"/>
              <w:left w:val="single" w:sz="18" w:space="0" w:color="70AD47"/>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0.04829</w:t>
            </w:r>
          </w:p>
        </w:tc>
        <w:tc>
          <w:tcPr>
            <w:tcW w:w="1276" w:type="dxa"/>
            <w:tcBorders>
              <w:top w:val="nil"/>
              <w:left w:val="nil"/>
              <w:bottom w:val="single" w:sz="4" w:space="0" w:color="70AD47"/>
              <w:right w:val="single" w:sz="4" w:space="0" w:color="70AD47"/>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0.23778</w:t>
            </w:r>
          </w:p>
        </w:tc>
        <w:tc>
          <w:tcPr>
            <w:tcW w:w="1820" w:type="dxa"/>
            <w:tcBorders>
              <w:top w:val="nil"/>
              <w:left w:val="nil"/>
              <w:bottom w:val="single" w:sz="4" w:space="0" w:color="70AD47"/>
              <w:right w:val="single" w:sz="18" w:space="0" w:color="70AD47" w:themeColor="accent6"/>
            </w:tcBorders>
            <w:shd w:val="clear" w:color="000000" w:fill="FFFFFF"/>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0.08172</w:t>
            </w:r>
          </w:p>
        </w:tc>
      </w:tr>
      <w:tr w:rsidR="00877CE5" w:rsidRPr="00F80394" w:rsidTr="008C33A5">
        <w:trPr>
          <w:trHeight w:val="300"/>
          <w:jc w:val="center"/>
        </w:trPr>
        <w:tc>
          <w:tcPr>
            <w:tcW w:w="851" w:type="dxa"/>
            <w:vMerge/>
            <w:tcBorders>
              <w:left w:val="single" w:sz="18" w:space="0" w:color="FFFFFF" w:themeColor="background1"/>
              <w:bottom w:val="single" w:sz="18" w:space="0" w:color="FFFFFF" w:themeColor="background1"/>
              <w:right w:val="single" w:sz="18" w:space="0" w:color="70AD47"/>
            </w:tcBorders>
            <w:shd w:val="clear" w:color="000000" w:fill="C6E0B4"/>
          </w:tcPr>
          <w:p w:rsidR="00877CE5" w:rsidRPr="00F80394" w:rsidRDefault="00877CE5" w:rsidP="00BE4C6A">
            <w:pPr>
              <w:spacing w:after="0" w:line="240" w:lineRule="auto"/>
              <w:jc w:val="center"/>
              <w:rPr>
                <w:rFonts w:ascii="Calibri" w:eastAsia="Times New Roman" w:hAnsi="Calibri" w:cs="Times New Roman"/>
              </w:rPr>
            </w:pPr>
          </w:p>
        </w:tc>
        <w:tc>
          <w:tcPr>
            <w:tcW w:w="3850" w:type="dxa"/>
            <w:tcBorders>
              <w:top w:val="nil"/>
              <w:left w:val="single" w:sz="18" w:space="0" w:color="70AD47" w:themeColor="accent6"/>
              <w:bottom w:val="single" w:sz="18" w:space="0" w:color="70AD47" w:themeColor="accent6"/>
              <w:right w:val="single" w:sz="18" w:space="0" w:color="70AD47"/>
            </w:tcBorders>
            <w:shd w:val="clear" w:color="000000" w:fill="C6E0B4"/>
            <w:noWrap/>
            <w:vAlign w:val="bottom"/>
            <w:hideMark/>
          </w:tcPr>
          <w:p w:rsidR="00877CE5" w:rsidRPr="004C39C0" w:rsidRDefault="00877CE5" w:rsidP="00BE4C6A">
            <w:pPr>
              <w:spacing w:after="0" w:line="240" w:lineRule="auto"/>
              <w:rPr>
                <w:rFonts w:ascii="Calibri" w:eastAsia="Times New Roman" w:hAnsi="Calibri" w:cs="Times New Roman"/>
              </w:rPr>
            </w:pPr>
            <w:r w:rsidRPr="004C39C0">
              <w:rPr>
                <w:rFonts w:ascii="Calibri" w:eastAsia="Times New Roman" w:hAnsi="Calibri" w:cs="Times New Roman"/>
              </w:rPr>
              <w:t>Annual sea surface temperature</w:t>
            </w:r>
          </w:p>
        </w:tc>
        <w:tc>
          <w:tcPr>
            <w:tcW w:w="1134" w:type="dxa"/>
            <w:tcBorders>
              <w:top w:val="nil"/>
              <w:left w:val="single" w:sz="18" w:space="0" w:color="70AD47"/>
              <w:bottom w:val="single" w:sz="18" w:space="0" w:color="70AD47" w:themeColor="accent6"/>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0.56119</w:t>
            </w:r>
          </w:p>
        </w:tc>
        <w:tc>
          <w:tcPr>
            <w:tcW w:w="1276" w:type="dxa"/>
            <w:tcBorders>
              <w:top w:val="nil"/>
              <w:left w:val="nil"/>
              <w:bottom w:val="single" w:sz="18" w:space="0" w:color="70AD47" w:themeColor="accent6"/>
              <w:right w:val="single" w:sz="4" w:space="0" w:color="70AD47"/>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0.41206</w:t>
            </w:r>
          </w:p>
        </w:tc>
        <w:tc>
          <w:tcPr>
            <w:tcW w:w="1820" w:type="dxa"/>
            <w:tcBorders>
              <w:top w:val="nil"/>
              <w:left w:val="nil"/>
              <w:bottom w:val="single" w:sz="18" w:space="0" w:color="70AD47" w:themeColor="accent6"/>
              <w:right w:val="single" w:sz="18" w:space="0" w:color="70AD47" w:themeColor="accent6"/>
            </w:tcBorders>
            <w:shd w:val="clear" w:color="000000" w:fill="C6E0B4"/>
            <w:noWrap/>
            <w:vAlign w:val="bottom"/>
            <w:hideMark/>
          </w:tcPr>
          <w:p w:rsidR="00877CE5" w:rsidRPr="004C39C0" w:rsidRDefault="00877CE5" w:rsidP="00BE4C6A">
            <w:pPr>
              <w:spacing w:after="0" w:line="240" w:lineRule="auto"/>
              <w:jc w:val="center"/>
              <w:rPr>
                <w:rFonts w:ascii="Calibri" w:eastAsia="Times New Roman" w:hAnsi="Calibri" w:cs="Times New Roman"/>
              </w:rPr>
            </w:pPr>
            <w:r w:rsidRPr="004C39C0">
              <w:rPr>
                <w:rFonts w:ascii="Calibri" w:eastAsia="Times New Roman" w:hAnsi="Calibri" w:cs="Times New Roman"/>
              </w:rPr>
              <w:t>0.47094</w:t>
            </w:r>
          </w:p>
        </w:tc>
      </w:tr>
    </w:tbl>
    <w:p w:rsidR="00F80394" w:rsidRDefault="00F80394" w:rsidP="00BF0792">
      <w:pPr>
        <w:rPr>
          <w:lang w:eastAsia="en-US"/>
        </w:rPr>
      </w:pPr>
    </w:p>
    <w:p w:rsidR="00AD4A66" w:rsidRDefault="00AD4A66" w:rsidP="00AD4A66">
      <w:pPr>
        <w:pStyle w:val="Heading2"/>
        <w:rPr>
          <w:sz w:val="24"/>
        </w:rPr>
      </w:pPr>
      <w:r>
        <w:rPr>
          <w:sz w:val="24"/>
        </w:rPr>
        <w:t>Geographic predictions</w:t>
      </w:r>
      <w:r w:rsidR="00B10F29">
        <w:rPr>
          <w:sz w:val="24"/>
        </w:rPr>
        <w:t xml:space="preserve"> &amp; clamping masks</w:t>
      </w:r>
    </w:p>
    <w:p w:rsidR="003B09ED" w:rsidRDefault="001B6F1F" w:rsidP="004270FD">
      <w:pPr>
        <w:spacing w:line="360" w:lineRule="auto"/>
        <w:jc w:val="both"/>
        <w:rPr>
          <w:lang w:eastAsia="en-US"/>
        </w:rPr>
      </w:pPr>
      <w:r>
        <w:rPr>
          <w:lang w:eastAsia="en-US"/>
        </w:rPr>
        <w:t>Below, we provide the raw outputs for each model prediction covering all predictions</w:t>
      </w:r>
      <w:r w:rsidR="000841C8">
        <w:rPr>
          <w:lang w:eastAsia="en-US"/>
        </w:rPr>
        <w:t xml:space="preserve"> (</w:t>
      </w:r>
      <w:r w:rsidR="00B5409B" w:rsidRPr="00B5409B">
        <w:rPr>
          <w:lang w:eastAsia="en-US"/>
        </w:rPr>
        <w:fldChar w:fldCharType="begin"/>
      </w:r>
      <w:r w:rsidR="00B5409B" w:rsidRPr="00B5409B">
        <w:rPr>
          <w:lang w:eastAsia="en-US"/>
        </w:rPr>
        <w:instrText xml:space="preserve"> REF _Ref526417815 \h  \* MERGEFORMAT </w:instrText>
      </w:r>
      <w:r w:rsidR="00B5409B" w:rsidRPr="00B5409B">
        <w:rPr>
          <w:lang w:eastAsia="en-US"/>
        </w:rPr>
      </w:r>
      <w:r w:rsidR="00B5409B" w:rsidRPr="00B5409B">
        <w:rPr>
          <w:lang w:eastAsia="en-US"/>
        </w:rPr>
        <w:fldChar w:fldCharType="separate"/>
      </w:r>
      <w:r w:rsidR="00E97167" w:rsidRPr="00E97167">
        <w:t xml:space="preserve">Figure SM </w:t>
      </w:r>
      <w:r w:rsidR="00E97167" w:rsidRPr="00E97167">
        <w:rPr>
          <w:noProof/>
        </w:rPr>
        <w:t>15</w:t>
      </w:r>
      <w:r w:rsidR="00B5409B" w:rsidRPr="00B5409B">
        <w:rPr>
          <w:lang w:eastAsia="en-US"/>
        </w:rPr>
        <w:fldChar w:fldCharType="end"/>
      </w:r>
      <w:r w:rsidR="00B5409B" w:rsidRPr="00E82931">
        <w:t>–</w:t>
      </w:r>
      <w:r w:rsidR="00E97167">
        <w:t>16</w:t>
      </w:r>
      <w:r w:rsidR="000841C8">
        <w:rPr>
          <w:lang w:eastAsia="en-US"/>
        </w:rPr>
        <w:t>)</w:t>
      </w:r>
      <w:r>
        <w:rPr>
          <w:lang w:eastAsia="en-US"/>
        </w:rPr>
        <w:t xml:space="preserve">. These figures include all results from each algorithm, projection and training dataset. The raw outputs represent the unclamped model predictions and provide no account of uncertainties. </w:t>
      </w:r>
      <w:r w:rsidR="00AC757A">
        <w:rPr>
          <w:lang w:eastAsia="en-US"/>
        </w:rPr>
        <w:t xml:space="preserve">From these figures it is clear to see the variation in assigned habitability scores, with 0 indicating the lowest habitability and 1 the highest. </w:t>
      </w:r>
      <w:r w:rsidR="00B10F29">
        <w:rPr>
          <w:lang w:eastAsia="en-US"/>
        </w:rPr>
        <w:t xml:space="preserve">In addition, we also provide </w:t>
      </w:r>
      <w:r w:rsidR="00B5409B">
        <w:rPr>
          <w:lang w:eastAsia="en-US"/>
        </w:rPr>
        <w:t>the binary predictions for each threshold (5LPT, 10LPT, 20LPT) a</w:t>
      </w:r>
      <w:r w:rsidR="00E97167">
        <w:rPr>
          <w:lang w:eastAsia="en-US"/>
        </w:rPr>
        <w:t>nd climate scenario (Figure SM17</w:t>
      </w:r>
      <w:r w:rsidR="00B5409B" w:rsidRPr="00E82931">
        <w:t>–</w:t>
      </w:r>
      <w:r w:rsidR="00E97167">
        <w:t>20</w:t>
      </w:r>
      <w:r w:rsidR="00B5409B">
        <w:t>)</w:t>
      </w:r>
      <w:r w:rsidR="00B5409B">
        <w:rPr>
          <w:lang w:eastAsia="en-US"/>
        </w:rPr>
        <w:t xml:space="preserve">. Clamping </w:t>
      </w:r>
      <w:r w:rsidR="00B10F29">
        <w:rPr>
          <w:lang w:eastAsia="en-US"/>
        </w:rPr>
        <w:t>masks for each model prediction</w:t>
      </w:r>
      <w:r w:rsidR="00B5409B">
        <w:rPr>
          <w:lang w:eastAsia="en-US"/>
        </w:rPr>
        <w:t xml:space="preserve"> are also provided</w:t>
      </w:r>
      <w:r w:rsidR="007F04E1">
        <w:rPr>
          <w:lang w:eastAsia="en-US"/>
        </w:rPr>
        <w:t xml:space="preserve"> (</w:t>
      </w:r>
      <w:r w:rsidR="007F04E1" w:rsidRPr="007F04E1">
        <w:rPr>
          <w:lang w:eastAsia="en-US"/>
        </w:rPr>
        <w:fldChar w:fldCharType="begin"/>
      </w:r>
      <w:r w:rsidR="007F04E1" w:rsidRPr="007F04E1">
        <w:rPr>
          <w:lang w:eastAsia="en-US"/>
        </w:rPr>
        <w:instrText xml:space="preserve"> REF _Ref525302462 \h  \* MERGEFORMAT </w:instrText>
      </w:r>
      <w:r w:rsidR="007F04E1" w:rsidRPr="007F04E1">
        <w:rPr>
          <w:lang w:eastAsia="en-US"/>
        </w:rPr>
      </w:r>
      <w:r w:rsidR="007F04E1" w:rsidRPr="007F04E1">
        <w:rPr>
          <w:lang w:eastAsia="en-US"/>
        </w:rPr>
        <w:fldChar w:fldCharType="separate"/>
      </w:r>
      <w:r w:rsidR="00E97167" w:rsidRPr="00E97167">
        <w:t xml:space="preserve">Figure SM </w:t>
      </w:r>
      <w:r w:rsidR="00E97167" w:rsidRPr="00E97167">
        <w:rPr>
          <w:noProof/>
        </w:rPr>
        <w:t>21</w:t>
      </w:r>
      <w:r w:rsidR="007F04E1" w:rsidRPr="007F04E1">
        <w:rPr>
          <w:lang w:eastAsia="en-US"/>
        </w:rPr>
        <w:fldChar w:fldCharType="end"/>
      </w:r>
      <w:r w:rsidR="00E97167">
        <w:rPr>
          <w:lang w:eastAsia="en-US"/>
        </w:rPr>
        <w:t>–22</w:t>
      </w:r>
      <w:r w:rsidR="007F04E1">
        <w:rPr>
          <w:lang w:eastAsia="en-US"/>
        </w:rPr>
        <w:t>)</w:t>
      </w:r>
      <w:r w:rsidR="00B10F29">
        <w:rPr>
          <w:lang w:eastAsia="en-US"/>
        </w:rPr>
        <w:t xml:space="preserve">. </w:t>
      </w:r>
      <w:r w:rsidR="00B10F29" w:rsidRPr="00B10F29">
        <w:rPr>
          <w:lang w:eastAsia="en-US"/>
        </w:rPr>
        <w:t>These masks identify locations where predictions are uncertain as the values of environmental variables are outside the ran</w:t>
      </w:r>
      <w:r w:rsidR="00690FBE">
        <w:rPr>
          <w:lang w:eastAsia="en-US"/>
        </w:rPr>
        <w:t xml:space="preserve">ge used for model calibration. </w:t>
      </w:r>
      <w:r w:rsidR="00B10F29" w:rsidRPr="00B10F29">
        <w:rPr>
          <w:lang w:eastAsia="en-US"/>
        </w:rPr>
        <w:t>The values indicated by these masks relates to the number of variables outside the calibration range.</w:t>
      </w:r>
      <w:r w:rsidR="00B10F29">
        <w:rPr>
          <w:lang w:eastAsia="en-US"/>
        </w:rPr>
        <w:t xml:space="preserve"> </w:t>
      </w:r>
      <w:r w:rsidR="003B09ED">
        <w:rPr>
          <w:lang w:eastAsia="en-US"/>
        </w:rPr>
        <w:br w:type="page"/>
      </w:r>
    </w:p>
    <w:p w:rsidR="00373BD9" w:rsidRDefault="003B09ED" w:rsidP="00373BD9">
      <w:pPr>
        <w:keepNext/>
        <w:jc w:val="center"/>
      </w:pPr>
      <w:r>
        <w:rPr>
          <w:noProof/>
        </w:rPr>
        <w:lastRenderedPageBreak/>
        <w:drawing>
          <wp:inline distT="0" distB="0" distL="0" distR="0">
            <wp:extent cx="4057180" cy="9000000"/>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odern_Summary.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057180" cy="9000000"/>
                    </a:xfrm>
                    <a:prstGeom prst="rect">
                      <a:avLst/>
                    </a:prstGeom>
                  </pic:spPr>
                </pic:pic>
              </a:graphicData>
            </a:graphic>
          </wp:inline>
        </w:drawing>
      </w:r>
    </w:p>
    <w:p w:rsidR="003B09ED" w:rsidRPr="00373BD9" w:rsidRDefault="00373BD9" w:rsidP="00373BD9">
      <w:pPr>
        <w:pStyle w:val="Caption"/>
        <w:jc w:val="both"/>
        <w:rPr>
          <w:i w:val="0"/>
          <w:color w:val="auto"/>
          <w:sz w:val="22"/>
          <w:lang w:eastAsia="en-US"/>
        </w:rPr>
      </w:pPr>
      <w:bookmarkStart w:id="7" w:name="_Ref526417815"/>
      <w:r w:rsidRPr="00373BD9">
        <w:rPr>
          <w:i w:val="0"/>
          <w:color w:val="auto"/>
          <w:sz w:val="22"/>
        </w:rPr>
        <w:lastRenderedPageBreak/>
        <w:t xml:space="preserve">Figure SM </w:t>
      </w:r>
      <w:r w:rsidRPr="00373BD9">
        <w:rPr>
          <w:i w:val="0"/>
          <w:color w:val="auto"/>
          <w:sz w:val="22"/>
        </w:rPr>
        <w:fldChar w:fldCharType="begin"/>
      </w:r>
      <w:r w:rsidRPr="00373BD9">
        <w:rPr>
          <w:i w:val="0"/>
          <w:color w:val="auto"/>
          <w:sz w:val="22"/>
        </w:rPr>
        <w:instrText xml:space="preserve"> SEQ Figure_SM \* ARABIC </w:instrText>
      </w:r>
      <w:r w:rsidRPr="00373BD9">
        <w:rPr>
          <w:i w:val="0"/>
          <w:color w:val="auto"/>
          <w:sz w:val="22"/>
        </w:rPr>
        <w:fldChar w:fldCharType="separate"/>
      </w:r>
      <w:r w:rsidR="006C03E0">
        <w:rPr>
          <w:i w:val="0"/>
          <w:noProof/>
          <w:color w:val="auto"/>
          <w:sz w:val="22"/>
        </w:rPr>
        <w:t>15</w:t>
      </w:r>
      <w:r w:rsidRPr="00373BD9">
        <w:rPr>
          <w:i w:val="0"/>
          <w:color w:val="auto"/>
          <w:sz w:val="22"/>
        </w:rPr>
        <w:fldChar w:fldCharType="end"/>
      </w:r>
      <w:bookmarkEnd w:id="7"/>
      <w:r w:rsidRPr="00373BD9">
        <w:rPr>
          <w:i w:val="0"/>
          <w:color w:val="auto"/>
          <w:sz w:val="22"/>
        </w:rPr>
        <w:t xml:space="preserve">. Global </w:t>
      </w:r>
      <w:r w:rsidR="00920762">
        <w:rPr>
          <w:i w:val="0"/>
          <w:color w:val="auto"/>
          <w:sz w:val="22"/>
        </w:rPr>
        <w:t xml:space="preserve">mean </w:t>
      </w:r>
      <w:r w:rsidRPr="00373BD9">
        <w:rPr>
          <w:i w:val="0"/>
          <w:color w:val="auto"/>
          <w:sz w:val="22"/>
        </w:rPr>
        <w:t xml:space="preserve">raw habitability map outputs (unclamped) for </w:t>
      </w:r>
      <w:r>
        <w:rPr>
          <w:i w:val="0"/>
          <w:color w:val="auto"/>
          <w:sz w:val="22"/>
        </w:rPr>
        <w:t>all climate scenarios,</w:t>
      </w:r>
      <w:r w:rsidRPr="00373BD9">
        <w:rPr>
          <w:i w:val="0"/>
          <w:color w:val="auto"/>
          <w:sz w:val="22"/>
        </w:rPr>
        <w:t xml:space="preserve"> trained on modern occurrences.</w:t>
      </w:r>
    </w:p>
    <w:p w:rsidR="00373BD9" w:rsidRDefault="003B09ED" w:rsidP="00373BD9">
      <w:pPr>
        <w:keepNext/>
        <w:jc w:val="center"/>
      </w:pPr>
      <w:r>
        <w:rPr>
          <w:noProof/>
        </w:rPr>
        <w:lastRenderedPageBreak/>
        <w:drawing>
          <wp:inline distT="0" distB="0" distL="0" distR="0">
            <wp:extent cx="4113708" cy="9000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IG_Summary.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113708" cy="9000000"/>
                    </a:xfrm>
                    <a:prstGeom prst="rect">
                      <a:avLst/>
                    </a:prstGeom>
                  </pic:spPr>
                </pic:pic>
              </a:graphicData>
            </a:graphic>
          </wp:inline>
        </w:drawing>
      </w:r>
    </w:p>
    <w:p w:rsidR="00B10F29" w:rsidRPr="00373BD9" w:rsidRDefault="00373BD9" w:rsidP="00373BD9">
      <w:pPr>
        <w:pStyle w:val="Caption"/>
        <w:jc w:val="both"/>
        <w:rPr>
          <w:i w:val="0"/>
          <w:color w:val="auto"/>
          <w:sz w:val="22"/>
          <w:szCs w:val="22"/>
          <w:lang w:eastAsia="en-US"/>
        </w:rPr>
      </w:pPr>
      <w:r w:rsidRPr="00373BD9">
        <w:rPr>
          <w:i w:val="0"/>
          <w:color w:val="auto"/>
          <w:sz w:val="22"/>
          <w:szCs w:val="22"/>
        </w:rPr>
        <w:lastRenderedPageBreak/>
        <w:t xml:space="preserve">Figure SM </w:t>
      </w:r>
      <w:r w:rsidRPr="00373BD9">
        <w:rPr>
          <w:i w:val="0"/>
          <w:color w:val="auto"/>
          <w:sz w:val="22"/>
          <w:szCs w:val="22"/>
        </w:rPr>
        <w:fldChar w:fldCharType="begin"/>
      </w:r>
      <w:r w:rsidRPr="00373BD9">
        <w:rPr>
          <w:i w:val="0"/>
          <w:color w:val="auto"/>
          <w:sz w:val="22"/>
          <w:szCs w:val="22"/>
        </w:rPr>
        <w:instrText xml:space="preserve"> SEQ Figure_SM \* ARABIC </w:instrText>
      </w:r>
      <w:r w:rsidRPr="00373BD9">
        <w:rPr>
          <w:i w:val="0"/>
          <w:color w:val="auto"/>
          <w:sz w:val="22"/>
          <w:szCs w:val="22"/>
        </w:rPr>
        <w:fldChar w:fldCharType="separate"/>
      </w:r>
      <w:r w:rsidR="006C03E0">
        <w:rPr>
          <w:i w:val="0"/>
          <w:noProof/>
          <w:color w:val="auto"/>
          <w:sz w:val="22"/>
          <w:szCs w:val="22"/>
        </w:rPr>
        <w:t>16</w:t>
      </w:r>
      <w:r w:rsidRPr="00373BD9">
        <w:rPr>
          <w:i w:val="0"/>
          <w:color w:val="auto"/>
          <w:sz w:val="22"/>
          <w:szCs w:val="22"/>
        </w:rPr>
        <w:fldChar w:fldCharType="end"/>
      </w:r>
      <w:r w:rsidRPr="00373BD9">
        <w:rPr>
          <w:i w:val="0"/>
          <w:color w:val="auto"/>
          <w:sz w:val="22"/>
          <w:szCs w:val="22"/>
        </w:rPr>
        <w:t xml:space="preserve">. Global </w:t>
      </w:r>
      <w:r w:rsidR="00920762">
        <w:rPr>
          <w:i w:val="0"/>
          <w:color w:val="auto"/>
          <w:sz w:val="22"/>
          <w:szCs w:val="22"/>
        </w:rPr>
        <w:t xml:space="preserve">mean </w:t>
      </w:r>
      <w:r w:rsidRPr="00373BD9">
        <w:rPr>
          <w:i w:val="0"/>
          <w:color w:val="auto"/>
          <w:sz w:val="22"/>
          <w:szCs w:val="22"/>
        </w:rPr>
        <w:t xml:space="preserve">raw habitability map outputs (unclamped) for all climate scenarios, trained on </w:t>
      </w:r>
      <w:r>
        <w:rPr>
          <w:i w:val="0"/>
          <w:color w:val="auto"/>
          <w:sz w:val="22"/>
          <w:szCs w:val="22"/>
        </w:rPr>
        <w:t>LIG</w:t>
      </w:r>
      <w:r w:rsidRPr="00373BD9">
        <w:rPr>
          <w:i w:val="0"/>
          <w:color w:val="auto"/>
          <w:sz w:val="22"/>
          <w:szCs w:val="22"/>
        </w:rPr>
        <w:t xml:space="preserve"> occurrences.</w:t>
      </w:r>
    </w:p>
    <w:p w:rsidR="00B35E8D" w:rsidRDefault="00B35E8D" w:rsidP="00B35E8D">
      <w:pPr>
        <w:keepNext/>
        <w:jc w:val="center"/>
      </w:pPr>
      <w:r>
        <w:rPr>
          <w:i/>
          <w:noProof/>
        </w:rPr>
        <w:lastRenderedPageBreak/>
        <w:drawing>
          <wp:inline distT="0" distB="0" distL="0" distR="0">
            <wp:extent cx="5276357" cy="8639602"/>
            <wp:effectExtent l="0" t="0" r="63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IG.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6357" cy="8639602"/>
                    </a:xfrm>
                    <a:prstGeom prst="rect">
                      <a:avLst/>
                    </a:prstGeom>
                  </pic:spPr>
                </pic:pic>
              </a:graphicData>
            </a:graphic>
          </wp:inline>
        </w:drawing>
      </w:r>
    </w:p>
    <w:p w:rsidR="00B35E8D" w:rsidRPr="00C01D7E" w:rsidRDefault="00B35E8D" w:rsidP="00C01D7E">
      <w:pPr>
        <w:pStyle w:val="Caption"/>
        <w:jc w:val="both"/>
        <w:rPr>
          <w:i w:val="0"/>
          <w:color w:val="auto"/>
          <w:sz w:val="22"/>
        </w:rPr>
      </w:pPr>
      <w:r w:rsidRPr="00C01D7E">
        <w:rPr>
          <w:i w:val="0"/>
          <w:color w:val="auto"/>
          <w:sz w:val="22"/>
        </w:rPr>
        <w:t xml:space="preserve">Figure SM </w:t>
      </w:r>
      <w:r w:rsidRPr="00C01D7E">
        <w:rPr>
          <w:i w:val="0"/>
          <w:color w:val="auto"/>
          <w:sz w:val="22"/>
        </w:rPr>
        <w:fldChar w:fldCharType="begin"/>
      </w:r>
      <w:r w:rsidRPr="00C01D7E">
        <w:rPr>
          <w:i w:val="0"/>
          <w:color w:val="auto"/>
          <w:sz w:val="22"/>
        </w:rPr>
        <w:instrText xml:space="preserve"> SEQ Figure_SM \* ARABIC </w:instrText>
      </w:r>
      <w:r w:rsidRPr="00C01D7E">
        <w:rPr>
          <w:i w:val="0"/>
          <w:color w:val="auto"/>
          <w:sz w:val="22"/>
        </w:rPr>
        <w:fldChar w:fldCharType="separate"/>
      </w:r>
      <w:r w:rsidR="006C03E0">
        <w:rPr>
          <w:i w:val="0"/>
          <w:noProof/>
          <w:color w:val="auto"/>
          <w:sz w:val="22"/>
        </w:rPr>
        <w:t>17</w:t>
      </w:r>
      <w:r w:rsidRPr="00C01D7E">
        <w:rPr>
          <w:i w:val="0"/>
          <w:color w:val="auto"/>
          <w:sz w:val="22"/>
        </w:rPr>
        <w:fldChar w:fldCharType="end"/>
      </w:r>
      <w:r w:rsidRPr="00C01D7E">
        <w:rPr>
          <w:i w:val="0"/>
          <w:color w:val="auto"/>
          <w:sz w:val="22"/>
        </w:rPr>
        <w:t xml:space="preserve">. </w:t>
      </w:r>
      <w:r w:rsidR="00C01D7E" w:rsidRPr="00C01D7E">
        <w:rPr>
          <w:i w:val="0"/>
          <w:color w:val="auto"/>
          <w:sz w:val="22"/>
        </w:rPr>
        <w:t xml:space="preserve">Combined binary habitability maps for the LIG using </w:t>
      </w:r>
      <w:r w:rsidR="00920762">
        <w:rPr>
          <w:i w:val="0"/>
          <w:color w:val="auto"/>
          <w:sz w:val="22"/>
        </w:rPr>
        <w:t xml:space="preserve">the </w:t>
      </w:r>
      <w:r w:rsidR="00C01D7E" w:rsidRPr="00C01D7E">
        <w:rPr>
          <w:i w:val="0"/>
          <w:color w:val="auto"/>
          <w:sz w:val="22"/>
        </w:rPr>
        <w:t xml:space="preserve">three </w:t>
      </w:r>
      <w:r w:rsidR="00920762">
        <w:rPr>
          <w:i w:val="0"/>
          <w:color w:val="auto"/>
          <w:sz w:val="22"/>
        </w:rPr>
        <w:t>binary thresholds</w:t>
      </w:r>
      <w:r w:rsidR="00C01D7E" w:rsidRPr="00C01D7E">
        <w:rPr>
          <w:i w:val="0"/>
          <w:color w:val="auto"/>
          <w:sz w:val="22"/>
        </w:rPr>
        <w:t xml:space="preserve"> (</w:t>
      </w:r>
      <w:r w:rsidR="00920762">
        <w:rPr>
          <w:i w:val="0"/>
          <w:color w:val="auto"/>
          <w:sz w:val="22"/>
        </w:rPr>
        <w:t>5LPT, 10LPT, and 20LPT</w:t>
      </w:r>
      <w:r w:rsidR="00C01D7E" w:rsidRPr="00C01D7E">
        <w:rPr>
          <w:i w:val="0"/>
          <w:color w:val="auto"/>
          <w:sz w:val="22"/>
        </w:rPr>
        <w:t xml:space="preserve">). The blue indicates unsuitable cells, whilst grey and yellow indicate suitable habitats. Specifically, grey illustrates </w:t>
      </w:r>
      <w:r w:rsidR="00C01D7E" w:rsidRPr="00C01D7E">
        <w:rPr>
          <w:i w:val="0"/>
          <w:color w:val="auto"/>
          <w:sz w:val="22"/>
        </w:rPr>
        <w:lastRenderedPageBreak/>
        <w:t xml:space="preserve">habitable cells predicted by the modern occurrence trained models, </w:t>
      </w:r>
      <w:r w:rsidR="00920762" w:rsidRPr="00C01D7E">
        <w:rPr>
          <w:i w:val="0"/>
          <w:color w:val="auto"/>
          <w:sz w:val="22"/>
          <w:szCs w:val="22"/>
        </w:rPr>
        <w:t>whilst yellow highlights</w:t>
      </w:r>
      <w:r w:rsidR="00920762">
        <w:rPr>
          <w:i w:val="0"/>
          <w:color w:val="auto"/>
          <w:sz w:val="22"/>
          <w:szCs w:val="22"/>
        </w:rPr>
        <w:t xml:space="preserve"> additional cells predicted for</w:t>
      </w:r>
      <w:r w:rsidR="00920762" w:rsidRPr="00C01D7E">
        <w:rPr>
          <w:i w:val="0"/>
          <w:color w:val="auto"/>
          <w:sz w:val="22"/>
          <w:szCs w:val="22"/>
        </w:rPr>
        <w:t xml:space="preserve"> those trained on the LIG occurrence data.</w:t>
      </w:r>
    </w:p>
    <w:p w:rsidR="00B35E8D" w:rsidRDefault="00B35E8D" w:rsidP="00B35E8D">
      <w:pPr>
        <w:pStyle w:val="Caption"/>
        <w:keepNext/>
        <w:jc w:val="center"/>
      </w:pPr>
      <w:r>
        <w:rPr>
          <w:noProof/>
        </w:rPr>
        <w:lastRenderedPageBreak/>
        <w:drawing>
          <wp:inline distT="0" distB="0" distL="0" distR="0">
            <wp:extent cx="5276354" cy="8639597"/>
            <wp:effectExtent l="0" t="0" r="63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der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6354" cy="8639597"/>
                    </a:xfrm>
                    <a:prstGeom prst="rect">
                      <a:avLst/>
                    </a:prstGeom>
                  </pic:spPr>
                </pic:pic>
              </a:graphicData>
            </a:graphic>
          </wp:inline>
        </w:drawing>
      </w:r>
    </w:p>
    <w:p w:rsidR="00B35E8D" w:rsidRPr="00C01D7E" w:rsidRDefault="00B35E8D" w:rsidP="00C01D7E">
      <w:pPr>
        <w:pStyle w:val="Caption"/>
        <w:jc w:val="both"/>
        <w:rPr>
          <w:i w:val="0"/>
          <w:color w:val="auto"/>
          <w:sz w:val="22"/>
          <w:szCs w:val="22"/>
        </w:rPr>
      </w:pPr>
      <w:r w:rsidRPr="00C01D7E">
        <w:rPr>
          <w:i w:val="0"/>
          <w:color w:val="auto"/>
          <w:sz w:val="22"/>
          <w:szCs w:val="22"/>
        </w:rPr>
        <w:t xml:space="preserve">Figure SM </w:t>
      </w:r>
      <w:r w:rsidRPr="00C01D7E">
        <w:rPr>
          <w:i w:val="0"/>
          <w:color w:val="auto"/>
          <w:sz w:val="22"/>
          <w:szCs w:val="22"/>
        </w:rPr>
        <w:fldChar w:fldCharType="begin"/>
      </w:r>
      <w:r w:rsidRPr="00C01D7E">
        <w:rPr>
          <w:i w:val="0"/>
          <w:color w:val="auto"/>
          <w:sz w:val="22"/>
          <w:szCs w:val="22"/>
        </w:rPr>
        <w:instrText xml:space="preserve"> SEQ Figure_SM \* ARABIC </w:instrText>
      </w:r>
      <w:r w:rsidRPr="00C01D7E">
        <w:rPr>
          <w:i w:val="0"/>
          <w:color w:val="auto"/>
          <w:sz w:val="22"/>
          <w:szCs w:val="22"/>
        </w:rPr>
        <w:fldChar w:fldCharType="separate"/>
      </w:r>
      <w:r w:rsidR="006C03E0">
        <w:rPr>
          <w:i w:val="0"/>
          <w:noProof/>
          <w:color w:val="auto"/>
          <w:sz w:val="22"/>
          <w:szCs w:val="22"/>
        </w:rPr>
        <w:t>18</w:t>
      </w:r>
      <w:r w:rsidRPr="00C01D7E">
        <w:rPr>
          <w:i w:val="0"/>
          <w:color w:val="auto"/>
          <w:sz w:val="22"/>
          <w:szCs w:val="22"/>
        </w:rPr>
        <w:fldChar w:fldCharType="end"/>
      </w:r>
      <w:r w:rsidRPr="00C01D7E">
        <w:rPr>
          <w:i w:val="0"/>
          <w:color w:val="auto"/>
          <w:sz w:val="22"/>
          <w:szCs w:val="22"/>
        </w:rPr>
        <w:t xml:space="preserve">. </w:t>
      </w:r>
      <w:r w:rsidR="00C01D7E" w:rsidRPr="00C01D7E">
        <w:rPr>
          <w:i w:val="0"/>
          <w:color w:val="auto"/>
          <w:sz w:val="22"/>
          <w:szCs w:val="22"/>
        </w:rPr>
        <w:t xml:space="preserve">Combined binary habitability maps for the modern </w:t>
      </w:r>
      <w:r w:rsidR="00920762" w:rsidRPr="00C01D7E">
        <w:rPr>
          <w:i w:val="0"/>
          <w:color w:val="auto"/>
          <w:sz w:val="22"/>
        </w:rPr>
        <w:t xml:space="preserve">using </w:t>
      </w:r>
      <w:r w:rsidR="00920762">
        <w:rPr>
          <w:i w:val="0"/>
          <w:color w:val="auto"/>
          <w:sz w:val="22"/>
        </w:rPr>
        <w:t xml:space="preserve">the </w:t>
      </w:r>
      <w:r w:rsidR="00920762" w:rsidRPr="00C01D7E">
        <w:rPr>
          <w:i w:val="0"/>
          <w:color w:val="auto"/>
          <w:sz w:val="22"/>
        </w:rPr>
        <w:t xml:space="preserve">three </w:t>
      </w:r>
      <w:r w:rsidR="00920762">
        <w:rPr>
          <w:i w:val="0"/>
          <w:color w:val="auto"/>
          <w:sz w:val="22"/>
        </w:rPr>
        <w:t>binary thresholds</w:t>
      </w:r>
      <w:r w:rsidR="00920762" w:rsidRPr="00C01D7E">
        <w:rPr>
          <w:i w:val="0"/>
          <w:color w:val="auto"/>
          <w:sz w:val="22"/>
        </w:rPr>
        <w:t xml:space="preserve"> (</w:t>
      </w:r>
      <w:r w:rsidR="00920762">
        <w:rPr>
          <w:i w:val="0"/>
          <w:color w:val="auto"/>
          <w:sz w:val="22"/>
        </w:rPr>
        <w:t>5LPT, 10LPT, and 20LPT</w:t>
      </w:r>
      <w:r w:rsidR="00C01D7E" w:rsidRPr="00C01D7E">
        <w:rPr>
          <w:i w:val="0"/>
          <w:color w:val="auto"/>
          <w:sz w:val="22"/>
          <w:szCs w:val="22"/>
        </w:rPr>
        <w:t xml:space="preserve">). The blue indicates unsuitable cells, whilst grey and yellow indicate suitable habitats. Specifically, grey </w:t>
      </w:r>
      <w:r w:rsidR="00C01D7E" w:rsidRPr="00C01D7E">
        <w:rPr>
          <w:i w:val="0"/>
          <w:color w:val="auto"/>
          <w:sz w:val="22"/>
          <w:szCs w:val="22"/>
        </w:rPr>
        <w:lastRenderedPageBreak/>
        <w:t>illustrates habitable cells predicted by the modern occurrence trained models, whilst yellow highlights</w:t>
      </w:r>
      <w:r w:rsidR="00920762">
        <w:rPr>
          <w:i w:val="0"/>
          <w:color w:val="auto"/>
          <w:sz w:val="22"/>
          <w:szCs w:val="22"/>
        </w:rPr>
        <w:t xml:space="preserve"> additional cells predicted</w:t>
      </w:r>
      <w:r w:rsidR="00EA390F">
        <w:rPr>
          <w:i w:val="0"/>
          <w:color w:val="auto"/>
          <w:sz w:val="22"/>
          <w:szCs w:val="22"/>
        </w:rPr>
        <w:t xml:space="preserve"> for</w:t>
      </w:r>
      <w:r w:rsidR="00C01D7E" w:rsidRPr="00C01D7E">
        <w:rPr>
          <w:i w:val="0"/>
          <w:color w:val="auto"/>
          <w:sz w:val="22"/>
          <w:szCs w:val="22"/>
        </w:rPr>
        <w:t xml:space="preserve"> those trained on the LIG occurrence data.</w:t>
      </w:r>
    </w:p>
    <w:p w:rsidR="00B35E8D" w:rsidRDefault="00B35E8D" w:rsidP="00B35E8D">
      <w:pPr>
        <w:pStyle w:val="Caption"/>
        <w:keepNext/>
        <w:jc w:val="center"/>
      </w:pPr>
      <w:r>
        <w:rPr>
          <w:noProof/>
        </w:rPr>
        <w:lastRenderedPageBreak/>
        <w:drawing>
          <wp:inline distT="0" distB="0" distL="0" distR="0">
            <wp:extent cx="5276354" cy="8639597"/>
            <wp:effectExtent l="0" t="0" r="63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CP4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6354" cy="8639597"/>
                    </a:xfrm>
                    <a:prstGeom prst="rect">
                      <a:avLst/>
                    </a:prstGeom>
                  </pic:spPr>
                </pic:pic>
              </a:graphicData>
            </a:graphic>
          </wp:inline>
        </w:drawing>
      </w:r>
    </w:p>
    <w:p w:rsidR="00B35E8D" w:rsidRPr="00C01D7E" w:rsidRDefault="00B35E8D" w:rsidP="00C01D7E">
      <w:pPr>
        <w:pStyle w:val="Caption"/>
        <w:jc w:val="both"/>
        <w:rPr>
          <w:i w:val="0"/>
          <w:color w:val="auto"/>
          <w:sz w:val="22"/>
          <w:szCs w:val="22"/>
        </w:rPr>
      </w:pPr>
      <w:r w:rsidRPr="00C01D7E">
        <w:rPr>
          <w:i w:val="0"/>
          <w:color w:val="auto"/>
          <w:sz w:val="22"/>
          <w:szCs w:val="22"/>
        </w:rPr>
        <w:t xml:space="preserve">Figure SM </w:t>
      </w:r>
      <w:r w:rsidRPr="00C01D7E">
        <w:rPr>
          <w:i w:val="0"/>
          <w:color w:val="auto"/>
          <w:sz w:val="22"/>
          <w:szCs w:val="22"/>
        </w:rPr>
        <w:fldChar w:fldCharType="begin"/>
      </w:r>
      <w:r w:rsidRPr="00C01D7E">
        <w:rPr>
          <w:i w:val="0"/>
          <w:color w:val="auto"/>
          <w:sz w:val="22"/>
          <w:szCs w:val="22"/>
        </w:rPr>
        <w:instrText xml:space="preserve"> SEQ Figure_SM \* ARABIC </w:instrText>
      </w:r>
      <w:r w:rsidRPr="00C01D7E">
        <w:rPr>
          <w:i w:val="0"/>
          <w:color w:val="auto"/>
          <w:sz w:val="22"/>
          <w:szCs w:val="22"/>
        </w:rPr>
        <w:fldChar w:fldCharType="separate"/>
      </w:r>
      <w:r w:rsidR="006C03E0">
        <w:rPr>
          <w:i w:val="0"/>
          <w:noProof/>
          <w:color w:val="auto"/>
          <w:sz w:val="22"/>
          <w:szCs w:val="22"/>
        </w:rPr>
        <w:t>19</w:t>
      </w:r>
      <w:r w:rsidRPr="00C01D7E">
        <w:rPr>
          <w:i w:val="0"/>
          <w:color w:val="auto"/>
          <w:sz w:val="22"/>
          <w:szCs w:val="22"/>
        </w:rPr>
        <w:fldChar w:fldCharType="end"/>
      </w:r>
      <w:r w:rsidRPr="00C01D7E">
        <w:rPr>
          <w:i w:val="0"/>
          <w:color w:val="auto"/>
          <w:sz w:val="22"/>
          <w:szCs w:val="22"/>
        </w:rPr>
        <w:t>.</w:t>
      </w:r>
      <w:r w:rsidR="00C01D7E" w:rsidRPr="00C01D7E">
        <w:rPr>
          <w:i w:val="0"/>
          <w:color w:val="auto"/>
          <w:sz w:val="22"/>
          <w:szCs w:val="22"/>
        </w:rPr>
        <w:t xml:space="preserve"> Combined binary habitability maps for RCP4.5 </w:t>
      </w:r>
      <w:r w:rsidR="00920762" w:rsidRPr="00C01D7E">
        <w:rPr>
          <w:i w:val="0"/>
          <w:color w:val="auto"/>
          <w:sz w:val="22"/>
        </w:rPr>
        <w:t xml:space="preserve">using </w:t>
      </w:r>
      <w:r w:rsidR="00920762">
        <w:rPr>
          <w:i w:val="0"/>
          <w:color w:val="auto"/>
          <w:sz w:val="22"/>
        </w:rPr>
        <w:t xml:space="preserve">the </w:t>
      </w:r>
      <w:r w:rsidR="00920762" w:rsidRPr="00C01D7E">
        <w:rPr>
          <w:i w:val="0"/>
          <w:color w:val="auto"/>
          <w:sz w:val="22"/>
        </w:rPr>
        <w:t xml:space="preserve">three </w:t>
      </w:r>
      <w:r w:rsidR="00920762">
        <w:rPr>
          <w:i w:val="0"/>
          <w:color w:val="auto"/>
          <w:sz w:val="22"/>
        </w:rPr>
        <w:t>binary thresholds</w:t>
      </w:r>
      <w:r w:rsidR="00920762" w:rsidRPr="00C01D7E">
        <w:rPr>
          <w:i w:val="0"/>
          <w:color w:val="auto"/>
          <w:sz w:val="22"/>
        </w:rPr>
        <w:t xml:space="preserve"> (</w:t>
      </w:r>
      <w:r w:rsidR="00920762">
        <w:rPr>
          <w:i w:val="0"/>
          <w:color w:val="auto"/>
          <w:sz w:val="22"/>
        </w:rPr>
        <w:t>5LPT, 10LPT, and 20LPT</w:t>
      </w:r>
      <w:r w:rsidR="00C01D7E" w:rsidRPr="00C01D7E">
        <w:rPr>
          <w:i w:val="0"/>
          <w:color w:val="auto"/>
          <w:sz w:val="22"/>
          <w:szCs w:val="22"/>
        </w:rPr>
        <w:t xml:space="preserve">). The blue indicates unsuitable cells, whilst grey and yellow indicate suitable habitats. Specifically, grey illustrates </w:t>
      </w:r>
      <w:r w:rsidR="00C01D7E" w:rsidRPr="00C01D7E">
        <w:rPr>
          <w:i w:val="0"/>
          <w:color w:val="auto"/>
          <w:sz w:val="22"/>
          <w:szCs w:val="22"/>
        </w:rPr>
        <w:lastRenderedPageBreak/>
        <w:t xml:space="preserve">habitable cells predicted by the modern occurrence trained models, </w:t>
      </w:r>
      <w:r w:rsidR="00EA390F" w:rsidRPr="00C01D7E">
        <w:rPr>
          <w:i w:val="0"/>
          <w:color w:val="auto"/>
          <w:sz w:val="22"/>
          <w:szCs w:val="22"/>
        </w:rPr>
        <w:t>whilst yellow highlights</w:t>
      </w:r>
      <w:r w:rsidR="00920762">
        <w:rPr>
          <w:i w:val="0"/>
          <w:color w:val="auto"/>
          <w:sz w:val="22"/>
          <w:szCs w:val="22"/>
        </w:rPr>
        <w:t xml:space="preserve"> additional cells predicted</w:t>
      </w:r>
      <w:r w:rsidR="00EA390F">
        <w:rPr>
          <w:i w:val="0"/>
          <w:color w:val="auto"/>
          <w:sz w:val="22"/>
          <w:szCs w:val="22"/>
        </w:rPr>
        <w:t xml:space="preserve"> for</w:t>
      </w:r>
      <w:r w:rsidR="00EA390F" w:rsidRPr="00C01D7E">
        <w:rPr>
          <w:i w:val="0"/>
          <w:color w:val="auto"/>
          <w:sz w:val="22"/>
          <w:szCs w:val="22"/>
        </w:rPr>
        <w:t xml:space="preserve"> those trained on the LIG occurrence data.</w:t>
      </w:r>
    </w:p>
    <w:p w:rsidR="00B35E8D" w:rsidRDefault="00B35E8D" w:rsidP="00B35E8D">
      <w:pPr>
        <w:pStyle w:val="Caption"/>
        <w:keepNext/>
        <w:jc w:val="center"/>
      </w:pPr>
      <w:r>
        <w:rPr>
          <w:noProof/>
        </w:rPr>
        <w:lastRenderedPageBreak/>
        <w:drawing>
          <wp:inline distT="0" distB="0" distL="0" distR="0">
            <wp:extent cx="5276354" cy="8639597"/>
            <wp:effectExtent l="0" t="0" r="63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CP85.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6354" cy="8639597"/>
                    </a:xfrm>
                    <a:prstGeom prst="rect">
                      <a:avLst/>
                    </a:prstGeom>
                  </pic:spPr>
                </pic:pic>
              </a:graphicData>
            </a:graphic>
          </wp:inline>
        </w:drawing>
      </w:r>
    </w:p>
    <w:p w:rsidR="00D64C59" w:rsidRPr="00B10F29" w:rsidRDefault="00B35E8D" w:rsidP="00C01D7E">
      <w:pPr>
        <w:pStyle w:val="Caption"/>
        <w:jc w:val="both"/>
        <w:rPr>
          <w:i w:val="0"/>
          <w:color w:val="auto"/>
          <w:sz w:val="22"/>
          <w:szCs w:val="22"/>
        </w:rPr>
      </w:pPr>
      <w:r w:rsidRPr="00C01D7E">
        <w:rPr>
          <w:i w:val="0"/>
          <w:color w:val="auto"/>
          <w:sz w:val="22"/>
          <w:szCs w:val="22"/>
        </w:rPr>
        <w:t xml:space="preserve">Figure SM </w:t>
      </w:r>
      <w:r w:rsidRPr="00C01D7E">
        <w:rPr>
          <w:i w:val="0"/>
          <w:color w:val="auto"/>
          <w:sz w:val="22"/>
          <w:szCs w:val="22"/>
        </w:rPr>
        <w:fldChar w:fldCharType="begin"/>
      </w:r>
      <w:r w:rsidRPr="00C01D7E">
        <w:rPr>
          <w:i w:val="0"/>
          <w:color w:val="auto"/>
          <w:sz w:val="22"/>
          <w:szCs w:val="22"/>
        </w:rPr>
        <w:instrText xml:space="preserve"> SEQ Figure_SM \* ARABIC </w:instrText>
      </w:r>
      <w:r w:rsidRPr="00C01D7E">
        <w:rPr>
          <w:i w:val="0"/>
          <w:color w:val="auto"/>
          <w:sz w:val="22"/>
          <w:szCs w:val="22"/>
        </w:rPr>
        <w:fldChar w:fldCharType="separate"/>
      </w:r>
      <w:r w:rsidR="006C03E0">
        <w:rPr>
          <w:i w:val="0"/>
          <w:noProof/>
          <w:color w:val="auto"/>
          <w:sz w:val="22"/>
          <w:szCs w:val="22"/>
        </w:rPr>
        <w:t>20</w:t>
      </w:r>
      <w:r w:rsidRPr="00C01D7E">
        <w:rPr>
          <w:i w:val="0"/>
          <w:color w:val="auto"/>
          <w:sz w:val="22"/>
          <w:szCs w:val="22"/>
        </w:rPr>
        <w:fldChar w:fldCharType="end"/>
      </w:r>
      <w:r w:rsidRPr="00C01D7E">
        <w:rPr>
          <w:i w:val="0"/>
          <w:color w:val="auto"/>
          <w:sz w:val="22"/>
          <w:szCs w:val="22"/>
        </w:rPr>
        <w:t xml:space="preserve">. </w:t>
      </w:r>
      <w:r w:rsidR="00C01D7E" w:rsidRPr="00C01D7E">
        <w:rPr>
          <w:i w:val="0"/>
          <w:color w:val="auto"/>
          <w:sz w:val="22"/>
          <w:szCs w:val="22"/>
        </w:rPr>
        <w:t>Combined b</w:t>
      </w:r>
      <w:r w:rsidR="00C01D7E">
        <w:rPr>
          <w:i w:val="0"/>
          <w:color w:val="auto"/>
          <w:sz w:val="22"/>
          <w:szCs w:val="22"/>
        </w:rPr>
        <w:t xml:space="preserve">inary habitability maps for RCP8.5 </w:t>
      </w:r>
      <w:r w:rsidR="00920762" w:rsidRPr="00C01D7E">
        <w:rPr>
          <w:i w:val="0"/>
          <w:color w:val="auto"/>
          <w:sz w:val="22"/>
        </w:rPr>
        <w:t xml:space="preserve">using </w:t>
      </w:r>
      <w:r w:rsidR="00920762">
        <w:rPr>
          <w:i w:val="0"/>
          <w:color w:val="auto"/>
          <w:sz w:val="22"/>
        </w:rPr>
        <w:t xml:space="preserve">the </w:t>
      </w:r>
      <w:r w:rsidR="00920762" w:rsidRPr="00C01D7E">
        <w:rPr>
          <w:i w:val="0"/>
          <w:color w:val="auto"/>
          <w:sz w:val="22"/>
        </w:rPr>
        <w:t xml:space="preserve">three </w:t>
      </w:r>
      <w:r w:rsidR="00920762">
        <w:rPr>
          <w:i w:val="0"/>
          <w:color w:val="auto"/>
          <w:sz w:val="22"/>
        </w:rPr>
        <w:t>binary thresholds</w:t>
      </w:r>
      <w:r w:rsidR="00920762" w:rsidRPr="00C01D7E">
        <w:rPr>
          <w:i w:val="0"/>
          <w:color w:val="auto"/>
          <w:sz w:val="22"/>
        </w:rPr>
        <w:t xml:space="preserve"> (</w:t>
      </w:r>
      <w:r w:rsidR="00920762">
        <w:rPr>
          <w:i w:val="0"/>
          <w:color w:val="auto"/>
          <w:sz w:val="22"/>
        </w:rPr>
        <w:t>5LPT, 10LPT, and 20LPT</w:t>
      </w:r>
      <w:r w:rsidR="00C01D7E" w:rsidRPr="00C01D7E">
        <w:rPr>
          <w:i w:val="0"/>
          <w:color w:val="auto"/>
          <w:sz w:val="22"/>
          <w:szCs w:val="22"/>
        </w:rPr>
        <w:t xml:space="preserve">). The blue indicates unsuitable cells, whilst grey and yellow indicate suitable habitats. Specifically, grey illustrates </w:t>
      </w:r>
      <w:r w:rsidR="00C01D7E" w:rsidRPr="00C01D7E">
        <w:rPr>
          <w:i w:val="0"/>
          <w:color w:val="auto"/>
          <w:sz w:val="22"/>
          <w:szCs w:val="22"/>
        </w:rPr>
        <w:lastRenderedPageBreak/>
        <w:t xml:space="preserve">habitable cells predicted by the modern occurrence trained models, </w:t>
      </w:r>
      <w:r w:rsidR="00EA390F" w:rsidRPr="00C01D7E">
        <w:rPr>
          <w:i w:val="0"/>
          <w:color w:val="auto"/>
          <w:sz w:val="22"/>
          <w:szCs w:val="22"/>
        </w:rPr>
        <w:t>whilst yellow highlights</w:t>
      </w:r>
      <w:r w:rsidR="00920762">
        <w:rPr>
          <w:i w:val="0"/>
          <w:color w:val="auto"/>
          <w:sz w:val="22"/>
          <w:szCs w:val="22"/>
        </w:rPr>
        <w:t xml:space="preserve"> additional cells predicted </w:t>
      </w:r>
      <w:r w:rsidR="00EA390F">
        <w:rPr>
          <w:i w:val="0"/>
          <w:color w:val="auto"/>
          <w:sz w:val="22"/>
          <w:szCs w:val="22"/>
        </w:rPr>
        <w:t>for</w:t>
      </w:r>
      <w:r w:rsidR="00EA390F" w:rsidRPr="00C01D7E">
        <w:rPr>
          <w:i w:val="0"/>
          <w:color w:val="auto"/>
          <w:sz w:val="22"/>
          <w:szCs w:val="22"/>
        </w:rPr>
        <w:t xml:space="preserve"> those trained on the LIG occurrence data.</w:t>
      </w:r>
      <w:r>
        <w:rPr>
          <w:i w:val="0"/>
          <w:color w:val="auto"/>
          <w:sz w:val="22"/>
          <w:szCs w:val="22"/>
        </w:rPr>
        <w:br w:type="page"/>
      </w:r>
    </w:p>
    <w:p w:rsidR="00D64C59" w:rsidRDefault="00D64C59" w:rsidP="00D64C59">
      <w:pPr>
        <w:keepNext/>
        <w:jc w:val="center"/>
      </w:pPr>
      <w:r>
        <w:rPr>
          <w:b/>
          <w:noProof/>
        </w:rPr>
        <w:lastRenderedPageBreak/>
        <w:drawing>
          <wp:inline distT="0" distB="0" distL="0" distR="0">
            <wp:extent cx="4977997" cy="864000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dern_Summary.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77997" cy="8640000"/>
                    </a:xfrm>
                    <a:prstGeom prst="rect">
                      <a:avLst/>
                    </a:prstGeom>
                  </pic:spPr>
                </pic:pic>
              </a:graphicData>
            </a:graphic>
          </wp:inline>
        </w:drawing>
      </w:r>
    </w:p>
    <w:p w:rsidR="00D64C59" w:rsidRPr="00D64C59" w:rsidRDefault="00D64C59" w:rsidP="00D64C59">
      <w:pPr>
        <w:pStyle w:val="Caption"/>
        <w:jc w:val="both"/>
        <w:rPr>
          <w:b/>
          <w:i w:val="0"/>
          <w:color w:val="auto"/>
          <w:sz w:val="22"/>
          <w:lang w:eastAsia="en-US"/>
        </w:rPr>
      </w:pPr>
      <w:bookmarkStart w:id="8" w:name="_Ref525302462"/>
      <w:r w:rsidRPr="00D64C59">
        <w:rPr>
          <w:i w:val="0"/>
          <w:color w:val="auto"/>
          <w:sz w:val="22"/>
        </w:rPr>
        <w:t xml:space="preserve">Figure SM </w:t>
      </w:r>
      <w:r w:rsidRPr="00D64C59">
        <w:rPr>
          <w:i w:val="0"/>
          <w:color w:val="auto"/>
          <w:sz w:val="22"/>
        </w:rPr>
        <w:fldChar w:fldCharType="begin"/>
      </w:r>
      <w:r w:rsidRPr="00D64C59">
        <w:rPr>
          <w:i w:val="0"/>
          <w:color w:val="auto"/>
          <w:sz w:val="22"/>
        </w:rPr>
        <w:instrText xml:space="preserve"> SEQ Figure_SM \* ARABIC </w:instrText>
      </w:r>
      <w:r w:rsidRPr="00D64C59">
        <w:rPr>
          <w:i w:val="0"/>
          <w:color w:val="auto"/>
          <w:sz w:val="22"/>
        </w:rPr>
        <w:fldChar w:fldCharType="separate"/>
      </w:r>
      <w:r w:rsidR="006C03E0">
        <w:rPr>
          <w:i w:val="0"/>
          <w:noProof/>
          <w:color w:val="auto"/>
          <w:sz w:val="22"/>
        </w:rPr>
        <w:t>21</w:t>
      </w:r>
      <w:r w:rsidRPr="00D64C59">
        <w:rPr>
          <w:i w:val="0"/>
          <w:color w:val="auto"/>
          <w:sz w:val="22"/>
        </w:rPr>
        <w:fldChar w:fldCharType="end"/>
      </w:r>
      <w:bookmarkEnd w:id="8"/>
      <w:r w:rsidRPr="00D64C59">
        <w:rPr>
          <w:i w:val="0"/>
          <w:color w:val="auto"/>
          <w:sz w:val="22"/>
        </w:rPr>
        <w:t>. Clamping masks for</w:t>
      </w:r>
      <w:r>
        <w:rPr>
          <w:i w:val="0"/>
          <w:color w:val="auto"/>
          <w:sz w:val="22"/>
        </w:rPr>
        <w:t xml:space="preserve"> modern trained</w:t>
      </w:r>
      <w:r w:rsidRPr="00D64C59">
        <w:rPr>
          <w:i w:val="0"/>
          <w:color w:val="auto"/>
          <w:sz w:val="22"/>
        </w:rPr>
        <w:t xml:space="preserve"> </w:t>
      </w:r>
      <w:r>
        <w:rPr>
          <w:i w:val="0"/>
          <w:color w:val="auto"/>
          <w:sz w:val="22"/>
        </w:rPr>
        <w:t xml:space="preserve">predictions. </w:t>
      </w:r>
      <w:r w:rsidRPr="00D64C59">
        <w:rPr>
          <w:i w:val="0"/>
          <w:color w:val="auto"/>
          <w:sz w:val="22"/>
        </w:rPr>
        <w:t>These masks identify locations where predictions are uncertain as the values of environmental variables are outside the ran</w:t>
      </w:r>
      <w:r w:rsidR="00C5148A">
        <w:rPr>
          <w:i w:val="0"/>
          <w:color w:val="auto"/>
          <w:sz w:val="22"/>
        </w:rPr>
        <w:t xml:space="preserve">ge used for model calibration. </w:t>
      </w:r>
      <w:r>
        <w:rPr>
          <w:i w:val="0"/>
          <w:color w:val="auto"/>
          <w:sz w:val="22"/>
        </w:rPr>
        <w:t xml:space="preserve">The values </w:t>
      </w:r>
      <w:r w:rsidR="00D57C04">
        <w:rPr>
          <w:i w:val="0"/>
          <w:color w:val="auto"/>
          <w:sz w:val="22"/>
        </w:rPr>
        <w:t>indicated by these</w:t>
      </w:r>
      <w:r>
        <w:rPr>
          <w:i w:val="0"/>
          <w:color w:val="auto"/>
          <w:sz w:val="22"/>
        </w:rPr>
        <w:t xml:space="preserve"> masks relates to the number of variables outside the calibration range. </w:t>
      </w:r>
    </w:p>
    <w:p w:rsidR="00D64C59" w:rsidRDefault="00D64C59" w:rsidP="00D64C59">
      <w:pPr>
        <w:keepNext/>
        <w:jc w:val="center"/>
      </w:pPr>
      <w:r>
        <w:rPr>
          <w:b/>
          <w:noProof/>
        </w:rPr>
        <w:lastRenderedPageBreak/>
        <w:drawing>
          <wp:inline distT="0" distB="0" distL="0" distR="0">
            <wp:extent cx="4995036" cy="86400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odern_Summary.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995036" cy="8640000"/>
                    </a:xfrm>
                    <a:prstGeom prst="rect">
                      <a:avLst/>
                    </a:prstGeom>
                  </pic:spPr>
                </pic:pic>
              </a:graphicData>
            </a:graphic>
          </wp:inline>
        </w:drawing>
      </w:r>
    </w:p>
    <w:p w:rsidR="00D64C59" w:rsidRPr="00D64C59" w:rsidRDefault="00D64C59" w:rsidP="00D64C59">
      <w:pPr>
        <w:pStyle w:val="Caption"/>
        <w:jc w:val="both"/>
        <w:rPr>
          <w:i w:val="0"/>
          <w:color w:val="auto"/>
          <w:sz w:val="22"/>
          <w:szCs w:val="22"/>
        </w:rPr>
      </w:pPr>
      <w:r w:rsidRPr="00D64C59">
        <w:rPr>
          <w:i w:val="0"/>
          <w:color w:val="auto"/>
          <w:sz w:val="22"/>
          <w:szCs w:val="22"/>
        </w:rPr>
        <w:t xml:space="preserve">Figure SM </w:t>
      </w:r>
      <w:r w:rsidRPr="00D64C59">
        <w:rPr>
          <w:i w:val="0"/>
          <w:color w:val="auto"/>
          <w:sz w:val="22"/>
          <w:szCs w:val="22"/>
        </w:rPr>
        <w:fldChar w:fldCharType="begin"/>
      </w:r>
      <w:r w:rsidRPr="00D64C59">
        <w:rPr>
          <w:i w:val="0"/>
          <w:color w:val="auto"/>
          <w:sz w:val="22"/>
          <w:szCs w:val="22"/>
        </w:rPr>
        <w:instrText xml:space="preserve"> SEQ Figure_SM \* ARABIC </w:instrText>
      </w:r>
      <w:r w:rsidRPr="00D64C59">
        <w:rPr>
          <w:i w:val="0"/>
          <w:color w:val="auto"/>
          <w:sz w:val="22"/>
          <w:szCs w:val="22"/>
        </w:rPr>
        <w:fldChar w:fldCharType="separate"/>
      </w:r>
      <w:r w:rsidR="006C03E0">
        <w:rPr>
          <w:i w:val="0"/>
          <w:noProof/>
          <w:color w:val="auto"/>
          <w:sz w:val="22"/>
          <w:szCs w:val="22"/>
        </w:rPr>
        <w:t>22</w:t>
      </w:r>
      <w:r w:rsidRPr="00D64C59">
        <w:rPr>
          <w:i w:val="0"/>
          <w:color w:val="auto"/>
          <w:sz w:val="22"/>
          <w:szCs w:val="22"/>
        </w:rPr>
        <w:fldChar w:fldCharType="end"/>
      </w:r>
      <w:r w:rsidRPr="00D64C59">
        <w:rPr>
          <w:i w:val="0"/>
          <w:color w:val="auto"/>
          <w:sz w:val="22"/>
          <w:szCs w:val="22"/>
        </w:rPr>
        <w:t xml:space="preserve">. Clamping masks for </w:t>
      </w:r>
      <w:r w:rsidR="00D57C04">
        <w:rPr>
          <w:i w:val="0"/>
          <w:color w:val="auto"/>
          <w:sz w:val="22"/>
          <w:szCs w:val="22"/>
        </w:rPr>
        <w:t>LIG</w:t>
      </w:r>
      <w:r w:rsidRPr="00D64C59">
        <w:rPr>
          <w:i w:val="0"/>
          <w:color w:val="auto"/>
          <w:sz w:val="22"/>
          <w:szCs w:val="22"/>
        </w:rPr>
        <w:t xml:space="preserve"> trained predictions. These masks identify locations where predictions are uncertain as the values of environmental variables are outside the ran</w:t>
      </w:r>
      <w:r w:rsidR="00C5148A">
        <w:rPr>
          <w:i w:val="0"/>
          <w:color w:val="auto"/>
          <w:sz w:val="22"/>
          <w:szCs w:val="22"/>
        </w:rPr>
        <w:t xml:space="preserve">ge used for model calibration. </w:t>
      </w:r>
      <w:r w:rsidRPr="00D64C59">
        <w:rPr>
          <w:i w:val="0"/>
          <w:color w:val="auto"/>
          <w:sz w:val="22"/>
          <w:szCs w:val="22"/>
        </w:rPr>
        <w:t xml:space="preserve">The values </w:t>
      </w:r>
      <w:r w:rsidR="00D57C04">
        <w:rPr>
          <w:i w:val="0"/>
          <w:color w:val="auto"/>
          <w:sz w:val="22"/>
          <w:szCs w:val="22"/>
        </w:rPr>
        <w:t xml:space="preserve">indicated by </w:t>
      </w:r>
      <w:r w:rsidRPr="00D64C59">
        <w:rPr>
          <w:i w:val="0"/>
          <w:color w:val="auto"/>
          <w:sz w:val="22"/>
          <w:szCs w:val="22"/>
        </w:rPr>
        <w:t>these masks relates to the number of variables outside the calibration range.</w:t>
      </w:r>
    </w:p>
    <w:p w:rsidR="00FB662A" w:rsidRDefault="00FB662A" w:rsidP="004C39C0">
      <w:pPr>
        <w:keepNext/>
        <w:jc w:val="center"/>
      </w:pPr>
      <w:r>
        <w:rPr>
          <w:b/>
          <w:noProof/>
        </w:rPr>
        <w:lastRenderedPageBreak/>
        <w:drawing>
          <wp:inline distT="0" distB="0" distL="0" distR="0">
            <wp:extent cx="5139679" cy="3420000"/>
            <wp:effectExtent l="0" t="0" r="444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th.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139679" cy="3420000"/>
                    </a:xfrm>
                    <a:prstGeom prst="rect">
                      <a:avLst/>
                    </a:prstGeom>
                  </pic:spPr>
                </pic:pic>
              </a:graphicData>
            </a:graphic>
          </wp:inline>
        </w:drawing>
      </w:r>
    </w:p>
    <w:p w:rsidR="00AD4A66" w:rsidRPr="004C39C0" w:rsidRDefault="00FB662A" w:rsidP="004C39C0">
      <w:pPr>
        <w:pStyle w:val="Caption"/>
        <w:jc w:val="both"/>
        <w:rPr>
          <w:b/>
          <w:i w:val="0"/>
          <w:color w:val="auto"/>
          <w:sz w:val="22"/>
          <w:szCs w:val="22"/>
          <w:lang w:eastAsia="en-US"/>
        </w:rPr>
      </w:pPr>
      <w:r w:rsidRPr="004C39C0">
        <w:rPr>
          <w:i w:val="0"/>
          <w:color w:val="auto"/>
          <w:sz w:val="22"/>
          <w:szCs w:val="22"/>
        </w:rPr>
        <w:t xml:space="preserve">Figure SM </w:t>
      </w:r>
      <w:r w:rsidRPr="004C39C0">
        <w:rPr>
          <w:i w:val="0"/>
          <w:color w:val="auto"/>
          <w:sz w:val="22"/>
          <w:szCs w:val="22"/>
        </w:rPr>
        <w:fldChar w:fldCharType="begin"/>
      </w:r>
      <w:r w:rsidRPr="004C39C0">
        <w:rPr>
          <w:i w:val="0"/>
          <w:color w:val="auto"/>
          <w:sz w:val="22"/>
          <w:szCs w:val="22"/>
        </w:rPr>
        <w:instrText xml:space="preserve"> SEQ Figure_SM \* ARABIC </w:instrText>
      </w:r>
      <w:r w:rsidRPr="004C39C0">
        <w:rPr>
          <w:i w:val="0"/>
          <w:color w:val="auto"/>
          <w:sz w:val="22"/>
          <w:szCs w:val="22"/>
        </w:rPr>
        <w:fldChar w:fldCharType="separate"/>
      </w:r>
      <w:r w:rsidR="00F33892">
        <w:rPr>
          <w:i w:val="0"/>
          <w:noProof/>
          <w:color w:val="auto"/>
          <w:sz w:val="22"/>
          <w:szCs w:val="22"/>
        </w:rPr>
        <w:t>23</w:t>
      </w:r>
      <w:r w:rsidRPr="004C39C0">
        <w:rPr>
          <w:i w:val="0"/>
          <w:color w:val="auto"/>
          <w:sz w:val="22"/>
          <w:szCs w:val="22"/>
        </w:rPr>
        <w:fldChar w:fldCharType="end"/>
      </w:r>
      <w:r w:rsidR="004C39C0" w:rsidRPr="004C39C0">
        <w:rPr>
          <w:i w:val="0"/>
          <w:color w:val="auto"/>
          <w:sz w:val="22"/>
          <w:szCs w:val="22"/>
        </w:rPr>
        <w:t xml:space="preserve">. Binned latitudinal habitability for 5LPT. In this instance, habitability is the sum of cells designated </w:t>
      </w:r>
      <w:r w:rsidR="00B03966">
        <w:rPr>
          <w:i w:val="0"/>
          <w:color w:val="auto"/>
          <w:sz w:val="22"/>
          <w:szCs w:val="22"/>
        </w:rPr>
        <w:t>as habitable by all three model classes</w:t>
      </w:r>
      <w:r w:rsidR="004C39C0" w:rsidRPr="004C39C0">
        <w:rPr>
          <w:i w:val="0"/>
          <w:color w:val="auto"/>
          <w:sz w:val="22"/>
          <w:szCs w:val="22"/>
        </w:rPr>
        <w:t xml:space="preserve"> within 5° latitudinal bins. Solid black line indicates output trained on the modern occurrence dataset, whilst the dashed line indicates output trained on the LIG occurrence dataset. The dashed red line represents the combined outputs.</w:t>
      </w:r>
      <w:r w:rsidR="0016487E">
        <w:rPr>
          <w:i w:val="0"/>
          <w:color w:val="auto"/>
          <w:sz w:val="22"/>
          <w:szCs w:val="22"/>
        </w:rPr>
        <w:t xml:space="preserve"> </w:t>
      </w:r>
      <w:r w:rsidR="0016487E" w:rsidRPr="0016487E">
        <w:rPr>
          <w:i w:val="0"/>
          <w:color w:val="auto"/>
          <w:sz w:val="22"/>
          <w:szCs w:val="22"/>
        </w:rPr>
        <w:t>Grey shaded area represents the extent of the tropics in the pres</w:t>
      </w:r>
      <w:r w:rsidR="001639A8">
        <w:rPr>
          <w:i w:val="0"/>
          <w:color w:val="auto"/>
          <w:sz w:val="22"/>
          <w:szCs w:val="22"/>
        </w:rPr>
        <w:t>ent day. Dashed lines indicate</w:t>
      </w:r>
      <w:r w:rsidR="0016487E" w:rsidRPr="0016487E">
        <w:rPr>
          <w:i w:val="0"/>
          <w:color w:val="auto"/>
          <w:sz w:val="22"/>
          <w:szCs w:val="22"/>
        </w:rPr>
        <w:t xml:space="preserve"> the equator, the Northern Tropic, and the Southern Tropic.  </w:t>
      </w:r>
    </w:p>
    <w:p w:rsidR="00FB662A" w:rsidRDefault="00FB662A" w:rsidP="00FB662A">
      <w:pPr>
        <w:keepNext/>
        <w:jc w:val="center"/>
      </w:pPr>
      <w:r>
        <w:rPr>
          <w:noProof/>
        </w:rPr>
        <w:drawing>
          <wp:inline distT="0" distB="0" distL="0" distR="0">
            <wp:extent cx="5167206" cy="3420000"/>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0t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67206" cy="3420000"/>
                    </a:xfrm>
                    <a:prstGeom prst="rect">
                      <a:avLst/>
                    </a:prstGeom>
                  </pic:spPr>
                </pic:pic>
              </a:graphicData>
            </a:graphic>
          </wp:inline>
        </w:drawing>
      </w:r>
    </w:p>
    <w:p w:rsidR="00FB662A" w:rsidRPr="004C39C0" w:rsidRDefault="00FB662A" w:rsidP="004C39C0">
      <w:pPr>
        <w:pStyle w:val="Caption"/>
        <w:jc w:val="both"/>
        <w:rPr>
          <w:i w:val="0"/>
          <w:color w:val="auto"/>
          <w:sz w:val="22"/>
          <w:szCs w:val="22"/>
          <w:lang w:eastAsia="en-US"/>
        </w:rPr>
      </w:pPr>
      <w:r w:rsidRPr="004C39C0">
        <w:rPr>
          <w:i w:val="0"/>
          <w:color w:val="auto"/>
          <w:sz w:val="22"/>
          <w:szCs w:val="22"/>
        </w:rPr>
        <w:t xml:space="preserve">Figure SM </w:t>
      </w:r>
      <w:r w:rsidRPr="004C39C0">
        <w:rPr>
          <w:i w:val="0"/>
          <w:color w:val="auto"/>
          <w:sz w:val="22"/>
          <w:szCs w:val="22"/>
        </w:rPr>
        <w:fldChar w:fldCharType="begin"/>
      </w:r>
      <w:r w:rsidRPr="004C39C0">
        <w:rPr>
          <w:i w:val="0"/>
          <w:color w:val="auto"/>
          <w:sz w:val="22"/>
          <w:szCs w:val="22"/>
        </w:rPr>
        <w:instrText xml:space="preserve"> SEQ Figure_SM \* ARABIC </w:instrText>
      </w:r>
      <w:r w:rsidRPr="004C39C0">
        <w:rPr>
          <w:i w:val="0"/>
          <w:color w:val="auto"/>
          <w:sz w:val="22"/>
          <w:szCs w:val="22"/>
        </w:rPr>
        <w:fldChar w:fldCharType="separate"/>
      </w:r>
      <w:r w:rsidR="006C03E0">
        <w:rPr>
          <w:i w:val="0"/>
          <w:noProof/>
          <w:color w:val="auto"/>
          <w:sz w:val="22"/>
          <w:szCs w:val="22"/>
        </w:rPr>
        <w:t>24</w:t>
      </w:r>
      <w:r w:rsidRPr="004C39C0">
        <w:rPr>
          <w:i w:val="0"/>
          <w:color w:val="auto"/>
          <w:sz w:val="22"/>
          <w:szCs w:val="22"/>
        </w:rPr>
        <w:fldChar w:fldCharType="end"/>
      </w:r>
      <w:r w:rsidR="004C39C0" w:rsidRPr="004C39C0">
        <w:rPr>
          <w:i w:val="0"/>
          <w:color w:val="auto"/>
          <w:sz w:val="22"/>
          <w:szCs w:val="22"/>
        </w:rPr>
        <w:t>. Binned latitudinal habitability</w:t>
      </w:r>
      <w:r w:rsidR="004C39C0">
        <w:rPr>
          <w:i w:val="0"/>
          <w:color w:val="auto"/>
          <w:sz w:val="22"/>
          <w:szCs w:val="22"/>
        </w:rPr>
        <w:t xml:space="preserve"> for 10</w:t>
      </w:r>
      <w:r w:rsidR="004C39C0" w:rsidRPr="004C39C0">
        <w:rPr>
          <w:i w:val="0"/>
          <w:color w:val="auto"/>
          <w:sz w:val="22"/>
          <w:szCs w:val="22"/>
        </w:rPr>
        <w:t xml:space="preserve">LPT. In this instance, habitability is the sum of cells designated </w:t>
      </w:r>
      <w:r w:rsidR="00B03966">
        <w:rPr>
          <w:i w:val="0"/>
          <w:color w:val="auto"/>
          <w:sz w:val="22"/>
          <w:szCs w:val="22"/>
        </w:rPr>
        <w:t>as habitable by all three model classes</w:t>
      </w:r>
      <w:r w:rsidR="004C39C0" w:rsidRPr="004C39C0">
        <w:rPr>
          <w:i w:val="0"/>
          <w:color w:val="auto"/>
          <w:sz w:val="22"/>
          <w:szCs w:val="22"/>
        </w:rPr>
        <w:t xml:space="preserve"> within 5° latitudinal bins. Solid black line indicates output trained on the modern occurrence dataset, whilst the dashed line indicates output trained on the LIG occurrence dataset. The dashed red line represents the combined outputs.</w:t>
      </w:r>
      <w:r w:rsidR="0016487E">
        <w:rPr>
          <w:i w:val="0"/>
          <w:color w:val="auto"/>
          <w:sz w:val="22"/>
          <w:szCs w:val="22"/>
        </w:rPr>
        <w:t xml:space="preserve"> </w:t>
      </w:r>
      <w:r w:rsidR="0016487E" w:rsidRPr="0016487E">
        <w:rPr>
          <w:i w:val="0"/>
          <w:color w:val="auto"/>
          <w:sz w:val="22"/>
          <w:szCs w:val="22"/>
        </w:rPr>
        <w:t xml:space="preserve">Grey shaded area represents the extent of the tropics </w:t>
      </w:r>
      <w:r w:rsidR="001639A8">
        <w:rPr>
          <w:i w:val="0"/>
          <w:color w:val="auto"/>
          <w:sz w:val="22"/>
          <w:szCs w:val="22"/>
        </w:rPr>
        <w:t>in the present day. Dashed lines indicate</w:t>
      </w:r>
      <w:r w:rsidR="0016487E" w:rsidRPr="0016487E">
        <w:rPr>
          <w:i w:val="0"/>
          <w:color w:val="auto"/>
          <w:sz w:val="22"/>
          <w:szCs w:val="22"/>
        </w:rPr>
        <w:t xml:space="preserve"> the equator, the Northern Tropic, and the Southern Tropic.  </w:t>
      </w:r>
    </w:p>
    <w:p w:rsidR="00FB662A" w:rsidRDefault="00FB662A" w:rsidP="00FB662A">
      <w:pPr>
        <w:keepNext/>
        <w:jc w:val="center"/>
      </w:pPr>
      <w:r>
        <w:rPr>
          <w:noProof/>
        </w:rPr>
        <w:lastRenderedPageBreak/>
        <w:drawing>
          <wp:inline distT="0" distB="0" distL="0" distR="0">
            <wp:extent cx="5171545" cy="3420000"/>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th.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71545" cy="3420000"/>
                    </a:xfrm>
                    <a:prstGeom prst="rect">
                      <a:avLst/>
                    </a:prstGeom>
                  </pic:spPr>
                </pic:pic>
              </a:graphicData>
            </a:graphic>
          </wp:inline>
        </w:drawing>
      </w:r>
    </w:p>
    <w:p w:rsidR="004C39C0" w:rsidRPr="004C39C0" w:rsidRDefault="00FB662A" w:rsidP="004C39C0">
      <w:pPr>
        <w:pStyle w:val="Caption"/>
        <w:jc w:val="both"/>
        <w:rPr>
          <w:i w:val="0"/>
          <w:color w:val="auto"/>
          <w:sz w:val="22"/>
          <w:szCs w:val="22"/>
          <w:lang w:eastAsia="en-US"/>
        </w:rPr>
      </w:pPr>
      <w:r w:rsidRPr="004C39C0">
        <w:rPr>
          <w:i w:val="0"/>
          <w:color w:val="auto"/>
          <w:sz w:val="22"/>
          <w:szCs w:val="22"/>
        </w:rPr>
        <w:t xml:space="preserve">Figure SM </w:t>
      </w:r>
      <w:r w:rsidRPr="004C39C0">
        <w:rPr>
          <w:i w:val="0"/>
          <w:color w:val="auto"/>
          <w:sz w:val="22"/>
          <w:szCs w:val="22"/>
        </w:rPr>
        <w:fldChar w:fldCharType="begin"/>
      </w:r>
      <w:r w:rsidRPr="004C39C0">
        <w:rPr>
          <w:i w:val="0"/>
          <w:color w:val="auto"/>
          <w:sz w:val="22"/>
          <w:szCs w:val="22"/>
        </w:rPr>
        <w:instrText xml:space="preserve"> SEQ Figure_SM \* ARABIC </w:instrText>
      </w:r>
      <w:r w:rsidRPr="004C39C0">
        <w:rPr>
          <w:i w:val="0"/>
          <w:color w:val="auto"/>
          <w:sz w:val="22"/>
          <w:szCs w:val="22"/>
        </w:rPr>
        <w:fldChar w:fldCharType="separate"/>
      </w:r>
      <w:r w:rsidR="006C03E0">
        <w:rPr>
          <w:i w:val="0"/>
          <w:noProof/>
          <w:color w:val="auto"/>
          <w:sz w:val="22"/>
          <w:szCs w:val="22"/>
        </w:rPr>
        <w:t>25</w:t>
      </w:r>
      <w:r w:rsidRPr="004C39C0">
        <w:rPr>
          <w:i w:val="0"/>
          <w:color w:val="auto"/>
          <w:sz w:val="22"/>
          <w:szCs w:val="22"/>
        </w:rPr>
        <w:fldChar w:fldCharType="end"/>
      </w:r>
      <w:r w:rsidR="004C39C0" w:rsidRPr="004C39C0">
        <w:rPr>
          <w:i w:val="0"/>
          <w:color w:val="auto"/>
          <w:sz w:val="22"/>
          <w:szCs w:val="22"/>
        </w:rPr>
        <w:t>. Binned latitudinal habitability</w:t>
      </w:r>
      <w:r w:rsidR="004C39C0">
        <w:rPr>
          <w:i w:val="0"/>
          <w:color w:val="auto"/>
          <w:sz w:val="22"/>
          <w:szCs w:val="22"/>
        </w:rPr>
        <w:t xml:space="preserve"> for 2</w:t>
      </w:r>
      <w:r w:rsidR="004C39C0" w:rsidRPr="004C39C0">
        <w:rPr>
          <w:i w:val="0"/>
          <w:color w:val="auto"/>
          <w:sz w:val="22"/>
          <w:szCs w:val="22"/>
        </w:rPr>
        <w:t xml:space="preserve">0LPT. In this instance, habitability is the sum of cells designated </w:t>
      </w:r>
      <w:r w:rsidR="00E57427">
        <w:rPr>
          <w:i w:val="0"/>
          <w:color w:val="auto"/>
          <w:sz w:val="22"/>
          <w:szCs w:val="22"/>
        </w:rPr>
        <w:t>as habitable by all three model classes</w:t>
      </w:r>
      <w:r w:rsidR="004C39C0" w:rsidRPr="004C39C0">
        <w:rPr>
          <w:i w:val="0"/>
          <w:color w:val="auto"/>
          <w:sz w:val="22"/>
          <w:szCs w:val="22"/>
        </w:rPr>
        <w:t xml:space="preserve"> within 5° latitudinal bins. Solid black line indicates output trained on the modern occurrence dataset, whilst the dashed line indicates output trained on the LIG occurrence dataset. The dashed red line represents the combined outputs.</w:t>
      </w:r>
      <w:r w:rsidR="0016487E">
        <w:rPr>
          <w:i w:val="0"/>
          <w:color w:val="auto"/>
          <w:sz w:val="22"/>
          <w:szCs w:val="22"/>
        </w:rPr>
        <w:t xml:space="preserve"> </w:t>
      </w:r>
      <w:r w:rsidR="0016487E" w:rsidRPr="0016487E">
        <w:rPr>
          <w:i w:val="0"/>
          <w:color w:val="auto"/>
          <w:sz w:val="22"/>
          <w:szCs w:val="22"/>
        </w:rPr>
        <w:t>Grey shaded area represents the extent of the tropics in the present day. Dashed l</w:t>
      </w:r>
      <w:r w:rsidR="001639A8">
        <w:rPr>
          <w:i w:val="0"/>
          <w:color w:val="auto"/>
          <w:sz w:val="22"/>
          <w:szCs w:val="22"/>
        </w:rPr>
        <w:t>ines indicate</w:t>
      </w:r>
      <w:r w:rsidR="0016487E" w:rsidRPr="0016487E">
        <w:rPr>
          <w:i w:val="0"/>
          <w:color w:val="auto"/>
          <w:sz w:val="22"/>
          <w:szCs w:val="22"/>
        </w:rPr>
        <w:t xml:space="preserve"> the equator, the Northern Tropic, and the Southern Tropic.  </w:t>
      </w:r>
    </w:p>
    <w:p w:rsidR="00A90229" w:rsidRDefault="00E61E5A" w:rsidP="00E61E5A">
      <w:pPr>
        <w:pStyle w:val="Heading1"/>
      </w:pPr>
      <w:r>
        <w:t>References</w:t>
      </w:r>
    </w:p>
    <w:p w:rsidR="00842DA9" w:rsidRPr="00842DA9" w:rsidRDefault="00A90229" w:rsidP="00842DA9">
      <w:pPr>
        <w:pStyle w:val="EndNoteBibliography"/>
        <w:spacing w:after="0"/>
      </w:pPr>
      <w:r>
        <w:fldChar w:fldCharType="begin"/>
      </w:r>
      <w:r>
        <w:instrText xml:space="preserve"> ADDIN EN.REFLIST </w:instrText>
      </w:r>
      <w:r>
        <w:fldChar w:fldCharType="separate"/>
      </w:r>
      <w:r w:rsidR="00842DA9" w:rsidRPr="00842DA9">
        <w:t xml:space="preserve">[1] Flato, G., Marotzke, J., Abiodun, B., Braconnot, P., Chou, S., Collins, W., Cox, P.M., Driouech, F., Emori, S., Eyring, V., et al. 2013 Evaluation of Climate Models. In </w:t>
      </w:r>
      <w:r w:rsidR="00842DA9" w:rsidRPr="00842DA9">
        <w:rPr>
          <w:i/>
        </w:rPr>
        <w:t>Climate Change 2013: The Physical Science Basis. Contribution of Working Group I to the Fifth Assessment Report of the Intergovernmental Panel on Climate Change</w:t>
      </w:r>
      <w:r w:rsidR="00842DA9" w:rsidRPr="00842DA9">
        <w:t xml:space="preserve"> (eds. T. Qin, D. Plattner, M. Tignor, S. Allen, J. Boschung, A. Nauels, Y. Xia, V. Bex &amp; P. Midgley), pp. 741-866. Cambridge, UK, Cambridge University Press.</w:t>
      </w:r>
    </w:p>
    <w:p w:rsidR="00842DA9" w:rsidRPr="00842DA9" w:rsidRDefault="00842DA9" w:rsidP="00842DA9">
      <w:pPr>
        <w:pStyle w:val="EndNoteBibliography"/>
        <w:spacing w:after="0"/>
      </w:pPr>
      <w:r w:rsidRPr="00842DA9">
        <w:t xml:space="preserve">[2] Wiens, J.A., Stralberg, D., Jongsomjit, D., Howell, C.A. &amp; Snyder, M.A. 2009 Niches, models, and climate change: assessing the assumptions and uncertainties. </w:t>
      </w:r>
      <w:r w:rsidRPr="00842DA9">
        <w:rPr>
          <w:i/>
        </w:rPr>
        <w:t>Proc Natl Acad Sci U S A</w:t>
      </w:r>
      <w:r w:rsidRPr="00842DA9">
        <w:t xml:space="preserve"> </w:t>
      </w:r>
      <w:r w:rsidRPr="00842DA9">
        <w:rPr>
          <w:b/>
        </w:rPr>
        <w:t>106 Suppl 2</w:t>
      </w:r>
      <w:r w:rsidRPr="00842DA9">
        <w:t>, 19729-19736. (doi:10.1073/pnas.0901639106).</w:t>
      </w:r>
    </w:p>
    <w:p w:rsidR="00842DA9" w:rsidRPr="00842DA9" w:rsidRDefault="00842DA9" w:rsidP="00842DA9">
      <w:pPr>
        <w:pStyle w:val="EndNoteBibliography"/>
        <w:spacing w:after="0"/>
      </w:pPr>
      <w:r w:rsidRPr="00842DA9">
        <w:t xml:space="preserve">[3] Couce, E., Ridgwell, A. &amp; Hendy, E.J. 2012 Environmental controls on the global distribution of shallow-water coral reefs. </w:t>
      </w:r>
      <w:r w:rsidRPr="00842DA9">
        <w:rPr>
          <w:i/>
        </w:rPr>
        <w:t>Journal of Biogeography</w:t>
      </w:r>
      <w:r w:rsidRPr="00842DA9">
        <w:t xml:space="preserve"> </w:t>
      </w:r>
      <w:r w:rsidRPr="00842DA9">
        <w:rPr>
          <w:b/>
        </w:rPr>
        <w:t>39</w:t>
      </w:r>
      <w:r w:rsidRPr="00842DA9">
        <w:t>, 1508-1523. (doi:10.1111/j.1365-2699.2012.02706.x).</w:t>
      </w:r>
    </w:p>
    <w:p w:rsidR="00842DA9" w:rsidRPr="00842DA9" w:rsidRDefault="00842DA9" w:rsidP="00842DA9">
      <w:pPr>
        <w:pStyle w:val="EndNoteBibliography"/>
        <w:spacing w:after="0"/>
      </w:pPr>
      <w:r w:rsidRPr="00842DA9">
        <w:t xml:space="preserve">[4] van Vuuren, D.P., Edmonds, J., Kainuma, M., Riahi, K., Thomson, A., Hibbard, K., Hurtt, G.C., Kram, T., Krey, V., Lamarque, J.-F., et al. 2011 The representative concentration pathways: an overview. </w:t>
      </w:r>
      <w:r w:rsidRPr="00842DA9">
        <w:rPr>
          <w:i/>
        </w:rPr>
        <w:t>Climatic Change</w:t>
      </w:r>
      <w:r w:rsidRPr="00842DA9">
        <w:t xml:space="preserve"> </w:t>
      </w:r>
      <w:r w:rsidRPr="00842DA9">
        <w:rPr>
          <w:b/>
        </w:rPr>
        <w:t>109</w:t>
      </w:r>
      <w:r w:rsidRPr="00842DA9">
        <w:t>, 5-31. (doi:10.1007/s10584-011-0148-z).</w:t>
      </w:r>
    </w:p>
    <w:p w:rsidR="00842DA9" w:rsidRPr="00842DA9" w:rsidRDefault="00842DA9" w:rsidP="00842DA9">
      <w:pPr>
        <w:pStyle w:val="EndNoteBibliography"/>
        <w:spacing w:after="0"/>
      </w:pPr>
      <w:r w:rsidRPr="00842DA9">
        <w:t xml:space="preserve">[5] Riahi, K., Rao, S., Krey, V., Cho, C., Chirkov, V., Fischer, G., Kindermann, G., Nakicenovic, N. &amp; Rafaj, P. 2011 RCP 8.5—A scenario of comparatively high greenhouse gas emissions. </w:t>
      </w:r>
      <w:r w:rsidRPr="00842DA9">
        <w:rPr>
          <w:i/>
        </w:rPr>
        <w:t>Climatic Change</w:t>
      </w:r>
      <w:r w:rsidRPr="00842DA9">
        <w:t xml:space="preserve"> </w:t>
      </w:r>
      <w:r w:rsidRPr="00842DA9">
        <w:rPr>
          <w:b/>
        </w:rPr>
        <w:t>109</w:t>
      </w:r>
      <w:r w:rsidRPr="00842DA9">
        <w:t>, 33-57. (doi:10.1007/s10584-011-0149-y).</w:t>
      </w:r>
    </w:p>
    <w:p w:rsidR="00842DA9" w:rsidRPr="00842DA9" w:rsidRDefault="00842DA9" w:rsidP="00842DA9">
      <w:pPr>
        <w:pStyle w:val="EndNoteBibliography"/>
        <w:spacing w:after="0"/>
      </w:pPr>
      <w:r w:rsidRPr="00842DA9">
        <w:t xml:space="preserve">[6] Thomson, A.M., Calvin, K.V., Smith, S.J., Kyle, G.P., Volke, A., Patel, P., Delgado-Arias, S., Bond-Lamberty, B., Wise, M.A., Clarke, L.E., et al. 2011 RCP4.5: a pathway for stabilization of radiative forcing by 2100. </w:t>
      </w:r>
      <w:r w:rsidRPr="00842DA9">
        <w:rPr>
          <w:i/>
        </w:rPr>
        <w:t>Climatic Change</w:t>
      </w:r>
      <w:r w:rsidRPr="00842DA9">
        <w:t xml:space="preserve"> </w:t>
      </w:r>
      <w:r w:rsidRPr="00842DA9">
        <w:rPr>
          <w:b/>
        </w:rPr>
        <w:t>109</w:t>
      </w:r>
      <w:r w:rsidRPr="00842DA9">
        <w:t>, 77-94. (doi:10.1007/s10584-011-0151-4).</w:t>
      </w:r>
    </w:p>
    <w:p w:rsidR="00842DA9" w:rsidRPr="00842DA9" w:rsidRDefault="00842DA9" w:rsidP="00842DA9">
      <w:pPr>
        <w:pStyle w:val="EndNoteBibliography"/>
        <w:spacing w:after="0"/>
      </w:pPr>
      <w:r w:rsidRPr="00842DA9">
        <w:t xml:space="preserve">[7] Clark, P.U. &amp; Huybers, P. 2009 Interglacial and future sea level. </w:t>
      </w:r>
      <w:r w:rsidRPr="00842DA9">
        <w:rPr>
          <w:i/>
        </w:rPr>
        <w:t>Nature</w:t>
      </w:r>
      <w:r w:rsidRPr="00842DA9">
        <w:t xml:space="preserve"> </w:t>
      </w:r>
      <w:r w:rsidRPr="00842DA9">
        <w:rPr>
          <w:b/>
        </w:rPr>
        <w:t>462</w:t>
      </w:r>
      <w:r w:rsidRPr="00842DA9">
        <w:t>, 856-857. (doi:10.1029/2009gl040222).</w:t>
      </w:r>
    </w:p>
    <w:p w:rsidR="00842DA9" w:rsidRPr="00842DA9" w:rsidRDefault="00842DA9" w:rsidP="00842DA9">
      <w:pPr>
        <w:pStyle w:val="EndNoteBibliography"/>
        <w:spacing w:after="0"/>
      </w:pPr>
      <w:r w:rsidRPr="00842DA9">
        <w:t xml:space="preserve">[8] McKay, N.P., Overpeck, J.T. &amp; Otto-Bliesner, B.L. 2011 The role of ocean thermal expansion in Last Interglacial sea level rise. </w:t>
      </w:r>
      <w:r w:rsidRPr="00842DA9">
        <w:rPr>
          <w:i/>
        </w:rPr>
        <w:t>Geophysical Research Letters</w:t>
      </w:r>
      <w:r w:rsidRPr="00842DA9">
        <w:t xml:space="preserve"> </w:t>
      </w:r>
      <w:r w:rsidRPr="00842DA9">
        <w:rPr>
          <w:b/>
        </w:rPr>
        <w:t>38</w:t>
      </w:r>
      <w:r w:rsidRPr="00842DA9">
        <w:t>, n/a-n/a. (doi:10.1029/2011gl048280).</w:t>
      </w:r>
    </w:p>
    <w:p w:rsidR="00842DA9" w:rsidRPr="00842DA9" w:rsidRDefault="00842DA9" w:rsidP="00842DA9">
      <w:pPr>
        <w:pStyle w:val="EndNoteBibliography"/>
        <w:spacing w:after="0"/>
      </w:pPr>
      <w:r w:rsidRPr="00842DA9">
        <w:t xml:space="preserve">[9] Dutton, A. &amp; Lambeck, K. 2012 Ice Volume and Sea Level During the Last Interglacial. </w:t>
      </w:r>
      <w:r w:rsidRPr="00842DA9">
        <w:rPr>
          <w:i/>
        </w:rPr>
        <w:t>Science</w:t>
      </w:r>
      <w:r w:rsidRPr="00842DA9">
        <w:t xml:space="preserve"> </w:t>
      </w:r>
      <w:r w:rsidRPr="00842DA9">
        <w:rPr>
          <w:b/>
        </w:rPr>
        <w:t>337</w:t>
      </w:r>
      <w:r w:rsidRPr="00842DA9">
        <w:t>, 216-219.</w:t>
      </w:r>
    </w:p>
    <w:p w:rsidR="00842DA9" w:rsidRPr="00842DA9" w:rsidRDefault="00842DA9" w:rsidP="00842DA9">
      <w:pPr>
        <w:pStyle w:val="EndNoteBibliography"/>
        <w:spacing w:after="0"/>
      </w:pPr>
      <w:r w:rsidRPr="00842DA9">
        <w:t xml:space="preserve">[10] Stirling, C.H., Esat, T., Lambeck, K. &amp; McCulloch, M.T. 1998 Timing and duration of the Last Interglacial: evidence for a restricted interval of widespread coral reef growth. </w:t>
      </w:r>
      <w:r w:rsidRPr="00842DA9">
        <w:rPr>
          <w:i/>
        </w:rPr>
        <w:t>Earth and Planetary Science Letters</w:t>
      </w:r>
      <w:r w:rsidRPr="00842DA9">
        <w:t xml:space="preserve"> </w:t>
      </w:r>
      <w:r w:rsidRPr="00842DA9">
        <w:rPr>
          <w:b/>
        </w:rPr>
        <w:t>160</w:t>
      </w:r>
      <w:r w:rsidRPr="00842DA9">
        <w:t>, 745-762.</w:t>
      </w:r>
    </w:p>
    <w:p w:rsidR="00842DA9" w:rsidRPr="00842DA9" w:rsidRDefault="00842DA9" w:rsidP="00842DA9">
      <w:pPr>
        <w:pStyle w:val="EndNoteBibliography"/>
        <w:spacing w:after="0"/>
      </w:pPr>
      <w:r w:rsidRPr="00842DA9">
        <w:lastRenderedPageBreak/>
        <w:t>[11] Veeh, H.H. 1966 Th</w:t>
      </w:r>
      <w:r w:rsidRPr="00842DA9">
        <w:rPr>
          <w:vertAlign w:val="superscript"/>
        </w:rPr>
        <w:t>230</w:t>
      </w:r>
      <w:r w:rsidRPr="00842DA9">
        <w:t>/U</w:t>
      </w:r>
      <w:r w:rsidRPr="00842DA9">
        <w:rPr>
          <w:vertAlign w:val="superscript"/>
        </w:rPr>
        <w:t>238</w:t>
      </w:r>
      <w:r w:rsidRPr="00842DA9">
        <w:t xml:space="preserve"> and U</w:t>
      </w:r>
      <w:r w:rsidRPr="00842DA9">
        <w:rPr>
          <w:vertAlign w:val="superscript"/>
        </w:rPr>
        <w:t>234</w:t>
      </w:r>
      <w:r w:rsidRPr="00842DA9">
        <w:t>/U</w:t>
      </w:r>
      <w:r w:rsidRPr="00842DA9">
        <w:rPr>
          <w:vertAlign w:val="superscript"/>
        </w:rPr>
        <w:t>238</w:t>
      </w:r>
      <w:r w:rsidRPr="00842DA9">
        <w:t xml:space="preserve"> ages of Pleistocene high sea level stand. </w:t>
      </w:r>
      <w:r w:rsidRPr="00842DA9">
        <w:rPr>
          <w:i/>
        </w:rPr>
        <w:t>Journal of Geophysical Research</w:t>
      </w:r>
      <w:r w:rsidRPr="00842DA9">
        <w:t xml:space="preserve"> </w:t>
      </w:r>
      <w:r w:rsidRPr="00842DA9">
        <w:rPr>
          <w:b/>
        </w:rPr>
        <w:t>71</w:t>
      </w:r>
      <w:r w:rsidRPr="00842DA9">
        <w:t>, 3379-3386.</w:t>
      </w:r>
    </w:p>
    <w:p w:rsidR="00842DA9" w:rsidRPr="00842DA9" w:rsidRDefault="00842DA9" w:rsidP="00842DA9">
      <w:pPr>
        <w:pStyle w:val="EndNoteBibliography"/>
      </w:pPr>
      <w:r w:rsidRPr="00842DA9">
        <w:t>[12] Jiang, L.Q. &amp; Feely, R.A. 2015 Aragonite saturation state gridded to 1x1 degree latitude and longitude at depth levels of 0, 50, 100, 200, 500, 1000, 2000, 3000, and 4000 meters in the global oceans (NCEI Accession 0139360). Version 1.1.  (NOAA National Centers for Environmental Information. .</w:t>
      </w:r>
    </w:p>
    <w:p w:rsidR="00A90229" w:rsidRPr="00A90229" w:rsidRDefault="00A90229" w:rsidP="0016487E">
      <w:pPr>
        <w:pStyle w:val="EndNoteBibliography"/>
        <w:jc w:val="both"/>
      </w:pPr>
      <w:r>
        <w:fldChar w:fldCharType="end"/>
      </w:r>
    </w:p>
    <w:sectPr w:rsidR="00A90229" w:rsidRPr="00A90229" w:rsidSect="00BA140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4CD6" w:rsidRDefault="00DA4CD6" w:rsidP="00A90229">
      <w:pPr>
        <w:spacing w:after="0" w:line="240" w:lineRule="auto"/>
      </w:pPr>
      <w:r>
        <w:separator/>
      </w:r>
    </w:p>
  </w:endnote>
  <w:endnote w:type="continuationSeparator" w:id="0">
    <w:p w:rsidR="00DA4CD6" w:rsidRDefault="00DA4CD6" w:rsidP="00A902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r w:rsidRPr="00FE5101">
      <w:t xml:space="preserve">Page </w:t>
    </w:r>
    <w:r w:rsidRPr="00FE5101">
      <w:fldChar w:fldCharType="begin"/>
    </w:r>
    <w:r w:rsidRPr="00FE5101">
      <w:instrText xml:space="preserve"> PAGE  \* MERGEFORMAT </w:instrText>
    </w:r>
    <w:r w:rsidRPr="00FE5101">
      <w:fldChar w:fldCharType="separate"/>
    </w:r>
    <w:r w:rsidRPr="00FE5101">
      <w:rPr>
        <w:noProof/>
      </w:rPr>
      <w:t>1</w:t>
    </w:r>
    <w:r w:rsidRPr="00FE5101">
      <w:fldChar w:fldCharType="end"/>
    </w:r>
    <w:r w:rsidRPr="00FE5101">
      <w:t xml:space="preserve"> of </w:t>
    </w:r>
    <w:r>
      <w:rPr>
        <w:noProof/>
      </w:rPr>
      <w:fldChar w:fldCharType="begin"/>
    </w:r>
    <w:r>
      <w:rPr>
        <w:noProof/>
      </w:rPr>
      <w:instrText xml:space="preserve"> NUMPAGES  \* MERGEFORMAT </w:instrText>
    </w:r>
    <w:r>
      <w:rPr>
        <w:noProof/>
      </w:rPr>
      <w:fldChar w:fldCharType="separate"/>
    </w:r>
    <w:r>
      <w:rPr>
        <w:noProof/>
      </w:rPr>
      <w:t>19</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4CD6" w:rsidRDefault="00DA4CD6" w:rsidP="00A90229">
      <w:pPr>
        <w:spacing w:after="0" w:line="240" w:lineRule="auto"/>
      </w:pPr>
      <w:r>
        <w:separator/>
      </w:r>
    </w:p>
  </w:footnote>
  <w:footnote w:type="continuationSeparator" w:id="0">
    <w:p w:rsidR="00DA4CD6" w:rsidRDefault="00DA4CD6" w:rsidP="00A902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FE5101" w:rsidRDefault="001520B8" w:rsidP="00BE4C6A">
    <w:pPr>
      <w:jc w:val="center"/>
    </w:pPr>
    <w:r w:rsidRPr="00FE5101">
      <w:t>Publisher: GSA</w:t>
    </w:r>
  </w:p>
  <w:p w:rsidR="001520B8" w:rsidRPr="00FE5101" w:rsidRDefault="001520B8" w:rsidP="00BE4C6A">
    <w:pPr>
      <w:jc w:val="center"/>
    </w:pPr>
    <w:r w:rsidRPr="00FE5101">
      <w:t>Journal: GEOL: Geology</w:t>
    </w:r>
  </w:p>
  <w:p w:rsidR="001520B8" w:rsidRPr="00FE5101" w:rsidRDefault="001520B8" w:rsidP="00BE4C6A">
    <w:pPr>
      <w:jc w:val="center"/>
    </w:pPr>
    <w:r w:rsidRPr="00FE5101">
      <w:t>Article ID: Template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5B9" w:rsidRDefault="005B35B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20B8" w:rsidRPr="00A90229" w:rsidRDefault="001520B8" w:rsidP="00D76D2A">
    <w:pPr>
      <w:jc w:val="both"/>
      <w:rPr>
        <w:b/>
        <w:bCs/>
        <w:sz w:val="28"/>
      </w:rPr>
    </w:pPr>
    <w:r w:rsidRPr="00A90229">
      <w:rPr>
        <w:b/>
        <w:bCs/>
        <w:sz w:val="28"/>
      </w:rPr>
      <w:t>Coupling of palaeontological and neonto</w:t>
    </w:r>
    <w:r w:rsidR="000C7291">
      <w:rPr>
        <w:b/>
        <w:bCs/>
        <w:sz w:val="28"/>
      </w:rPr>
      <w:t xml:space="preserve">logical reef coral data </w:t>
    </w:r>
    <w:r w:rsidR="000C7291">
      <w:rPr>
        <w:b/>
        <w:bCs/>
        <w:sz w:val="28"/>
      </w:rPr>
      <w:t>improve</w:t>
    </w:r>
    <w:r w:rsidR="005B35B9">
      <w:rPr>
        <w:b/>
        <w:bCs/>
        <w:sz w:val="28"/>
      </w:rPr>
      <w:t>s</w:t>
    </w:r>
    <w:bookmarkStart w:id="2" w:name="_GoBack"/>
    <w:bookmarkEnd w:id="2"/>
    <w:r w:rsidRPr="00A90229">
      <w:rPr>
        <w:b/>
        <w:bCs/>
        <w:sz w:val="28"/>
      </w:rPr>
      <w:t xml:space="preserve"> forecasts of biodiversity responses under global climatic change </w:t>
    </w:r>
  </w:p>
  <w:p w:rsidR="001520B8" w:rsidRPr="00D76D2A" w:rsidRDefault="001520B8" w:rsidP="00D76D2A">
    <w:pPr>
      <w:jc w:val="both"/>
      <w:rPr>
        <w:sz w:val="20"/>
      </w:rPr>
    </w:pPr>
    <w:r w:rsidRPr="00D76D2A">
      <w:rPr>
        <w:sz w:val="20"/>
      </w:rPr>
      <w:t>Lewis A. Jones, Philip D. Mannion, Alexander Farnsworth, Paul J. Valdes, Sarah-Jane Kelland, and Peter A. Allison</w:t>
    </w:r>
  </w:p>
  <w:p w:rsidR="001520B8" w:rsidRPr="00D76D2A" w:rsidRDefault="001520B8" w:rsidP="00D76D2A">
    <w:pPr>
      <w:pBdr>
        <w:bottom w:val="single" w:sz="4" w:space="1" w:color="auto"/>
      </w:pBdr>
      <w:jc w:val="both"/>
      <w:rPr>
        <w:color w:val="C00000"/>
        <w:sz w:val="20"/>
      </w:rPr>
    </w:pPr>
    <w:r w:rsidRPr="00D76D2A">
      <w:rPr>
        <w:bCs/>
        <w:sz w:val="20"/>
      </w:rPr>
      <w:t xml:space="preserve">Author for correspondence: </w:t>
    </w:r>
    <w:hyperlink r:id="rId1" w:history="1">
      <w:r w:rsidRPr="00D76D2A">
        <w:rPr>
          <w:rStyle w:val="Hyperlink"/>
          <w:sz w:val="20"/>
        </w:rPr>
        <w:t>l.jones16@imperial.ac.uk</w:t>
      </w:r>
    </w:hyperlink>
  </w:p>
  <w:p w:rsidR="001520B8" w:rsidRDefault="001520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DE71169"/>
    <w:multiLevelType w:val="hybridMultilevel"/>
    <w:tmpl w:val="914ED62E"/>
    <w:lvl w:ilvl="0" w:tplc="10DAF37C">
      <w:start w:val="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1FA43BB"/>
    <w:multiLevelType w:val="hybridMultilevel"/>
    <w:tmpl w:val="D6D64CE4"/>
    <w:lvl w:ilvl="0" w:tplc="96800FF6">
      <w:start w:val="6"/>
      <w:numFmt w:val="bullet"/>
      <w:lvlText w:val="-"/>
      <w:lvlJc w:val="left"/>
      <w:pPr>
        <w:ind w:left="720" w:hanging="360"/>
      </w:pPr>
      <w:rPr>
        <w:rFonts w:ascii="Calibri" w:eastAsiaTheme="minorEastAsia"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 Soc B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zfwspr9dwerfpeedrp5sfrtrz2fwxdz2909&quot;&gt;All References&lt;record-ids&gt;&lt;item&gt;705&lt;/item&gt;&lt;item&gt;748&lt;/item&gt;&lt;item&gt;786&lt;/item&gt;&lt;item&gt;824&lt;/item&gt;&lt;item&gt;825&lt;/item&gt;&lt;item&gt;827&lt;/item&gt;&lt;item&gt;828&lt;/item&gt;&lt;item&gt;840&lt;/item&gt;&lt;item&gt;848&lt;/item&gt;&lt;item&gt;859&lt;/item&gt;&lt;item&gt;860&lt;/item&gt;&lt;item&gt;985&lt;/item&gt;&lt;/record-ids&gt;&lt;/item&gt;&lt;/Libraries&gt;"/>
  </w:docVars>
  <w:rsids>
    <w:rsidRoot w:val="00A90229"/>
    <w:rsid w:val="000054B5"/>
    <w:rsid w:val="00040D7C"/>
    <w:rsid w:val="00051E64"/>
    <w:rsid w:val="000706A3"/>
    <w:rsid w:val="000841C8"/>
    <w:rsid w:val="00094D4D"/>
    <w:rsid w:val="000C7291"/>
    <w:rsid w:val="000E70F6"/>
    <w:rsid w:val="000F42B7"/>
    <w:rsid w:val="0010269B"/>
    <w:rsid w:val="0013286D"/>
    <w:rsid w:val="00136F93"/>
    <w:rsid w:val="001470AE"/>
    <w:rsid w:val="00150D9F"/>
    <w:rsid w:val="001520B8"/>
    <w:rsid w:val="00152EBA"/>
    <w:rsid w:val="001639A8"/>
    <w:rsid w:val="0016487E"/>
    <w:rsid w:val="00180196"/>
    <w:rsid w:val="001833A4"/>
    <w:rsid w:val="0018799F"/>
    <w:rsid w:val="001974C4"/>
    <w:rsid w:val="001A2B9D"/>
    <w:rsid w:val="001B6F1F"/>
    <w:rsid w:val="00226FDA"/>
    <w:rsid w:val="0027694A"/>
    <w:rsid w:val="002A12FC"/>
    <w:rsid w:val="002A66BB"/>
    <w:rsid w:val="002D13BE"/>
    <w:rsid w:val="002E4778"/>
    <w:rsid w:val="002F5AD5"/>
    <w:rsid w:val="00314E17"/>
    <w:rsid w:val="00323B61"/>
    <w:rsid w:val="00330190"/>
    <w:rsid w:val="0035734E"/>
    <w:rsid w:val="00365964"/>
    <w:rsid w:val="003706A2"/>
    <w:rsid w:val="00373BD9"/>
    <w:rsid w:val="00374884"/>
    <w:rsid w:val="00396B77"/>
    <w:rsid w:val="003B09ED"/>
    <w:rsid w:val="003B1F81"/>
    <w:rsid w:val="003C05EF"/>
    <w:rsid w:val="003D7A06"/>
    <w:rsid w:val="0042213F"/>
    <w:rsid w:val="004270FD"/>
    <w:rsid w:val="004A135C"/>
    <w:rsid w:val="004B10E4"/>
    <w:rsid w:val="004C39C0"/>
    <w:rsid w:val="004D5108"/>
    <w:rsid w:val="004D66F4"/>
    <w:rsid w:val="004F0A74"/>
    <w:rsid w:val="00502DCA"/>
    <w:rsid w:val="00507F2C"/>
    <w:rsid w:val="00553495"/>
    <w:rsid w:val="005A1FFE"/>
    <w:rsid w:val="005A6E0F"/>
    <w:rsid w:val="005A7DA8"/>
    <w:rsid w:val="005B35B9"/>
    <w:rsid w:val="005E751B"/>
    <w:rsid w:val="005F7EA7"/>
    <w:rsid w:val="0061005E"/>
    <w:rsid w:val="0063767D"/>
    <w:rsid w:val="00640438"/>
    <w:rsid w:val="0065258B"/>
    <w:rsid w:val="00690FBE"/>
    <w:rsid w:val="006C03E0"/>
    <w:rsid w:val="006C054B"/>
    <w:rsid w:val="006C0E83"/>
    <w:rsid w:val="006C5E3A"/>
    <w:rsid w:val="006E014E"/>
    <w:rsid w:val="006E7EBE"/>
    <w:rsid w:val="006F62D1"/>
    <w:rsid w:val="0070587A"/>
    <w:rsid w:val="00721667"/>
    <w:rsid w:val="00754FBC"/>
    <w:rsid w:val="007821C6"/>
    <w:rsid w:val="007826A4"/>
    <w:rsid w:val="0079337D"/>
    <w:rsid w:val="007A6FDF"/>
    <w:rsid w:val="007D6654"/>
    <w:rsid w:val="007E3DD2"/>
    <w:rsid w:val="007F04E1"/>
    <w:rsid w:val="007F5F22"/>
    <w:rsid w:val="0080392B"/>
    <w:rsid w:val="00824543"/>
    <w:rsid w:val="008257B3"/>
    <w:rsid w:val="00842DA9"/>
    <w:rsid w:val="00850662"/>
    <w:rsid w:val="00851BEA"/>
    <w:rsid w:val="00877CE5"/>
    <w:rsid w:val="00881DA4"/>
    <w:rsid w:val="008918E0"/>
    <w:rsid w:val="008931F9"/>
    <w:rsid w:val="008A0BB4"/>
    <w:rsid w:val="008C02AC"/>
    <w:rsid w:val="008C33A5"/>
    <w:rsid w:val="008F42A1"/>
    <w:rsid w:val="009167F6"/>
    <w:rsid w:val="00920762"/>
    <w:rsid w:val="00936124"/>
    <w:rsid w:val="0094201D"/>
    <w:rsid w:val="00945DE6"/>
    <w:rsid w:val="009579C7"/>
    <w:rsid w:val="00960452"/>
    <w:rsid w:val="009B7F83"/>
    <w:rsid w:val="009C059C"/>
    <w:rsid w:val="009E5439"/>
    <w:rsid w:val="009E785C"/>
    <w:rsid w:val="00A020EB"/>
    <w:rsid w:val="00A313A1"/>
    <w:rsid w:val="00A34E30"/>
    <w:rsid w:val="00A37654"/>
    <w:rsid w:val="00A47114"/>
    <w:rsid w:val="00A6012B"/>
    <w:rsid w:val="00A60E75"/>
    <w:rsid w:val="00A63C52"/>
    <w:rsid w:val="00A73625"/>
    <w:rsid w:val="00A84D9C"/>
    <w:rsid w:val="00A90229"/>
    <w:rsid w:val="00A92480"/>
    <w:rsid w:val="00AC757A"/>
    <w:rsid w:val="00AD4A66"/>
    <w:rsid w:val="00AE7746"/>
    <w:rsid w:val="00B03966"/>
    <w:rsid w:val="00B10F29"/>
    <w:rsid w:val="00B14346"/>
    <w:rsid w:val="00B35E8D"/>
    <w:rsid w:val="00B40747"/>
    <w:rsid w:val="00B418AE"/>
    <w:rsid w:val="00B5409B"/>
    <w:rsid w:val="00B8053F"/>
    <w:rsid w:val="00BA140D"/>
    <w:rsid w:val="00BB14DA"/>
    <w:rsid w:val="00BE4C6A"/>
    <w:rsid w:val="00BF0792"/>
    <w:rsid w:val="00C01D7E"/>
    <w:rsid w:val="00C0674B"/>
    <w:rsid w:val="00C41FA3"/>
    <w:rsid w:val="00C42EA1"/>
    <w:rsid w:val="00C47293"/>
    <w:rsid w:val="00C5148A"/>
    <w:rsid w:val="00C525B3"/>
    <w:rsid w:val="00C679BC"/>
    <w:rsid w:val="00CB2128"/>
    <w:rsid w:val="00CB416E"/>
    <w:rsid w:val="00CC5979"/>
    <w:rsid w:val="00CD6EBD"/>
    <w:rsid w:val="00CE4561"/>
    <w:rsid w:val="00D1117E"/>
    <w:rsid w:val="00D131D8"/>
    <w:rsid w:val="00D14E23"/>
    <w:rsid w:val="00D36D99"/>
    <w:rsid w:val="00D47D73"/>
    <w:rsid w:val="00D57C04"/>
    <w:rsid w:val="00D60030"/>
    <w:rsid w:val="00D64C59"/>
    <w:rsid w:val="00D67257"/>
    <w:rsid w:val="00D76D2A"/>
    <w:rsid w:val="00D76F43"/>
    <w:rsid w:val="00D91B31"/>
    <w:rsid w:val="00DA4CD6"/>
    <w:rsid w:val="00DE2B73"/>
    <w:rsid w:val="00DE7C68"/>
    <w:rsid w:val="00E26AB8"/>
    <w:rsid w:val="00E57427"/>
    <w:rsid w:val="00E61E5A"/>
    <w:rsid w:val="00E63C3B"/>
    <w:rsid w:val="00E77A08"/>
    <w:rsid w:val="00E82931"/>
    <w:rsid w:val="00E97167"/>
    <w:rsid w:val="00EA390F"/>
    <w:rsid w:val="00EF2925"/>
    <w:rsid w:val="00F02C3F"/>
    <w:rsid w:val="00F2009D"/>
    <w:rsid w:val="00F33892"/>
    <w:rsid w:val="00F368F8"/>
    <w:rsid w:val="00F42068"/>
    <w:rsid w:val="00F61F63"/>
    <w:rsid w:val="00F71AE5"/>
    <w:rsid w:val="00F75743"/>
    <w:rsid w:val="00F80394"/>
    <w:rsid w:val="00F85D4B"/>
    <w:rsid w:val="00FA6F6E"/>
    <w:rsid w:val="00FB662A"/>
    <w:rsid w:val="00FF109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3C84A98-CC39-4A79-BB9A-5795BB259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D76D2A"/>
    <w:pPr>
      <w:keepNext/>
      <w:keepLines/>
      <w:spacing w:before="240" w:after="0" w:line="360" w:lineRule="auto"/>
      <w:outlineLvl w:val="0"/>
    </w:pPr>
    <w:rPr>
      <w:rFonts w:eastAsiaTheme="majorEastAsia" w:cstheme="majorBidi"/>
      <w:b/>
      <w:sz w:val="28"/>
      <w:szCs w:val="32"/>
      <w:lang w:eastAsia="en-US"/>
    </w:rPr>
  </w:style>
  <w:style w:type="paragraph" w:styleId="Heading2">
    <w:name w:val="heading 2"/>
    <w:basedOn w:val="Normal"/>
    <w:next w:val="Normal"/>
    <w:link w:val="Heading2Char"/>
    <w:uiPriority w:val="9"/>
    <w:unhideWhenUsed/>
    <w:qFormat/>
    <w:rsid w:val="00A90229"/>
    <w:pPr>
      <w:keepNext/>
      <w:keepLines/>
      <w:spacing w:before="160" w:after="120" w:line="360" w:lineRule="auto"/>
      <w:outlineLvl w:val="1"/>
    </w:pPr>
    <w:rPr>
      <w:rFonts w:eastAsiaTheme="majorEastAsia" w:cstheme="majorBidi"/>
      <w:b/>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90229"/>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A90229"/>
    <w:rPr>
      <w:color w:val="0563C1" w:themeColor="hyperlink"/>
      <w:u w:val="single"/>
    </w:rPr>
  </w:style>
  <w:style w:type="paragraph" w:styleId="Header">
    <w:name w:val="header"/>
    <w:basedOn w:val="Normal"/>
    <w:link w:val="HeaderChar"/>
    <w:uiPriority w:val="99"/>
    <w:unhideWhenUsed/>
    <w:rsid w:val="00A902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0229"/>
  </w:style>
  <w:style w:type="paragraph" w:styleId="Footer">
    <w:name w:val="footer"/>
    <w:basedOn w:val="Normal"/>
    <w:link w:val="FooterChar"/>
    <w:uiPriority w:val="99"/>
    <w:unhideWhenUsed/>
    <w:rsid w:val="00A902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0229"/>
  </w:style>
  <w:style w:type="character" w:customStyle="1" w:styleId="Heading1Char">
    <w:name w:val="Heading 1 Char"/>
    <w:basedOn w:val="DefaultParagraphFont"/>
    <w:link w:val="Heading1"/>
    <w:uiPriority w:val="9"/>
    <w:rsid w:val="00D76D2A"/>
    <w:rPr>
      <w:rFonts w:eastAsiaTheme="majorEastAsia" w:cstheme="majorBidi"/>
      <w:b/>
      <w:sz w:val="28"/>
      <w:szCs w:val="32"/>
      <w:lang w:eastAsia="en-US"/>
    </w:rPr>
  </w:style>
  <w:style w:type="character" w:customStyle="1" w:styleId="Heading2Char">
    <w:name w:val="Heading 2 Char"/>
    <w:basedOn w:val="DefaultParagraphFont"/>
    <w:link w:val="Heading2"/>
    <w:uiPriority w:val="9"/>
    <w:rsid w:val="00A90229"/>
    <w:rPr>
      <w:rFonts w:eastAsiaTheme="majorEastAsia" w:cstheme="majorBidi"/>
      <w:b/>
      <w:szCs w:val="26"/>
      <w:lang w:eastAsia="en-US"/>
    </w:rPr>
  </w:style>
  <w:style w:type="paragraph" w:customStyle="1" w:styleId="EndNoteBibliographyTitle">
    <w:name w:val="EndNote Bibliography Title"/>
    <w:basedOn w:val="Normal"/>
    <w:link w:val="EndNoteBibliographyTitleChar"/>
    <w:rsid w:val="00A9022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A90229"/>
    <w:rPr>
      <w:rFonts w:ascii="Calibri" w:hAnsi="Calibri"/>
      <w:noProof/>
    </w:rPr>
  </w:style>
  <w:style w:type="paragraph" w:customStyle="1" w:styleId="EndNoteBibliography">
    <w:name w:val="EndNote Bibliography"/>
    <w:basedOn w:val="Normal"/>
    <w:link w:val="EndNoteBibliographyChar"/>
    <w:rsid w:val="00A9022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A90229"/>
    <w:rPr>
      <w:rFonts w:ascii="Calibri" w:hAnsi="Calibri"/>
      <w:noProof/>
    </w:rPr>
  </w:style>
  <w:style w:type="table" w:styleId="GridTable2-Accent6">
    <w:name w:val="Grid Table 2 Accent 6"/>
    <w:basedOn w:val="TableNormal"/>
    <w:uiPriority w:val="47"/>
    <w:rsid w:val="00A90229"/>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Caption">
    <w:name w:val="caption"/>
    <w:basedOn w:val="Normal"/>
    <w:next w:val="Normal"/>
    <w:uiPriority w:val="35"/>
    <w:unhideWhenUsed/>
    <w:qFormat/>
    <w:rsid w:val="0070587A"/>
    <w:pPr>
      <w:spacing w:after="200" w:line="240" w:lineRule="auto"/>
    </w:pPr>
    <w:rPr>
      <w:i/>
      <w:iCs/>
      <w:color w:val="44546A" w:themeColor="text2"/>
      <w:sz w:val="18"/>
      <w:szCs w:val="18"/>
    </w:rPr>
  </w:style>
  <w:style w:type="paragraph" w:customStyle="1" w:styleId="Author">
    <w:name w:val="Author"/>
    <w:basedOn w:val="Normal"/>
    <w:rsid w:val="00E82931"/>
    <w:pPr>
      <w:spacing w:after="0" w:line="240" w:lineRule="auto"/>
    </w:pPr>
    <w:rPr>
      <w:rFonts w:ascii="Times New Roman" w:eastAsia="Times New Roman" w:hAnsi="Times New Roman" w:cs="Times New Roman"/>
      <w:b/>
      <w:sz w:val="24"/>
      <w:szCs w:val="24"/>
      <w:lang w:eastAsia="en-US"/>
    </w:rPr>
  </w:style>
  <w:style w:type="table" w:styleId="GridTable2-Accent1">
    <w:name w:val="Grid Table 2 Accent 1"/>
    <w:basedOn w:val="TableNormal"/>
    <w:uiPriority w:val="47"/>
    <w:rsid w:val="00BF0792"/>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ListParagraph">
    <w:name w:val="List Paragraph"/>
    <w:basedOn w:val="Normal"/>
    <w:uiPriority w:val="34"/>
    <w:qFormat/>
    <w:rsid w:val="00BF0792"/>
    <w:pPr>
      <w:ind w:left="720"/>
      <w:contextualSpacing/>
    </w:pPr>
  </w:style>
  <w:style w:type="character" w:styleId="FollowedHyperlink">
    <w:name w:val="FollowedHyperlink"/>
    <w:basedOn w:val="DefaultParagraphFont"/>
    <w:uiPriority w:val="99"/>
    <w:semiHidden/>
    <w:unhideWhenUsed/>
    <w:rsid w:val="00A020EB"/>
    <w:rPr>
      <w:color w:val="954F72"/>
      <w:u w:val="single"/>
    </w:rPr>
  </w:style>
  <w:style w:type="paragraph" w:customStyle="1" w:styleId="xl65">
    <w:name w:val="xl65"/>
    <w:basedOn w:val="Normal"/>
    <w:rsid w:val="00A020EB"/>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 w:type="paragraph" w:customStyle="1" w:styleId="xl66">
    <w:name w:val="xl66"/>
    <w:basedOn w:val="Normal"/>
    <w:rsid w:val="00A020EB"/>
    <w:pPr>
      <w:pBdr>
        <w:top w:val="single" w:sz="4" w:space="0" w:color="3F3F3F"/>
        <w:left w:val="single" w:sz="4" w:space="0" w:color="3F3F3F"/>
        <w:bottom w:val="single" w:sz="4" w:space="0" w:color="3F3F3F"/>
        <w:right w:val="single" w:sz="4" w:space="0" w:color="3F3F3F"/>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color w:val="3F3F3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306559">
      <w:bodyDiv w:val="1"/>
      <w:marLeft w:val="0"/>
      <w:marRight w:val="0"/>
      <w:marTop w:val="0"/>
      <w:marBottom w:val="0"/>
      <w:divBdr>
        <w:top w:val="none" w:sz="0" w:space="0" w:color="auto"/>
        <w:left w:val="none" w:sz="0" w:space="0" w:color="auto"/>
        <w:bottom w:val="none" w:sz="0" w:space="0" w:color="auto"/>
        <w:right w:val="none" w:sz="0" w:space="0" w:color="auto"/>
      </w:divBdr>
    </w:div>
    <w:div w:id="580912961">
      <w:bodyDiv w:val="1"/>
      <w:marLeft w:val="0"/>
      <w:marRight w:val="0"/>
      <w:marTop w:val="0"/>
      <w:marBottom w:val="0"/>
      <w:divBdr>
        <w:top w:val="none" w:sz="0" w:space="0" w:color="auto"/>
        <w:left w:val="none" w:sz="0" w:space="0" w:color="auto"/>
        <w:bottom w:val="none" w:sz="0" w:space="0" w:color="auto"/>
        <w:right w:val="none" w:sz="0" w:space="0" w:color="auto"/>
      </w:divBdr>
    </w:div>
    <w:div w:id="604465880">
      <w:bodyDiv w:val="1"/>
      <w:marLeft w:val="0"/>
      <w:marRight w:val="0"/>
      <w:marTop w:val="0"/>
      <w:marBottom w:val="0"/>
      <w:divBdr>
        <w:top w:val="none" w:sz="0" w:space="0" w:color="auto"/>
        <w:left w:val="none" w:sz="0" w:space="0" w:color="auto"/>
        <w:bottom w:val="none" w:sz="0" w:space="0" w:color="auto"/>
        <w:right w:val="none" w:sz="0" w:space="0" w:color="auto"/>
      </w:divBdr>
    </w:div>
    <w:div w:id="611788315">
      <w:bodyDiv w:val="1"/>
      <w:marLeft w:val="0"/>
      <w:marRight w:val="0"/>
      <w:marTop w:val="0"/>
      <w:marBottom w:val="0"/>
      <w:divBdr>
        <w:top w:val="none" w:sz="0" w:space="0" w:color="auto"/>
        <w:left w:val="none" w:sz="0" w:space="0" w:color="auto"/>
        <w:bottom w:val="none" w:sz="0" w:space="0" w:color="auto"/>
        <w:right w:val="none" w:sz="0" w:space="0" w:color="auto"/>
      </w:divBdr>
    </w:div>
    <w:div w:id="654143442">
      <w:bodyDiv w:val="1"/>
      <w:marLeft w:val="0"/>
      <w:marRight w:val="0"/>
      <w:marTop w:val="0"/>
      <w:marBottom w:val="0"/>
      <w:divBdr>
        <w:top w:val="none" w:sz="0" w:space="0" w:color="auto"/>
        <w:left w:val="none" w:sz="0" w:space="0" w:color="auto"/>
        <w:bottom w:val="none" w:sz="0" w:space="0" w:color="auto"/>
        <w:right w:val="none" w:sz="0" w:space="0" w:color="auto"/>
      </w:divBdr>
    </w:div>
    <w:div w:id="901448843">
      <w:bodyDiv w:val="1"/>
      <w:marLeft w:val="0"/>
      <w:marRight w:val="0"/>
      <w:marTop w:val="0"/>
      <w:marBottom w:val="0"/>
      <w:divBdr>
        <w:top w:val="none" w:sz="0" w:space="0" w:color="auto"/>
        <w:left w:val="none" w:sz="0" w:space="0" w:color="auto"/>
        <w:bottom w:val="none" w:sz="0" w:space="0" w:color="auto"/>
        <w:right w:val="none" w:sz="0" w:space="0" w:color="auto"/>
      </w:divBdr>
    </w:div>
    <w:div w:id="1307392560">
      <w:bodyDiv w:val="1"/>
      <w:marLeft w:val="0"/>
      <w:marRight w:val="0"/>
      <w:marTop w:val="0"/>
      <w:marBottom w:val="0"/>
      <w:divBdr>
        <w:top w:val="none" w:sz="0" w:space="0" w:color="auto"/>
        <w:left w:val="none" w:sz="0" w:space="0" w:color="auto"/>
        <w:bottom w:val="none" w:sz="0" w:space="0" w:color="auto"/>
        <w:right w:val="none" w:sz="0" w:space="0" w:color="auto"/>
      </w:divBdr>
    </w:div>
    <w:div w:id="1337421667">
      <w:bodyDiv w:val="1"/>
      <w:marLeft w:val="0"/>
      <w:marRight w:val="0"/>
      <w:marTop w:val="0"/>
      <w:marBottom w:val="0"/>
      <w:divBdr>
        <w:top w:val="none" w:sz="0" w:space="0" w:color="auto"/>
        <w:left w:val="none" w:sz="0" w:space="0" w:color="auto"/>
        <w:bottom w:val="none" w:sz="0" w:space="0" w:color="auto"/>
        <w:right w:val="none" w:sz="0" w:space="0" w:color="auto"/>
      </w:divBdr>
    </w:div>
    <w:div w:id="1524241516">
      <w:bodyDiv w:val="1"/>
      <w:marLeft w:val="0"/>
      <w:marRight w:val="0"/>
      <w:marTop w:val="0"/>
      <w:marBottom w:val="0"/>
      <w:divBdr>
        <w:top w:val="none" w:sz="0" w:space="0" w:color="auto"/>
        <w:left w:val="none" w:sz="0" w:space="0" w:color="auto"/>
        <w:bottom w:val="none" w:sz="0" w:space="0" w:color="auto"/>
        <w:right w:val="none" w:sz="0" w:space="0" w:color="auto"/>
      </w:divBdr>
    </w:div>
    <w:div w:id="1599631897">
      <w:bodyDiv w:val="1"/>
      <w:marLeft w:val="0"/>
      <w:marRight w:val="0"/>
      <w:marTop w:val="0"/>
      <w:marBottom w:val="0"/>
      <w:divBdr>
        <w:top w:val="none" w:sz="0" w:space="0" w:color="auto"/>
        <w:left w:val="none" w:sz="0" w:space="0" w:color="auto"/>
        <w:bottom w:val="none" w:sz="0" w:space="0" w:color="auto"/>
        <w:right w:val="none" w:sz="0" w:space="0" w:color="auto"/>
      </w:divBdr>
    </w:div>
    <w:div w:id="1717123052">
      <w:bodyDiv w:val="1"/>
      <w:marLeft w:val="0"/>
      <w:marRight w:val="0"/>
      <w:marTop w:val="0"/>
      <w:marBottom w:val="0"/>
      <w:divBdr>
        <w:top w:val="none" w:sz="0" w:space="0" w:color="auto"/>
        <w:left w:val="none" w:sz="0" w:space="0" w:color="auto"/>
        <w:bottom w:val="none" w:sz="0" w:space="0" w:color="auto"/>
        <w:right w:val="none" w:sz="0" w:space="0" w:color="auto"/>
      </w:divBdr>
    </w:div>
    <w:div w:id="1744598805">
      <w:bodyDiv w:val="1"/>
      <w:marLeft w:val="0"/>
      <w:marRight w:val="0"/>
      <w:marTop w:val="0"/>
      <w:marBottom w:val="0"/>
      <w:divBdr>
        <w:top w:val="none" w:sz="0" w:space="0" w:color="auto"/>
        <w:left w:val="none" w:sz="0" w:space="0" w:color="auto"/>
        <w:bottom w:val="none" w:sz="0" w:space="0" w:color="auto"/>
        <w:right w:val="none" w:sz="0" w:space="0" w:color="auto"/>
      </w:divBdr>
    </w:div>
    <w:div w:id="1894539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image" Target="media/image1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image" Target="media/image3.png"/><Relationship Id="rId19" Type="http://schemas.openxmlformats.org/officeDocument/2006/relationships/footer" Target="footer2.xml"/><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3.xml.rels><?xml version="1.0" encoding="UTF-8" standalone="yes"?>
<Relationships xmlns="http://schemas.openxmlformats.org/package/2006/relationships"><Relationship Id="rId1" Type="http://schemas.openxmlformats.org/officeDocument/2006/relationships/hyperlink" Target="mailto:l.jones16@imperial.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EA4AD-E70A-4081-8E78-C2A69F3B2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5311</Words>
  <Characters>30278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Imperial College London</Company>
  <LinksUpToDate>false</LinksUpToDate>
  <CharactersWithSpaces>35518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Lewis</dc:creator>
  <cp:keywords/>
  <dc:description/>
  <cp:lastModifiedBy>Jones, Lewis</cp:lastModifiedBy>
  <cp:revision>3</cp:revision>
  <dcterms:created xsi:type="dcterms:W3CDTF">2019-04-09T12:41:00Z</dcterms:created>
  <dcterms:modified xsi:type="dcterms:W3CDTF">2019-04-10T09:39:00Z</dcterms:modified>
</cp:coreProperties>
</file>