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7C" w:rsidRDefault="004F047C" w:rsidP="004F047C"/>
    <w:p w:rsidR="004F047C" w:rsidRPr="00D14C24" w:rsidRDefault="004F047C" w:rsidP="004F047C">
      <w:pPr>
        <w:spacing w:before="240" w:after="0" w:line="276" w:lineRule="auto"/>
        <w:rPr>
          <w:rFonts w:ascii="Arial" w:hAnsi="Arial" w:cs="Arial"/>
          <w:color w:val="333333"/>
          <w:shd w:val="clear" w:color="auto" w:fill="FFFFFF"/>
        </w:rPr>
      </w:pPr>
      <w:r w:rsidRPr="00D14C24">
        <w:rPr>
          <w:rFonts w:ascii="Arial" w:hAnsi="Arial" w:cs="Arial"/>
          <w:color w:val="333333"/>
          <w:shd w:val="clear" w:color="auto" w:fill="FFFFFF"/>
        </w:rPr>
        <w:t xml:space="preserve">Transitive inference in </w:t>
      </w:r>
      <w:proofErr w:type="spellStart"/>
      <w:r w:rsidRPr="00D14C24">
        <w:rPr>
          <w:rFonts w:ascii="Arial" w:hAnsi="Arial" w:cs="Arial"/>
          <w:i/>
          <w:color w:val="333333"/>
          <w:shd w:val="clear" w:color="auto" w:fill="FFFFFF"/>
        </w:rPr>
        <w:t>Polistes</w:t>
      </w:r>
      <w:proofErr w:type="spellEnd"/>
      <w:r w:rsidRPr="00D14C24">
        <w:rPr>
          <w:rFonts w:ascii="Arial" w:hAnsi="Arial" w:cs="Arial"/>
          <w:i/>
          <w:color w:val="333333"/>
          <w:shd w:val="clear" w:color="auto" w:fill="FFFFFF"/>
        </w:rPr>
        <w:t xml:space="preserve"> </w:t>
      </w:r>
      <w:r w:rsidRPr="00D14C24">
        <w:rPr>
          <w:rFonts w:ascii="Arial" w:hAnsi="Arial" w:cs="Arial"/>
          <w:color w:val="333333"/>
          <w:shd w:val="clear" w:color="auto" w:fill="FFFFFF"/>
        </w:rPr>
        <w:t>paper wasps</w:t>
      </w:r>
    </w:p>
    <w:p w:rsidR="004F047C" w:rsidRDefault="004F047C" w:rsidP="004F047C">
      <w:pPr>
        <w:spacing w:before="240" w:after="0" w:line="276" w:lineRule="auto"/>
        <w:rPr>
          <w:rFonts w:ascii="Arial" w:hAnsi="Arial" w:cs="Arial"/>
          <w:color w:val="333333"/>
          <w:shd w:val="clear" w:color="auto" w:fill="FFFFFF"/>
        </w:rPr>
      </w:pPr>
      <w:r w:rsidRPr="00D14C24">
        <w:rPr>
          <w:rFonts w:ascii="Arial" w:hAnsi="Arial" w:cs="Arial"/>
          <w:color w:val="333333"/>
          <w:shd w:val="clear" w:color="auto" w:fill="FFFFFF"/>
        </w:rPr>
        <w:t>Elizabeth A. Tibbetts,</w:t>
      </w:r>
      <w:r>
        <w:rPr>
          <w:rFonts w:ascii="Arial" w:hAnsi="Arial" w:cs="Arial"/>
          <w:color w:val="333333"/>
          <w:shd w:val="clear" w:color="auto" w:fill="FFFFFF"/>
        </w:rPr>
        <w:t xml:space="preserve"> </w:t>
      </w:r>
      <w:r w:rsidRPr="00D14C24">
        <w:rPr>
          <w:rFonts w:ascii="Arial" w:hAnsi="Arial" w:cs="Arial"/>
          <w:color w:val="333333"/>
          <w:shd w:val="clear" w:color="auto" w:fill="FFFFFF"/>
        </w:rPr>
        <w:t xml:space="preserve">Jorge </w:t>
      </w:r>
      <w:proofErr w:type="spellStart"/>
      <w:r w:rsidRPr="00D14C24">
        <w:rPr>
          <w:rFonts w:ascii="Arial" w:hAnsi="Arial" w:cs="Arial"/>
          <w:color w:val="333333"/>
          <w:shd w:val="clear" w:color="auto" w:fill="FFFFFF"/>
        </w:rPr>
        <w:t>Agudelo</w:t>
      </w:r>
      <w:proofErr w:type="spellEnd"/>
      <w:r w:rsidRPr="00D14C24">
        <w:rPr>
          <w:rFonts w:ascii="Arial" w:hAnsi="Arial" w:cs="Arial"/>
          <w:color w:val="333333"/>
          <w:shd w:val="clear" w:color="auto" w:fill="FFFFFF"/>
        </w:rPr>
        <w:t xml:space="preserve">, </w:t>
      </w:r>
      <w:proofErr w:type="spellStart"/>
      <w:r>
        <w:rPr>
          <w:rFonts w:ascii="Arial" w:hAnsi="Arial" w:cs="Arial"/>
          <w:color w:val="333333"/>
          <w:shd w:val="clear" w:color="auto" w:fill="FFFFFF"/>
        </w:rPr>
        <w:t>Sohini</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Pandit</w:t>
      </w:r>
      <w:proofErr w:type="spellEnd"/>
      <w:r>
        <w:rPr>
          <w:rFonts w:ascii="Arial" w:hAnsi="Arial" w:cs="Arial"/>
          <w:color w:val="333333"/>
          <w:shd w:val="clear" w:color="auto" w:fill="FFFFFF"/>
        </w:rPr>
        <w:t xml:space="preserve">, </w:t>
      </w:r>
      <w:r w:rsidRPr="00D14C24">
        <w:rPr>
          <w:rFonts w:ascii="Arial" w:hAnsi="Arial" w:cs="Arial"/>
          <w:color w:val="333333"/>
          <w:shd w:val="clear" w:color="auto" w:fill="FFFFFF"/>
        </w:rPr>
        <w:t>Jessica Riojas</w:t>
      </w:r>
      <w:r>
        <w:rPr>
          <w:rFonts w:ascii="Arial" w:hAnsi="Arial" w:cs="Arial"/>
          <w:color w:val="333333"/>
          <w:shd w:val="clear" w:color="auto" w:fill="FFFFFF"/>
        </w:rPr>
        <w:t xml:space="preserve">  </w:t>
      </w:r>
    </w:p>
    <w:p w:rsidR="004F047C" w:rsidRDefault="004F047C" w:rsidP="005E6DDE">
      <w:pPr>
        <w:spacing w:before="240" w:after="0" w:line="276" w:lineRule="auto"/>
        <w:rPr>
          <w:rFonts w:ascii="Arial" w:hAnsi="Arial" w:cs="Arial"/>
          <w:b/>
        </w:rPr>
      </w:pPr>
      <w:bookmarkStart w:id="0" w:name="_GoBack"/>
      <w:bookmarkEnd w:id="0"/>
    </w:p>
    <w:p w:rsidR="004F047C" w:rsidRDefault="005E6DDE" w:rsidP="005E6DDE">
      <w:pPr>
        <w:spacing w:before="240" w:after="0" w:line="276" w:lineRule="auto"/>
        <w:rPr>
          <w:rFonts w:ascii="Arial" w:hAnsi="Arial" w:cs="Arial"/>
          <w:b/>
        </w:rPr>
      </w:pPr>
      <w:r>
        <w:rPr>
          <w:rFonts w:ascii="Arial" w:hAnsi="Arial" w:cs="Arial"/>
          <w:b/>
          <w:noProof/>
        </w:rPr>
        <w:drawing>
          <wp:inline distT="0" distB="0" distL="0" distR="0">
            <wp:extent cx="3818858" cy="2195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maze 1 dominula.jpg"/>
                    <pic:cNvPicPr/>
                  </pic:nvPicPr>
                  <pic:blipFill rotWithShape="1">
                    <a:blip r:embed="rId4" cstate="print">
                      <a:extLst>
                        <a:ext uri="{28A0092B-C50C-407E-A947-70E740481C1C}">
                          <a14:useLocalDpi xmlns:a14="http://schemas.microsoft.com/office/drawing/2010/main" val="0"/>
                        </a:ext>
                      </a:extLst>
                    </a:blip>
                    <a:srcRect b="35264"/>
                    <a:stretch/>
                  </pic:blipFill>
                  <pic:spPr bwMode="auto">
                    <a:xfrm>
                      <a:off x="0" y="0"/>
                      <a:ext cx="3819144" cy="2196109"/>
                    </a:xfrm>
                    <a:prstGeom prst="rect">
                      <a:avLst/>
                    </a:prstGeom>
                    <a:ln>
                      <a:noFill/>
                    </a:ln>
                    <a:extLst>
                      <a:ext uri="{53640926-AAD7-44D8-BBD7-CCE9431645EC}">
                        <a14:shadowObscured xmlns:a14="http://schemas.microsoft.com/office/drawing/2010/main"/>
                      </a:ext>
                    </a:extLst>
                  </pic:spPr>
                </pic:pic>
              </a:graphicData>
            </a:graphic>
          </wp:inline>
        </w:drawing>
      </w:r>
    </w:p>
    <w:p w:rsidR="005E6DDE" w:rsidRPr="000D150F" w:rsidRDefault="005E6DDE" w:rsidP="005E6DDE">
      <w:pPr>
        <w:spacing w:before="240" w:after="0" w:line="276" w:lineRule="auto"/>
        <w:rPr>
          <w:rFonts w:ascii="Arial" w:hAnsi="Arial" w:cs="Arial"/>
        </w:rPr>
      </w:pPr>
      <w:r>
        <w:rPr>
          <w:rFonts w:ascii="Arial" w:hAnsi="Arial" w:cs="Arial"/>
        </w:rPr>
        <w:t xml:space="preserve">S Fig 1: </w:t>
      </w:r>
      <w:r w:rsidRPr="000D150F">
        <w:rPr>
          <w:rFonts w:ascii="Arial" w:hAnsi="Arial" w:cs="Arial"/>
        </w:rPr>
        <w:t>Design</w:t>
      </w:r>
      <w:r>
        <w:rPr>
          <w:rFonts w:ascii="Arial" w:hAnsi="Arial" w:cs="Arial"/>
        </w:rPr>
        <w:t xml:space="preserve"> of the training and testing apparatus. During training, wasps were free to move through the rectangle for 30 seconds. The area near the negative stimulus was electrified, while the area near the neutral stimulus was not electrified. During the 10 trial test, wasps were removed as soon as they ‘made a choice’ by moving past the small dividers 2.5cm from each end of the rectangle. No part of the arena was electrified for the transitive inference test where preference for B vs D and A vs E were tested. </w:t>
      </w:r>
      <w:r w:rsidRPr="00F97BDE">
        <w:rPr>
          <w:rFonts w:ascii="Arial" w:hAnsi="Arial" w:cs="Arial"/>
          <w:i/>
        </w:rPr>
        <w:t xml:space="preserve">P. </w:t>
      </w:r>
      <w:proofErr w:type="spellStart"/>
      <w:r w:rsidRPr="00F97BDE">
        <w:rPr>
          <w:rFonts w:ascii="Arial" w:hAnsi="Arial" w:cs="Arial"/>
          <w:i/>
        </w:rPr>
        <w:t>dominula</w:t>
      </w:r>
      <w:proofErr w:type="spellEnd"/>
      <w:r>
        <w:rPr>
          <w:rFonts w:ascii="Arial" w:hAnsi="Arial" w:cs="Arial"/>
        </w:rPr>
        <w:t xml:space="preserve"> drawing by </w:t>
      </w:r>
      <w:r w:rsidRPr="00F97BDE">
        <w:rPr>
          <w:rFonts w:ascii="Arial" w:hAnsi="Arial" w:cs="Arial"/>
        </w:rPr>
        <w:t xml:space="preserve">John </w:t>
      </w:r>
      <w:proofErr w:type="spellStart"/>
      <w:r w:rsidRPr="00F97BDE">
        <w:rPr>
          <w:rFonts w:ascii="Arial" w:hAnsi="Arial" w:cs="Arial"/>
        </w:rPr>
        <w:t>Megahan</w:t>
      </w:r>
      <w:proofErr w:type="spellEnd"/>
      <w:r>
        <w:rPr>
          <w:rFonts w:ascii="Arial" w:hAnsi="Arial" w:cs="Arial"/>
        </w:rPr>
        <w:t xml:space="preserve">. </w:t>
      </w:r>
    </w:p>
    <w:p w:rsidR="000F0DBC" w:rsidRDefault="004F047C"/>
    <w:p w:rsidR="005E6DDE" w:rsidRPr="00D14C24" w:rsidRDefault="005E6DDE" w:rsidP="005E6DDE">
      <w:pPr>
        <w:spacing w:before="240" w:after="0" w:line="276" w:lineRule="auto"/>
        <w:rPr>
          <w:rFonts w:ascii="Arial" w:hAnsi="Arial" w:cs="Arial"/>
          <w:shd w:val="clear" w:color="auto" w:fill="FFFFFF"/>
        </w:rPr>
      </w:pPr>
      <w:r>
        <w:rPr>
          <w:rFonts w:ascii="Arial" w:hAnsi="Arial" w:cs="Arial"/>
          <w:shd w:val="clear" w:color="auto" w:fill="FFFFFF"/>
        </w:rPr>
        <w:t>Supplemental figure 2, Colors used during transitive inference training</w:t>
      </w:r>
    </w:p>
    <w:p w:rsidR="005E6DDE" w:rsidRDefault="005E6DDE" w:rsidP="005E6DDE">
      <w:pPr>
        <w:spacing w:before="240" w:after="0" w:line="276" w:lineRule="auto"/>
        <w:rPr>
          <w:rFonts w:ascii="Arial" w:hAnsi="Arial" w:cs="Arial"/>
          <w:b/>
        </w:rPr>
      </w:pPr>
      <w:r>
        <w:rPr>
          <w:rFonts w:ascii="Arial" w:hAnsi="Arial" w:cs="Arial"/>
          <w:b/>
          <w:noProof/>
        </w:rPr>
        <w:drawing>
          <wp:inline distT="0" distB="0" distL="0" distR="0" wp14:anchorId="24A61BE3" wp14:editId="13889DF2">
            <wp:extent cx="2118360" cy="1851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 fig 1.jpg"/>
                    <pic:cNvPicPr/>
                  </pic:nvPicPr>
                  <pic:blipFill rotWithShape="1">
                    <a:blip r:embed="rId5" cstate="print">
                      <a:extLst>
                        <a:ext uri="{28A0092B-C50C-407E-A947-70E740481C1C}">
                          <a14:useLocalDpi xmlns:a14="http://schemas.microsoft.com/office/drawing/2010/main" val="0"/>
                        </a:ext>
                      </a:extLst>
                    </a:blip>
                    <a:srcRect r="64359" b="50154"/>
                    <a:stretch/>
                  </pic:blipFill>
                  <pic:spPr bwMode="auto">
                    <a:xfrm>
                      <a:off x="0" y="0"/>
                      <a:ext cx="2118360" cy="1851660"/>
                    </a:xfrm>
                    <a:prstGeom prst="rect">
                      <a:avLst/>
                    </a:prstGeom>
                    <a:ln>
                      <a:noFill/>
                    </a:ln>
                    <a:extLst>
                      <a:ext uri="{53640926-AAD7-44D8-BBD7-CCE9431645EC}">
                        <a14:shadowObscured xmlns:a14="http://schemas.microsoft.com/office/drawing/2010/main"/>
                      </a:ext>
                    </a:extLst>
                  </pic:spPr>
                </pic:pic>
              </a:graphicData>
            </a:graphic>
          </wp:inline>
        </w:drawing>
      </w:r>
    </w:p>
    <w:p w:rsidR="005E6DDE" w:rsidRDefault="005E6DDE"/>
    <w:p w:rsidR="005E6DDE" w:rsidRDefault="005E6DDE"/>
    <w:p w:rsidR="005E6DDE" w:rsidRDefault="005E6DDE"/>
    <w:p w:rsidR="005E6DDE" w:rsidRDefault="005E6DDE"/>
    <w:p w:rsidR="005E6DDE" w:rsidRDefault="005E6DDE"/>
    <w:p w:rsidR="005E6DDE" w:rsidRDefault="005E6DDE"/>
    <w:p w:rsidR="005E6DDE" w:rsidRDefault="005E6DDE"/>
    <w:p w:rsidR="005E6DDE" w:rsidRPr="009168D0" w:rsidRDefault="005E6DDE" w:rsidP="005E6DDE">
      <w:pPr>
        <w:tabs>
          <w:tab w:val="left" w:pos="3973"/>
        </w:tabs>
        <w:spacing w:before="240" w:after="0" w:line="276" w:lineRule="auto"/>
        <w:rPr>
          <w:rFonts w:ascii="Arial" w:hAnsi="Arial" w:cs="Arial"/>
        </w:rPr>
      </w:pPr>
      <w:r>
        <w:rPr>
          <w:rFonts w:ascii="Arial" w:hAnsi="Arial" w:cs="Arial"/>
        </w:rPr>
        <w:t xml:space="preserve">Supplemental Table 1, Results of one-sample t-test comparing choices to the neutral 50:50 expectation. AB first indicates wasps that were trained to discriminate A vs B on day 1. DE first indicates wasps that were trained to discriminate D vs E on day 1. </w:t>
      </w:r>
    </w:p>
    <w:tbl>
      <w:tblPr>
        <w:tblStyle w:val="TableGrid"/>
        <w:tblW w:w="0" w:type="auto"/>
        <w:tblLook w:val="04A0" w:firstRow="1" w:lastRow="0" w:firstColumn="1" w:lastColumn="0" w:noHBand="0" w:noVBand="1"/>
      </w:tblPr>
      <w:tblGrid>
        <w:gridCol w:w="1119"/>
        <w:gridCol w:w="1230"/>
        <w:gridCol w:w="1169"/>
      </w:tblGrid>
      <w:tr w:rsidR="005E6DDE" w:rsidTr="00B94DB7">
        <w:tc>
          <w:tcPr>
            <w:tcW w:w="1119" w:type="dxa"/>
          </w:tcPr>
          <w:p w:rsidR="005E6DDE" w:rsidRDefault="005E6DDE" w:rsidP="00B94DB7"/>
        </w:tc>
        <w:tc>
          <w:tcPr>
            <w:tcW w:w="1230" w:type="dxa"/>
          </w:tcPr>
          <w:p w:rsidR="005E6DDE" w:rsidRDefault="005E6DDE" w:rsidP="00B94DB7">
            <w:r>
              <w:t>BD</w:t>
            </w:r>
          </w:p>
        </w:tc>
        <w:tc>
          <w:tcPr>
            <w:tcW w:w="1169" w:type="dxa"/>
          </w:tcPr>
          <w:p w:rsidR="005E6DDE" w:rsidRDefault="005E6DDE" w:rsidP="00B94DB7">
            <w:r>
              <w:t>AE</w:t>
            </w:r>
          </w:p>
        </w:tc>
      </w:tr>
      <w:tr w:rsidR="005E6DDE" w:rsidTr="00B94DB7">
        <w:tc>
          <w:tcPr>
            <w:tcW w:w="1119" w:type="dxa"/>
          </w:tcPr>
          <w:p w:rsidR="005E6DDE" w:rsidRDefault="005E6DDE" w:rsidP="00B94DB7">
            <w:r w:rsidRPr="00644188">
              <w:rPr>
                <w:i/>
              </w:rPr>
              <w:t xml:space="preserve">P. </w:t>
            </w:r>
            <w:proofErr w:type="spellStart"/>
            <w:r w:rsidRPr="00644188">
              <w:rPr>
                <w:i/>
              </w:rPr>
              <w:t>dominula</w:t>
            </w:r>
            <w:proofErr w:type="spellEnd"/>
            <w:r w:rsidRPr="00644188">
              <w:rPr>
                <w:i/>
              </w:rPr>
              <w:t xml:space="preserve"> </w:t>
            </w:r>
            <w:r>
              <w:t>all</w:t>
            </w:r>
          </w:p>
        </w:tc>
        <w:tc>
          <w:tcPr>
            <w:tcW w:w="1230" w:type="dxa"/>
          </w:tcPr>
          <w:p w:rsidR="005E6DDE" w:rsidRDefault="005E6DDE" w:rsidP="00B94DB7">
            <w:r>
              <w:t>t</w:t>
            </w:r>
            <w:r w:rsidRPr="0078458A">
              <w:rPr>
                <w:vertAlign w:val="subscript"/>
              </w:rPr>
              <w:t>22</w:t>
            </w:r>
            <w:r>
              <w:t>=8.5, p&lt;0.001</w:t>
            </w:r>
          </w:p>
        </w:tc>
        <w:tc>
          <w:tcPr>
            <w:tcW w:w="1169" w:type="dxa"/>
          </w:tcPr>
          <w:p w:rsidR="005E6DDE" w:rsidRDefault="005E6DDE" w:rsidP="00B94DB7">
            <w:r>
              <w:t>t</w:t>
            </w:r>
            <w:r w:rsidRPr="0078458A">
              <w:rPr>
                <w:vertAlign w:val="subscript"/>
              </w:rPr>
              <w:t>22</w:t>
            </w:r>
            <w:r>
              <w:t>=4.4, p&lt;0.001</w:t>
            </w:r>
          </w:p>
        </w:tc>
      </w:tr>
      <w:tr w:rsidR="005E6DDE" w:rsidTr="00B94DB7">
        <w:tc>
          <w:tcPr>
            <w:tcW w:w="1119" w:type="dxa"/>
          </w:tcPr>
          <w:p w:rsidR="005E6DDE" w:rsidRDefault="005E6DDE" w:rsidP="00B94DB7">
            <w:r w:rsidRPr="00644188">
              <w:rPr>
                <w:i/>
              </w:rPr>
              <w:t xml:space="preserve">P. </w:t>
            </w:r>
            <w:proofErr w:type="spellStart"/>
            <w:r w:rsidRPr="00644188">
              <w:rPr>
                <w:i/>
              </w:rPr>
              <w:t>dominula</w:t>
            </w:r>
            <w:proofErr w:type="spellEnd"/>
            <w:r w:rsidRPr="00644188">
              <w:rPr>
                <w:i/>
              </w:rPr>
              <w:t xml:space="preserve"> </w:t>
            </w:r>
            <w:r>
              <w:t>AB first</w:t>
            </w:r>
          </w:p>
        </w:tc>
        <w:tc>
          <w:tcPr>
            <w:tcW w:w="1230" w:type="dxa"/>
          </w:tcPr>
          <w:p w:rsidR="005E6DDE" w:rsidRDefault="005E6DDE" w:rsidP="00B94DB7">
            <w:r>
              <w:t>t</w:t>
            </w:r>
            <w:r>
              <w:rPr>
                <w:vertAlign w:val="subscript"/>
              </w:rPr>
              <w:t>11</w:t>
            </w:r>
            <w:r>
              <w:t xml:space="preserve">=4.5, </w:t>
            </w:r>
          </w:p>
          <w:p w:rsidR="005E6DDE" w:rsidRDefault="005E6DDE" w:rsidP="00B94DB7">
            <w:r>
              <w:t>P=0.001</w:t>
            </w:r>
          </w:p>
        </w:tc>
        <w:tc>
          <w:tcPr>
            <w:tcW w:w="1169" w:type="dxa"/>
          </w:tcPr>
          <w:p w:rsidR="005E6DDE" w:rsidRDefault="005E6DDE" w:rsidP="00B94DB7">
            <w:r>
              <w:t>t</w:t>
            </w:r>
            <w:r>
              <w:rPr>
                <w:vertAlign w:val="subscript"/>
              </w:rPr>
              <w:t>11</w:t>
            </w:r>
            <w:r>
              <w:t xml:space="preserve">=3.2, </w:t>
            </w:r>
          </w:p>
          <w:p w:rsidR="005E6DDE" w:rsidRDefault="005E6DDE" w:rsidP="00B94DB7">
            <w:r>
              <w:t>P=0.01</w:t>
            </w:r>
          </w:p>
        </w:tc>
      </w:tr>
      <w:tr w:rsidR="005E6DDE" w:rsidTr="00B94DB7">
        <w:tc>
          <w:tcPr>
            <w:tcW w:w="1119" w:type="dxa"/>
          </w:tcPr>
          <w:p w:rsidR="005E6DDE" w:rsidRDefault="005E6DDE" w:rsidP="00B94DB7">
            <w:r w:rsidRPr="00644188">
              <w:rPr>
                <w:i/>
              </w:rPr>
              <w:t xml:space="preserve">P. </w:t>
            </w:r>
            <w:proofErr w:type="spellStart"/>
            <w:r w:rsidRPr="00644188">
              <w:rPr>
                <w:i/>
              </w:rPr>
              <w:t>dominula</w:t>
            </w:r>
            <w:proofErr w:type="spellEnd"/>
            <w:r w:rsidRPr="00644188">
              <w:rPr>
                <w:i/>
              </w:rPr>
              <w:t xml:space="preserve"> </w:t>
            </w:r>
            <w:r>
              <w:t>DE first</w:t>
            </w:r>
          </w:p>
        </w:tc>
        <w:tc>
          <w:tcPr>
            <w:tcW w:w="1230" w:type="dxa"/>
          </w:tcPr>
          <w:p w:rsidR="005E6DDE" w:rsidRDefault="005E6DDE" w:rsidP="00B94DB7">
            <w:r>
              <w:t>t</w:t>
            </w:r>
            <w:r>
              <w:rPr>
                <w:vertAlign w:val="subscript"/>
              </w:rPr>
              <w:t>10</w:t>
            </w:r>
            <w:r>
              <w:t xml:space="preserve">=9.0, </w:t>
            </w:r>
          </w:p>
          <w:p w:rsidR="005E6DDE" w:rsidRPr="00257ADE" w:rsidRDefault="005E6DDE" w:rsidP="00B94DB7">
            <w:pPr>
              <w:rPr>
                <w:b/>
              </w:rPr>
            </w:pPr>
            <w:r>
              <w:t>P&lt;0.001</w:t>
            </w:r>
          </w:p>
        </w:tc>
        <w:tc>
          <w:tcPr>
            <w:tcW w:w="1169" w:type="dxa"/>
          </w:tcPr>
          <w:p w:rsidR="005E6DDE" w:rsidRDefault="005E6DDE" w:rsidP="00B94DB7">
            <w:r>
              <w:t>t</w:t>
            </w:r>
            <w:r>
              <w:rPr>
                <w:vertAlign w:val="subscript"/>
              </w:rPr>
              <w:t>10</w:t>
            </w:r>
            <w:r>
              <w:t xml:space="preserve">=3.1, </w:t>
            </w:r>
          </w:p>
          <w:p w:rsidR="005E6DDE" w:rsidRDefault="005E6DDE" w:rsidP="00B94DB7">
            <w:r>
              <w:t>P=0.01</w:t>
            </w:r>
          </w:p>
        </w:tc>
      </w:tr>
      <w:tr w:rsidR="005E6DDE" w:rsidTr="00B94DB7">
        <w:tc>
          <w:tcPr>
            <w:tcW w:w="1119" w:type="dxa"/>
          </w:tcPr>
          <w:p w:rsidR="005E6DDE" w:rsidRDefault="005E6DDE" w:rsidP="00B94DB7">
            <w:r w:rsidRPr="00644188">
              <w:rPr>
                <w:i/>
              </w:rPr>
              <w:t xml:space="preserve">P. </w:t>
            </w:r>
            <w:proofErr w:type="spellStart"/>
            <w:r w:rsidRPr="00644188">
              <w:rPr>
                <w:i/>
              </w:rPr>
              <w:t>metricus</w:t>
            </w:r>
            <w:proofErr w:type="spellEnd"/>
            <w:r>
              <w:t xml:space="preserve"> all</w:t>
            </w:r>
          </w:p>
        </w:tc>
        <w:tc>
          <w:tcPr>
            <w:tcW w:w="1230" w:type="dxa"/>
          </w:tcPr>
          <w:p w:rsidR="005E6DDE" w:rsidRDefault="005E6DDE" w:rsidP="00B94DB7">
            <w:r>
              <w:t>t</w:t>
            </w:r>
            <w:r w:rsidRPr="00000BFC">
              <w:rPr>
                <w:vertAlign w:val="subscript"/>
              </w:rPr>
              <w:t>16</w:t>
            </w:r>
            <w:r>
              <w:t xml:space="preserve">=4.12, </w:t>
            </w:r>
          </w:p>
          <w:p w:rsidR="005E6DDE" w:rsidRDefault="005E6DDE" w:rsidP="00B94DB7">
            <w:r>
              <w:t>P=0.001</w:t>
            </w:r>
          </w:p>
        </w:tc>
        <w:tc>
          <w:tcPr>
            <w:tcW w:w="1169" w:type="dxa"/>
          </w:tcPr>
          <w:p w:rsidR="005E6DDE" w:rsidRDefault="005E6DDE" w:rsidP="00B94DB7">
            <w:r>
              <w:t>t</w:t>
            </w:r>
            <w:r w:rsidRPr="00000BFC">
              <w:rPr>
                <w:vertAlign w:val="subscript"/>
              </w:rPr>
              <w:t>16</w:t>
            </w:r>
            <w:r>
              <w:t xml:space="preserve">=5.6, </w:t>
            </w:r>
          </w:p>
          <w:p w:rsidR="005E6DDE" w:rsidRDefault="005E6DDE" w:rsidP="00B94DB7">
            <w:r>
              <w:t>P&lt;0.001</w:t>
            </w:r>
          </w:p>
        </w:tc>
      </w:tr>
      <w:tr w:rsidR="005E6DDE" w:rsidTr="00B94DB7">
        <w:tc>
          <w:tcPr>
            <w:tcW w:w="1119" w:type="dxa"/>
          </w:tcPr>
          <w:p w:rsidR="005E6DDE" w:rsidRDefault="005E6DDE" w:rsidP="00B94DB7">
            <w:r w:rsidRPr="00644188">
              <w:rPr>
                <w:i/>
              </w:rPr>
              <w:t xml:space="preserve">P. </w:t>
            </w:r>
            <w:proofErr w:type="spellStart"/>
            <w:r w:rsidRPr="00644188">
              <w:rPr>
                <w:i/>
              </w:rPr>
              <w:t>metricus</w:t>
            </w:r>
            <w:proofErr w:type="spellEnd"/>
            <w:r w:rsidRPr="00644188">
              <w:rPr>
                <w:i/>
              </w:rPr>
              <w:t xml:space="preserve"> </w:t>
            </w:r>
            <w:r>
              <w:t>AB first</w:t>
            </w:r>
          </w:p>
        </w:tc>
        <w:tc>
          <w:tcPr>
            <w:tcW w:w="1230" w:type="dxa"/>
          </w:tcPr>
          <w:p w:rsidR="005E6DDE" w:rsidRDefault="005E6DDE" w:rsidP="00B94DB7">
            <w:r>
              <w:t>t</w:t>
            </w:r>
            <w:r>
              <w:rPr>
                <w:vertAlign w:val="subscript"/>
              </w:rPr>
              <w:t>6</w:t>
            </w:r>
            <w:r>
              <w:t xml:space="preserve">=3.4, </w:t>
            </w:r>
          </w:p>
          <w:p w:rsidR="005E6DDE" w:rsidRDefault="005E6DDE" w:rsidP="00B94DB7">
            <w:r>
              <w:t>P=0.014</w:t>
            </w:r>
          </w:p>
        </w:tc>
        <w:tc>
          <w:tcPr>
            <w:tcW w:w="1169" w:type="dxa"/>
          </w:tcPr>
          <w:p w:rsidR="005E6DDE" w:rsidRDefault="005E6DDE" w:rsidP="00B94DB7">
            <w:r>
              <w:t>t</w:t>
            </w:r>
            <w:r>
              <w:rPr>
                <w:vertAlign w:val="subscript"/>
              </w:rPr>
              <w:t>6</w:t>
            </w:r>
            <w:r>
              <w:t xml:space="preserve">=2.7, </w:t>
            </w:r>
          </w:p>
          <w:p w:rsidR="005E6DDE" w:rsidRDefault="005E6DDE" w:rsidP="00B94DB7">
            <w:r>
              <w:t>P=0.037</w:t>
            </w:r>
          </w:p>
        </w:tc>
      </w:tr>
      <w:tr w:rsidR="005E6DDE" w:rsidTr="00B94DB7">
        <w:tc>
          <w:tcPr>
            <w:tcW w:w="1119" w:type="dxa"/>
          </w:tcPr>
          <w:p w:rsidR="005E6DDE" w:rsidRDefault="005E6DDE" w:rsidP="00B94DB7">
            <w:r w:rsidRPr="00644188">
              <w:rPr>
                <w:i/>
              </w:rPr>
              <w:t xml:space="preserve">P. </w:t>
            </w:r>
            <w:proofErr w:type="spellStart"/>
            <w:r w:rsidRPr="00644188">
              <w:rPr>
                <w:i/>
              </w:rPr>
              <w:t>metricus</w:t>
            </w:r>
            <w:proofErr w:type="spellEnd"/>
            <w:r w:rsidRPr="00644188">
              <w:rPr>
                <w:i/>
              </w:rPr>
              <w:t xml:space="preserve"> </w:t>
            </w:r>
            <w:r>
              <w:t>DE first</w:t>
            </w:r>
          </w:p>
        </w:tc>
        <w:tc>
          <w:tcPr>
            <w:tcW w:w="1230" w:type="dxa"/>
          </w:tcPr>
          <w:p w:rsidR="005E6DDE" w:rsidRDefault="005E6DDE" w:rsidP="00B94DB7">
            <w:r>
              <w:t>t</w:t>
            </w:r>
            <w:r>
              <w:rPr>
                <w:vertAlign w:val="subscript"/>
              </w:rPr>
              <w:t>9</w:t>
            </w:r>
            <w:r>
              <w:t xml:space="preserve">=2.6, </w:t>
            </w:r>
          </w:p>
          <w:p w:rsidR="005E6DDE" w:rsidRDefault="005E6DDE" w:rsidP="00B94DB7">
            <w:r>
              <w:t>P=0.03</w:t>
            </w:r>
          </w:p>
        </w:tc>
        <w:tc>
          <w:tcPr>
            <w:tcW w:w="1169" w:type="dxa"/>
          </w:tcPr>
          <w:p w:rsidR="005E6DDE" w:rsidRDefault="005E6DDE" w:rsidP="00B94DB7">
            <w:r>
              <w:t>t</w:t>
            </w:r>
            <w:r>
              <w:rPr>
                <w:vertAlign w:val="subscript"/>
              </w:rPr>
              <w:t>9</w:t>
            </w:r>
            <w:r>
              <w:t xml:space="preserve">=5.2, </w:t>
            </w:r>
          </w:p>
          <w:p w:rsidR="005E6DDE" w:rsidRDefault="005E6DDE" w:rsidP="00B94DB7">
            <w:r>
              <w:t>P=0.001</w:t>
            </w:r>
          </w:p>
        </w:tc>
      </w:tr>
    </w:tbl>
    <w:p w:rsidR="005E6DDE" w:rsidRPr="0048474D" w:rsidRDefault="005E6DDE" w:rsidP="005E6DDE">
      <w:pPr>
        <w:spacing w:before="240" w:after="0" w:line="276" w:lineRule="auto"/>
        <w:rPr>
          <w:rFonts w:ascii="Arial" w:hAnsi="Arial" w:cs="Arial"/>
        </w:rPr>
      </w:pPr>
    </w:p>
    <w:p w:rsidR="004F047C" w:rsidRDefault="004F047C"/>
    <w:sectPr w:rsidR="004F0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DE"/>
    <w:rsid w:val="004F047C"/>
    <w:rsid w:val="00566BCE"/>
    <w:rsid w:val="005E6DDE"/>
    <w:rsid w:val="00B0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8F480-569B-481C-B3D9-0E17C3EE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Tibbetts, Elizabeth</dc:creator>
  <cp:keywords/>
  <dc:description/>
  <cp:lastModifiedBy>Tibbetts, Elizabeth</cp:lastModifiedBy>
  <cp:revision>2</cp:revision>
  <dcterms:created xsi:type="dcterms:W3CDTF">2019-02-28T14:41:00Z</dcterms:created>
  <dcterms:modified xsi:type="dcterms:W3CDTF">2019-04-15T13:49:00Z</dcterms:modified>
</cp:coreProperties>
</file>