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EB" w:rsidRPr="00AA705E" w:rsidRDefault="00260DEB" w:rsidP="000862A4">
      <w:pPr>
        <w:spacing w:after="120" w:line="288" w:lineRule="auto"/>
        <w:rPr>
          <w:rFonts w:ascii="Arial Narrow" w:hAnsi="Arial Narrow" w:cs="Arial"/>
          <w:b/>
          <w:color w:val="339966"/>
          <w:sz w:val="32"/>
          <w:szCs w:val="32"/>
        </w:rPr>
      </w:pPr>
      <w:r w:rsidRPr="00AA705E">
        <w:rPr>
          <w:rFonts w:ascii="Arial Narrow" w:hAnsi="Arial Narrow" w:cs="Arial"/>
          <w:b/>
          <w:color w:val="339966"/>
          <w:sz w:val="32"/>
          <w:szCs w:val="32"/>
        </w:rPr>
        <w:t>Supplementary methods</w:t>
      </w:r>
    </w:p>
    <w:p w:rsidR="00260DEB" w:rsidRPr="00AA705E" w:rsidRDefault="00260DEB" w:rsidP="003F1093">
      <w:pPr>
        <w:spacing w:after="120" w:line="288" w:lineRule="auto"/>
        <w:rPr>
          <w:rFonts w:ascii="Arial Narrow" w:eastAsia="Helvetica" w:hAnsi="Arial Narrow" w:cs="Arial"/>
          <w:bCs/>
          <w:color w:val="339966"/>
          <w:sz w:val="28"/>
          <w:szCs w:val="28"/>
        </w:rPr>
      </w:pPr>
      <w:r w:rsidRPr="00AA705E">
        <w:rPr>
          <w:rFonts w:ascii="Arial Narrow" w:eastAsia="Helvetica" w:hAnsi="Arial Narrow" w:cs="Arial"/>
          <w:bCs/>
          <w:color w:val="339966"/>
          <w:sz w:val="28"/>
          <w:szCs w:val="28"/>
        </w:rPr>
        <w:t>(</w:t>
      </w:r>
      <w:r>
        <w:rPr>
          <w:rFonts w:ascii="Arial Narrow" w:eastAsia="Helvetica" w:hAnsi="Arial Narrow" w:cs="Arial"/>
          <w:bCs/>
          <w:color w:val="339966"/>
          <w:sz w:val="28"/>
          <w:szCs w:val="28"/>
        </w:rPr>
        <w:t>a</w:t>
      </w:r>
      <w:r w:rsidRPr="00AA705E">
        <w:rPr>
          <w:rFonts w:ascii="Arial Narrow" w:eastAsia="Helvetica" w:hAnsi="Arial Narrow" w:cs="Arial"/>
          <w:bCs/>
          <w:color w:val="339966"/>
          <w:sz w:val="28"/>
          <w:szCs w:val="28"/>
        </w:rPr>
        <w:t>) Plant cultivation under growth chamber conditions</w:t>
      </w:r>
    </w:p>
    <w:p w:rsidR="00260DEB" w:rsidRDefault="00260DEB" w:rsidP="003F1093">
      <w:pPr>
        <w:spacing w:after="120" w:line="288" w:lineRule="auto"/>
        <w:jc w:val="both"/>
        <w:rPr>
          <w:rFonts w:ascii="Arial" w:hAnsi="Arial" w:cs="Arial"/>
          <w:sz w:val="24"/>
          <w:szCs w:val="24"/>
        </w:rPr>
      </w:pPr>
      <w:r w:rsidRPr="00AA705E">
        <w:rPr>
          <w:rFonts w:ascii="Arial" w:hAnsi="Arial" w:cs="Arial"/>
          <w:sz w:val="24"/>
          <w:szCs w:val="24"/>
        </w:rPr>
        <w:t xml:space="preserve">Field-collected </w:t>
      </w:r>
      <w:r w:rsidRPr="00AA705E">
        <w:rPr>
          <w:rFonts w:ascii="Arial" w:hAnsi="Arial" w:cs="Arial"/>
          <w:i/>
          <w:sz w:val="24"/>
          <w:szCs w:val="24"/>
        </w:rPr>
        <w:t>A.</w:t>
      </w:r>
      <w:r>
        <w:rPr>
          <w:rFonts w:ascii="Arial" w:hAnsi="Arial" w:cs="Arial"/>
          <w:i/>
          <w:sz w:val="24"/>
          <w:szCs w:val="24"/>
        </w:rPr>
        <w:t> </w:t>
      </w:r>
      <w:r w:rsidRPr="00AA705E">
        <w:rPr>
          <w:rFonts w:ascii="Arial" w:hAnsi="Arial" w:cs="Arial"/>
          <w:i/>
          <w:sz w:val="24"/>
          <w:szCs w:val="24"/>
        </w:rPr>
        <w:t>arenosa</w:t>
      </w:r>
      <w:r w:rsidRPr="00AA705E">
        <w:rPr>
          <w:rFonts w:ascii="Arial" w:hAnsi="Arial" w:cs="Arial"/>
          <w:sz w:val="24"/>
          <w:szCs w:val="24"/>
        </w:rPr>
        <w:t xml:space="preserve"> seeds were surface-sterilized in 1.5-m</w:t>
      </w:r>
      <w:r>
        <w:rPr>
          <w:rFonts w:ascii="Arial" w:hAnsi="Arial" w:cs="Arial"/>
          <w:sz w:val="24"/>
          <w:szCs w:val="24"/>
        </w:rPr>
        <w:t>L</w:t>
      </w:r>
      <w:r w:rsidRPr="00AA705E">
        <w:rPr>
          <w:rFonts w:ascii="Arial" w:hAnsi="Arial" w:cs="Arial"/>
          <w:sz w:val="24"/>
          <w:szCs w:val="24"/>
        </w:rPr>
        <w:t xml:space="preserve"> polypropylene tubes. We incubated seeds in 1.5</w:t>
      </w:r>
      <w:r>
        <w:rPr>
          <w:rFonts w:ascii="Arial" w:hAnsi="Arial" w:cs="Arial"/>
          <w:sz w:val="24"/>
          <w:szCs w:val="24"/>
        </w:rPr>
        <w:t> </w:t>
      </w:r>
      <w:r w:rsidRPr="00AA705E">
        <w:rPr>
          <w:rFonts w:ascii="Arial" w:hAnsi="Arial" w:cs="Arial"/>
          <w:sz w:val="24"/>
          <w:szCs w:val="24"/>
        </w:rPr>
        <w:t>m</w:t>
      </w:r>
      <w:r>
        <w:rPr>
          <w:rFonts w:ascii="Arial" w:hAnsi="Arial" w:cs="Arial"/>
          <w:sz w:val="24"/>
          <w:szCs w:val="24"/>
        </w:rPr>
        <w:t>L</w:t>
      </w:r>
      <w:r w:rsidRPr="00AA705E">
        <w:rPr>
          <w:rFonts w:ascii="Arial" w:hAnsi="Arial" w:cs="Arial"/>
          <w:sz w:val="24"/>
          <w:szCs w:val="24"/>
        </w:rPr>
        <w:t xml:space="preserve"> 70% (v/v) ethanol (anal. grade) for 5</w:t>
      </w:r>
      <w:r>
        <w:rPr>
          <w:rFonts w:ascii="Arial" w:hAnsi="Arial" w:cs="Arial"/>
          <w:sz w:val="24"/>
          <w:szCs w:val="24"/>
        </w:rPr>
        <w:t> </w:t>
      </w:r>
      <w:r w:rsidRPr="00AA705E">
        <w:rPr>
          <w:rFonts w:ascii="Arial" w:hAnsi="Arial" w:cs="Arial"/>
          <w:sz w:val="24"/>
          <w:szCs w:val="24"/>
        </w:rPr>
        <w:t>min, washed in 1</w:t>
      </w:r>
      <w:r>
        <w:rPr>
          <w:rFonts w:ascii="Arial" w:hAnsi="Arial" w:cs="Arial"/>
          <w:sz w:val="24"/>
          <w:szCs w:val="24"/>
        </w:rPr>
        <w:t> </w:t>
      </w:r>
      <w:r w:rsidRPr="00AA705E">
        <w:rPr>
          <w:rFonts w:ascii="Arial" w:hAnsi="Arial" w:cs="Arial"/>
          <w:sz w:val="24"/>
          <w:szCs w:val="24"/>
        </w:rPr>
        <w:t>m</w:t>
      </w:r>
      <w:r>
        <w:rPr>
          <w:rFonts w:ascii="Arial" w:hAnsi="Arial" w:cs="Arial"/>
          <w:sz w:val="24"/>
          <w:szCs w:val="24"/>
        </w:rPr>
        <w:t>L</w:t>
      </w:r>
      <w:r w:rsidRPr="00AA705E">
        <w:rPr>
          <w:rFonts w:ascii="Arial" w:hAnsi="Arial" w:cs="Arial"/>
          <w:sz w:val="24"/>
          <w:szCs w:val="24"/>
        </w:rPr>
        <w:t xml:space="preserve"> sterile ultrapure water for 1</w:t>
      </w:r>
      <w:r>
        <w:rPr>
          <w:rFonts w:ascii="Arial" w:hAnsi="Arial" w:cs="Arial"/>
          <w:sz w:val="24"/>
          <w:szCs w:val="24"/>
        </w:rPr>
        <w:t> </w:t>
      </w:r>
      <w:r w:rsidRPr="00AA705E">
        <w:rPr>
          <w:rFonts w:ascii="Arial" w:hAnsi="Arial" w:cs="Arial"/>
          <w:sz w:val="24"/>
          <w:szCs w:val="24"/>
        </w:rPr>
        <w:t>min, followed by two 10</w:t>
      </w:r>
      <w:r>
        <w:rPr>
          <w:rFonts w:ascii="Arial" w:hAnsi="Arial" w:cs="Arial"/>
          <w:sz w:val="24"/>
          <w:szCs w:val="24"/>
        </w:rPr>
        <w:t> </w:t>
      </w:r>
      <w:r w:rsidRPr="00AA705E">
        <w:rPr>
          <w:rFonts w:ascii="Arial" w:hAnsi="Arial" w:cs="Arial"/>
          <w:sz w:val="24"/>
          <w:szCs w:val="24"/>
        </w:rPr>
        <w:t>min incubations in 3.25% (w/v) Na</w:t>
      </w:r>
      <w:r>
        <w:rPr>
          <w:rFonts w:ascii="Arial" w:hAnsi="Arial" w:cs="Arial"/>
          <w:sz w:val="24"/>
          <w:szCs w:val="24"/>
        </w:rPr>
        <w:t>O</w:t>
      </w:r>
      <w:r w:rsidRPr="00AA705E">
        <w:rPr>
          <w:rFonts w:ascii="Arial" w:hAnsi="Arial" w:cs="Arial"/>
          <w:sz w:val="24"/>
          <w:szCs w:val="24"/>
        </w:rPr>
        <w:t>Cl with 0.05% (v/v) Tween 20, and four washes with 1</w:t>
      </w:r>
      <w:r>
        <w:rPr>
          <w:rFonts w:ascii="Arial" w:hAnsi="Arial" w:cs="Arial"/>
          <w:sz w:val="24"/>
          <w:szCs w:val="24"/>
        </w:rPr>
        <w:t> </w:t>
      </w:r>
      <w:r w:rsidRPr="00AA705E">
        <w:rPr>
          <w:rFonts w:ascii="Arial" w:hAnsi="Arial" w:cs="Arial"/>
          <w:sz w:val="24"/>
          <w:szCs w:val="24"/>
        </w:rPr>
        <w:t>m</w:t>
      </w:r>
      <w:r>
        <w:rPr>
          <w:rFonts w:ascii="Arial" w:hAnsi="Arial" w:cs="Arial"/>
          <w:sz w:val="24"/>
          <w:szCs w:val="24"/>
        </w:rPr>
        <w:t>L</w:t>
      </w:r>
      <w:r w:rsidRPr="00AA705E">
        <w:rPr>
          <w:rFonts w:ascii="Arial" w:hAnsi="Arial" w:cs="Arial"/>
          <w:sz w:val="24"/>
          <w:szCs w:val="24"/>
        </w:rPr>
        <w:t xml:space="preserve"> sterile ultrapure water. The sterilized seeds were then transferred onto round polystyrene petri plates (9.2</w:t>
      </w:r>
      <w:r>
        <w:rPr>
          <w:rFonts w:ascii="Arial" w:hAnsi="Arial" w:cs="Arial"/>
          <w:sz w:val="24"/>
          <w:szCs w:val="24"/>
        </w:rPr>
        <w:t> </w:t>
      </w:r>
      <w:r w:rsidRPr="00AA705E">
        <w:rPr>
          <w:rFonts w:ascii="Arial" w:hAnsi="Arial" w:cs="Arial"/>
          <w:sz w:val="24"/>
          <w:szCs w:val="24"/>
        </w:rPr>
        <w:t>cm Ø x 16</w:t>
      </w:r>
      <w:r>
        <w:rPr>
          <w:rFonts w:ascii="Arial" w:hAnsi="Arial" w:cs="Arial"/>
          <w:sz w:val="24"/>
          <w:szCs w:val="24"/>
        </w:rPr>
        <w:t> </w:t>
      </w:r>
      <w:r w:rsidRPr="00AA705E">
        <w:rPr>
          <w:rFonts w:ascii="Arial" w:hAnsi="Arial" w:cs="Arial"/>
          <w:sz w:val="24"/>
          <w:szCs w:val="24"/>
        </w:rPr>
        <w:t>mm, Sarstedt, Nümbrecht, Germany), each filled with 40</w:t>
      </w:r>
      <w:r>
        <w:rPr>
          <w:rFonts w:ascii="Arial" w:hAnsi="Arial" w:cs="Arial"/>
          <w:sz w:val="24"/>
          <w:szCs w:val="24"/>
        </w:rPr>
        <w:t> </w:t>
      </w:r>
      <w:r w:rsidRPr="00AA705E">
        <w:rPr>
          <w:rFonts w:ascii="Arial" w:hAnsi="Arial" w:cs="Arial"/>
          <w:sz w:val="24"/>
          <w:szCs w:val="24"/>
        </w:rPr>
        <w:t>mL 0.5x MS medium containing 1% (w/v) sucrose, and solidified with 1% (w/v) agar (type M), incubated at 4°C in the dark for 3</w:t>
      </w:r>
      <w:r>
        <w:rPr>
          <w:rFonts w:ascii="Arial" w:hAnsi="Arial" w:cs="Arial"/>
          <w:sz w:val="24"/>
          <w:szCs w:val="24"/>
        </w:rPr>
        <w:t> </w:t>
      </w:r>
      <w:r w:rsidRPr="00AA705E">
        <w:rPr>
          <w:rFonts w:ascii="Arial" w:hAnsi="Arial" w:cs="Arial"/>
          <w:sz w:val="24"/>
          <w:szCs w:val="24"/>
        </w:rPr>
        <w:t>d</w:t>
      </w:r>
      <w:r>
        <w:rPr>
          <w:rFonts w:ascii="Arial" w:hAnsi="Arial" w:cs="Arial"/>
          <w:sz w:val="24"/>
          <w:szCs w:val="24"/>
        </w:rPr>
        <w:t>ays</w:t>
      </w:r>
      <w:r w:rsidRPr="00AA705E">
        <w:rPr>
          <w:rFonts w:ascii="Arial" w:hAnsi="Arial" w:cs="Arial"/>
          <w:sz w:val="24"/>
          <w:szCs w:val="24"/>
        </w:rPr>
        <w:t>, then placed vertically into a climate-controlled growth chamber for 10</w:t>
      </w:r>
      <w:r>
        <w:rPr>
          <w:rFonts w:ascii="Arial" w:hAnsi="Arial" w:cs="Arial"/>
          <w:sz w:val="24"/>
          <w:szCs w:val="24"/>
        </w:rPr>
        <w:t> </w:t>
      </w:r>
      <w:r w:rsidRPr="00AA705E">
        <w:rPr>
          <w:rFonts w:ascii="Arial" w:hAnsi="Arial" w:cs="Arial"/>
          <w:sz w:val="24"/>
          <w:szCs w:val="24"/>
        </w:rPr>
        <w:t>d</w:t>
      </w:r>
      <w:r>
        <w:rPr>
          <w:rFonts w:ascii="Arial" w:hAnsi="Arial" w:cs="Arial"/>
          <w:sz w:val="24"/>
          <w:szCs w:val="24"/>
        </w:rPr>
        <w:t>ays</w:t>
      </w:r>
      <w:r w:rsidRPr="00AA705E">
        <w:rPr>
          <w:rFonts w:ascii="Arial" w:hAnsi="Arial" w:cs="Arial"/>
          <w:sz w:val="24"/>
          <w:szCs w:val="24"/>
        </w:rPr>
        <w:t xml:space="preserve"> (22°C/18°C, 11</w:t>
      </w:r>
      <w:r>
        <w:rPr>
          <w:rFonts w:ascii="Arial" w:hAnsi="Arial" w:cs="Arial"/>
          <w:sz w:val="24"/>
          <w:szCs w:val="24"/>
        </w:rPr>
        <w:t> </w:t>
      </w:r>
      <w:r w:rsidRPr="00AA705E">
        <w:rPr>
          <w:rFonts w:ascii="Arial" w:hAnsi="Arial" w:cs="Arial"/>
          <w:sz w:val="24"/>
          <w:szCs w:val="24"/>
        </w:rPr>
        <w:t>h light, 120</w:t>
      </w:r>
      <w:r>
        <w:rPr>
          <w:rFonts w:ascii="Arial" w:hAnsi="Arial" w:cs="Arial"/>
          <w:sz w:val="24"/>
          <w:szCs w:val="24"/>
        </w:rPr>
        <w:t> </w:t>
      </w:r>
      <w:r w:rsidRPr="00AA705E">
        <w:rPr>
          <w:rFonts w:ascii="Arial" w:hAnsi="Arial" w:cs="Arial"/>
          <w:sz w:val="24"/>
          <w:szCs w:val="24"/>
        </w:rPr>
        <w:t>µmol m</w:t>
      </w:r>
      <w:r w:rsidRPr="00AA705E">
        <w:rPr>
          <w:rFonts w:ascii="Arial" w:hAnsi="Arial" w:cs="Arial"/>
          <w:sz w:val="24"/>
          <w:szCs w:val="24"/>
          <w:vertAlign w:val="superscript"/>
        </w:rPr>
        <w:t>-2</w:t>
      </w:r>
      <w:r w:rsidRPr="00AA705E">
        <w:rPr>
          <w:rFonts w:ascii="Arial" w:hAnsi="Arial" w:cs="Arial"/>
          <w:sz w:val="24"/>
          <w:szCs w:val="24"/>
        </w:rPr>
        <w:t xml:space="preserve"> s</w:t>
      </w:r>
      <w:r w:rsidRPr="00AA705E">
        <w:rPr>
          <w:rFonts w:ascii="Arial" w:hAnsi="Arial" w:cs="Arial"/>
          <w:sz w:val="24"/>
          <w:szCs w:val="24"/>
          <w:vertAlign w:val="superscript"/>
        </w:rPr>
        <w:t>-1</w:t>
      </w:r>
      <w:r w:rsidRPr="00AA705E">
        <w:rPr>
          <w:rFonts w:ascii="Arial" w:hAnsi="Arial" w:cs="Arial"/>
          <w:sz w:val="24"/>
          <w:szCs w:val="24"/>
        </w:rPr>
        <w:t xml:space="preserve">; Percival, CLF Plant Climatics, Emersacker, Germany). For vegetative propagation of </w:t>
      </w:r>
      <w:r w:rsidRPr="00AA705E">
        <w:rPr>
          <w:rFonts w:ascii="Arial" w:hAnsi="Arial" w:cs="Arial"/>
          <w:i/>
          <w:sz w:val="24"/>
          <w:szCs w:val="24"/>
        </w:rPr>
        <w:t>A.</w:t>
      </w:r>
      <w:r>
        <w:rPr>
          <w:rFonts w:ascii="Arial" w:hAnsi="Arial" w:cs="Arial"/>
          <w:i/>
          <w:sz w:val="24"/>
          <w:szCs w:val="24"/>
        </w:rPr>
        <w:t> </w:t>
      </w:r>
      <w:r w:rsidRPr="00AA705E">
        <w:rPr>
          <w:rFonts w:ascii="Arial" w:hAnsi="Arial" w:cs="Arial"/>
          <w:i/>
          <w:sz w:val="24"/>
          <w:szCs w:val="24"/>
        </w:rPr>
        <w:t>halleri</w:t>
      </w:r>
      <w:r w:rsidRPr="00AA705E">
        <w:rPr>
          <w:rFonts w:ascii="Arial" w:hAnsi="Arial" w:cs="Arial"/>
          <w:sz w:val="24"/>
          <w:szCs w:val="24"/>
        </w:rPr>
        <w:t xml:space="preserve"> plants vegetative stolons (~ 2</w:t>
      </w:r>
      <w:r>
        <w:rPr>
          <w:rFonts w:ascii="Arial" w:hAnsi="Arial" w:cs="Arial"/>
          <w:sz w:val="24"/>
          <w:szCs w:val="24"/>
        </w:rPr>
        <w:t xml:space="preserve"> </w:t>
      </w:r>
      <w:r w:rsidRPr="00AA705E">
        <w:rPr>
          <w:rFonts w:ascii="Arial" w:hAnsi="Arial" w:cs="Arial"/>
          <w:sz w:val="24"/>
          <w:szCs w:val="24"/>
        </w:rPr>
        <w:t>cm in length) were cut from mother plants and transferred into peat:sand mix for rooting and pre-cultivation for 17</w:t>
      </w:r>
      <w:r>
        <w:rPr>
          <w:rFonts w:ascii="Arial" w:hAnsi="Arial" w:cs="Arial"/>
          <w:sz w:val="24"/>
          <w:szCs w:val="24"/>
        </w:rPr>
        <w:t> days (see M</w:t>
      </w:r>
      <w:r w:rsidRPr="00AA705E">
        <w:rPr>
          <w:rFonts w:ascii="Arial" w:hAnsi="Arial" w:cs="Arial"/>
          <w:sz w:val="24"/>
          <w:szCs w:val="24"/>
        </w:rPr>
        <w:t>ethods).</w:t>
      </w:r>
    </w:p>
    <w:p w:rsidR="00260DEB" w:rsidRPr="00AA705E" w:rsidRDefault="00260DEB" w:rsidP="003F1093">
      <w:pPr>
        <w:spacing w:after="120" w:line="288" w:lineRule="auto"/>
        <w:jc w:val="both"/>
        <w:rPr>
          <w:rFonts w:ascii="Arial" w:hAnsi="Arial" w:cs="Arial"/>
          <w:sz w:val="24"/>
          <w:szCs w:val="24"/>
        </w:rPr>
      </w:pPr>
    </w:p>
    <w:p w:rsidR="00260DEB" w:rsidRPr="00AA705E" w:rsidRDefault="00260DEB" w:rsidP="003F1093">
      <w:pPr>
        <w:pStyle w:val="indentbody"/>
        <w:spacing w:before="0"/>
        <w:ind w:firstLine="0"/>
        <w:jc w:val="both"/>
        <w:rPr>
          <w:rFonts w:ascii="Arial Narrow" w:hAnsi="Arial Narrow" w:cs="Arial"/>
          <w:color w:val="auto"/>
          <w:sz w:val="28"/>
          <w:szCs w:val="28"/>
          <w:lang w:val="en-GB"/>
        </w:rPr>
      </w:pPr>
      <w:r w:rsidRPr="00AA705E">
        <w:rPr>
          <w:rFonts w:ascii="Arial Narrow" w:eastAsia="Helvetica" w:hAnsi="Arial Narrow" w:cs="Arial"/>
          <w:bCs/>
          <w:color w:val="339966"/>
          <w:sz w:val="28"/>
          <w:szCs w:val="28"/>
          <w:lang w:val="en-GB"/>
        </w:rPr>
        <w:t>(</w:t>
      </w:r>
      <w:r>
        <w:rPr>
          <w:rFonts w:ascii="Arial Narrow" w:eastAsia="Helvetica" w:hAnsi="Arial Narrow" w:cs="Arial"/>
          <w:bCs/>
          <w:color w:val="339966"/>
          <w:sz w:val="28"/>
          <w:szCs w:val="28"/>
          <w:lang w:val="en-GB"/>
        </w:rPr>
        <w:t>b</w:t>
      </w:r>
      <w:r w:rsidRPr="00AA705E">
        <w:rPr>
          <w:rFonts w:ascii="Arial Narrow" w:eastAsia="Helvetica" w:hAnsi="Arial Narrow" w:cs="Arial"/>
          <w:bCs/>
          <w:color w:val="339966"/>
          <w:sz w:val="28"/>
          <w:szCs w:val="28"/>
          <w:lang w:val="en-GB"/>
        </w:rPr>
        <w:t>) DNA extraction from freeze-dried plant leaves</w:t>
      </w:r>
    </w:p>
    <w:p w:rsidR="00260DEB" w:rsidRDefault="00260DEB" w:rsidP="000862A4">
      <w:pPr>
        <w:spacing w:after="120" w:line="288" w:lineRule="auto"/>
        <w:jc w:val="both"/>
        <w:rPr>
          <w:rFonts w:ascii="Arial" w:hAnsi="Arial" w:cs="Arial"/>
          <w:sz w:val="24"/>
          <w:szCs w:val="24"/>
        </w:rPr>
      </w:pPr>
      <w:r w:rsidRPr="00AA705E">
        <w:rPr>
          <w:rFonts w:ascii="Arial" w:hAnsi="Arial" w:cs="Arial"/>
          <w:sz w:val="24"/>
          <w:szCs w:val="24"/>
        </w:rPr>
        <w:t>CTAB buffer was composed of 2% (w/v) CTAB, 10% (v/v) 1</w:t>
      </w:r>
      <w:r>
        <w:rPr>
          <w:rFonts w:ascii="Arial" w:hAnsi="Arial" w:cs="Arial"/>
          <w:sz w:val="24"/>
          <w:szCs w:val="24"/>
        </w:rPr>
        <w:t> </w:t>
      </w:r>
      <w:r w:rsidRPr="00AA705E">
        <w:rPr>
          <w:rFonts w:ascii="Arial" w:hAnsi="Arial" w:cs="Arial"/>
          <w:sz w:val="24"/>
          <w:szCs w:val="24"/>
        </w:rPr>
        <w:t>M Tris pH 8.0, 28% (v/v) 5</w:t>
      </w:r>
      <w:r>
        <w:rPr>
          <w:rFonts w:ascii="Arial" w:hAnsi="Arial" w:cs="Arial"/>
          <w:sz w:val="24"/>
          <w:szCs w:val="24"/>
        </w:rPr>
        <w:t> </w:t>
      </w:r>
      <w:r w:rsidRPr="00AA705E">
        <w:rPr>
          <w:rFonts w:ascii="Arial" w:hAnsi="Arial" w:cs="Arial"/>
          <w:sz w:val="24"/>
          <w:szCs w:val="24"/>
        </w:rPr>
        <w:t>M NaCl, 4% (v/v) 0.5</w:t>
      </w:r>
      <w:r>
        <w:rPr>
          <w:rFonts w:ascii="Arial" w:hAnsi="Arial" w:cs="Arial"/>
          <w:sz w:val="24"/>
          <w:szCs w:val="24"/>
        </w:rPr>
        <w:t> </w:t>
      </w:r>
      <w:r w:rsidRPr="00AA705E">
        <w:rPr>
          <w:rFonts w:ascii="Arial" w:hAnsi="Arial" w:cs="Arial"/>
          <w:sz w:val="24"/>
          <w:szCs w:val="24"/>
        </w:rPr>
        <w:t xml:space="preserve">M EDTA pH 8.0, 0.1% (v/v) 2-mercaptoethanol </w:t>
      </w:r>
      <w:r>
        <w:rPr>
          <w:rFonts w:ascii="Arial" w:hAnsi="Arial" w:cs="Arial"/>
          <w:noProof/>
          <w:sz w:val="24"/>
          <w:szCs w:val="24"/>
        </w:rPr>
        <w:t>[1]</w:t>
      </w:r>
      <w:r>
        <w:rPr>
          <w:rFonts w:ascii="Arial" w:hAnsi="Arial" w:cs="Arial"/>
          <w:sz w:val="24"/>
          <w:szCs w:val="24"/>
        </w:rPr>
        <w:t xml:space="preserve"> </w:t>
      </w:r>
      <w:r w:rsidRPr="00AA705E">
        <w:rPr>
          <w:rFonts w:ascii="Arial" w:hAnsi="Arial" w:cs="Arial"/>
          <w:sz w:val="24"/>
          <w:szCs w:val="24"/>
        </w:rPr>
        <w:t>and it additionally contained 1.5% (w/v) PVP-40 and 1% (w/v) Na</w:t>
      </w:r>
      <w:r w:rsidRPr="00AA705E">
        <w:rPr>
          <w:rFonts w:ascii="Arial" w:hAnsi="Arial" w:cs="Arial"/>
          <w:sz w:val="24"/>
          <w:szCs w:val="24"/>
          <w:vertAlign w:val="subscript"/>
        </w:rPr>
        <w:t>2</w:t>
      </w:r>
      <w:r w:rsidRPr="00AA705E">
        <w:rPr>
          <w:rFonts w:ascii="Arial" w:hAnsi="Arial" w:cs="Arial"/>
          <w:sz w:val="24"/>
          <w:szCs w:val="24"/>
        </w:rPr>
        <w:t>S</w:t>
      </w:r>
      <w:r w:rsidRPr="00AA705E">
        <w:rPr>
          <w:rFonts w:ascii="Arial" w:hAnsi="Arial" w:cs="Arial"/>
          <w:sz w:val="24"/>
          <w:szCs w:val="24"/>
          <w:vertAlign w:val="subscript"/>
        </w:rPr>
        <w:t>2</w:t>
      </w:r>
      <w:r w:rsidRPr="00AA705E">
        <w:rPr>
          <w:rFonts w:ascii="Arial" w:hAnsi="Arial" w:cs="Arial"/>
          <w:sz w:val="24"/>
          <w:szCs w:val="24"/>
        </w:rPr>
        <w:t>O</w:t>
      </w:r>
      <w:r w:rsidRPr="00AA705E">
        <w:rPr>
          <w:rFonts w:ascii="Arial" w:hAnsi="Arial" w:cs="Arial"/>
          <w:sz w:val="24"/>
          <w:szCs w:val="24"/>
          <w:vertAlign w:val="subscript"/>
        </w:rPr>
        <w:t>5</w:t>
      </w:r>
      <w:r w:rsidRPr="00AA705E">
        <w:rPr>
          <w:rFonts w:ascii="Arial" w:hAnsi="Arial" w:cs="Arial"/>
          <w:sz w:val="24"/>
          <w:szCs w:val="24"/>
        </w:rPr>
        <w:t xml:space="preserve">. The samples were </w:t>
      </w:r>
      <w:r>
        <w:rPr>
          <w:rFonts w:ascii="Arial" w:hAnsi="Arial" w:cs="Arial"/>
          <w:sz w:val="24"/>
          <w:szCs w:val="24"/>
        </w:rPr>
        <w:t xml:space="preserve">mixed with the CTAB buffer by vigorous vortexing for 1 min and then </w:t>
      </w:r>
      <w:r w:rsidRPr="00AA705E">
        <w:rPr>
          <w:rFonts w:ascii="Arial" w:hAnsi="Arial" w:cs="Arial"/>
          <w:sz w:val="24"/>
          <w:szCs w:val="24"/>
        </w:rPr>
        <w:t>incubated for 60</w:t>
      </w:r>
      <w:r>
        <w:rPr>
          <w:rFonts w:ascii="Arial" w:hAnsi="Arial" w:cs="Arial"/>
          <w:sz w:val="24"/>
          <w:szCs w:val="24"/>
        </w:rPr>
        <w:t> </w:t>
      </w:r>
      <w:r w:rsidRPr="00AA705E">
        <w:rPr>
          <w:rFonts w:ascii="Arial" w:hAnsi="Arial" w:cs="Arial"/>
          <w:sz w:val="24"/>
          <w:szCs w:val="24"/>
        </w:rPr>
        <w:t>min at 65°C. We added 0.9</w:t>
      </w:r>
      <w:r>
        <w:rPr>
          <w:rFonts w:ascii="Arial" w:hAnsi="Arial" w:cs="Arial"/>
          <w:sz w:val="24"/>
          <w:szCs w:val="24"/>
        </w:rPr>
        <w:t> </w:t>
      </w:r>
      <w:r w:rsidRPr="00AA705E">
        <w:rPr>
          <w:rFonts w:ascii="Arial" w:hAnsi="Arial" w:cs="Arial"/>
          <w:sz w:val="24"/>
          <w:szCs w:val="24"/>
        </w:rPr>
        <w:t>mL chloroform (containing 4% v/v isoamylalcohol), mixed gently and centrifuged at 8000</w:t>
      </w:r>
      <w:r>
        <w:rPr>
          <w:rFonts w:ascii="Arial" w:hAnsi="Arial" w:cs="Arial"/>
          <w:sz w:val="24"/>
          <w:szCs w:val="24"/>
        </w:rPr>
        <w:t> </w:t>
      </w:r>
      <w:r w:rsidRPr="00AA705E">
        <w:rPr>
          <w:rFonts w:ascii="Arial" w:hAnsi="Arial" w:cs="Arial"/>
          <w:i/>
          <w:sz w:val="24"/>
          <w:szCs w:val="24"/>
        </w:rPr>
        <w:t>g</w:t>
      </w:r>
      <w:r w:rsidRPr="00AA705E">
        <w:rPr>
          <w:rFonts w:ascii="Arial" w:hAnsi="Arial" w:cs="Arial"/>
          <w:sz w:val="24"/>
          <w:szCs w:val="24"/>
        </w:rPr>
        <w:t xml:space="preserve"> for 10</w:t>
      </w:r>
      <w:r>
        <w:rPr>
          <w:rFonts w:ascii="Arial" w:hAnsi="Arial" w:cs="Arial"/>
          <w:sz w:val="24"/>
          <w:szCs w:val="24"/>
        </w:rPr>
        <w:t> </w:t>
      </w:r>
      <w:r w:rsidRPr="00AA705E">
        <w:rPr>
          <w:rFonts w:ascii="Arial" w:hAnsi="Arial" w:cs="Arial"/>
          <w:sz w:val="24"/>
          <w:szCs w:val="24"/>
        </w:rPr>
        <w:t>min at room temperature. The aqueous layer was recovered (~0.75</w:t>
      </w:r>
      <w:r>
        <w:rPr>
          <w:rFonts w:ascii="Arial" w:hAnsi="Arial" w:cs="Arial"/>
          <w:sz w:val="24"/>
          <w:szCs w:val="24"/>
        </w:rPr>
        <w:t> </w:t>
      </w:r>
      <w:r w:rsidRPr="00AA705E">
        <w:rPr>
          <w:rFonts w:ascii="Arial" w:hAnsi="Arial" w:cs="Arial"/>
          <w:sz w:val="24"/>
          <w:szCs w:val="24"/>
        </w:rPr>
        <w:t>mL) and mixed with 5</w:t>
      </w:r>
      <w:r>
        <w:rPr>
          <w:rFonts w:ascii="Arial" w:hAnsi="Arial" w:cs="Arial"/>
          <w:sz w:val="24"/>
          <w:szCs w:val="24"/>
        </w:rPr>
        <w:t> </w:t>
      </w:r>
      <w:r w:rsidRPr="00AA705E">
        <w:rPr>
          <w:rFonts w:ascii="Arial" w:hAnsi="Arial" w:cs="Arial"/>
          <w:sz w:val="24"/>
          <w:szCs w:val="24"/>
        </w:rPr>
        <w:t>µL of 10</w:t>
      </w:r>
      <w:r>
        <w:rPr>
          <w:rFonts w:ascii="Arial" w:hAnsi="Arial" w:cs="Arial"/>
          <w:sz w:val="24"/>
          <w:szCs w:val="24"/>
        </w:rPr>
        <w:t> </w:t>
      </w:r>
      <w:r w:rsidRPr="00AA705E">
        <w:rPr>
          <w:rFonts w:ascii="Arial" w:hAnsi="Arial" w:cs="Arial"/>
          <w:sz w:val="24"/>
          <w:szCs w:val="24"/>
        </w:rPr>
        <w:t>mg</w:t>
      </w:r>
      <w:r>
        <w:rPr>
          <w:rFonts w:ascii="Arial" w:hAnsi="Arial" w:cs="Arial"/>
          <w:sz w:val="24"/>
          <w:szCs w:val="24"/>
        </w:rPr>
        <w:t> </w:t>
      </w:r>
      <w:r w:rsidRPr="00AA705E">
        <w:rPr>
          <w:rFonts w:ascii="Arial" w:hAnsi="Arial" w:cs="Arial"/>
          <w:sz w:val="24"/>
          <w:szCs w:val="24"/>
        </w:rPr>
        <w:t>mL</w:t>
      </w:r>
      <w:r w:rsidRPr="00AA705E">
        <w:rPr>
          <w:rFonts w:ascii="Arial" w:hAnsi="Arial" w:cs="Arial"/>
          <w:sz w:val="24"/>
          <w:szCs w:val="24"/>
          <w:vertAlign w:val="superscript"/>
        </w:rPr>
        <w:t>-1</w:t>
      </w:r>
      <w:r w:rsidRPr="00AA705E">
        <w:rPr>
          <w:rFonts w:ascii="Arial" w:hAnsi="Arial" w:cs="Arial"/>
          <w:sz w:val="24"/>
          <w:szCs w:val="24"/>
        </w:rPr>
        <w:t xml:space="preserve"> RNAse A. and incubated for 20</w:t>
      </w:r>
      <w:r>
        <w:rPr>
          <w:rFonts w:ascii="Arial" w:hAnsi="Arial" w:cs="Arial"/>
          <w:sz w:val="24"/>
          <w:szCs w:val="24"/>
        </w:rPr>
        <w:t> </w:t>
      </w:r>
      <w:r w:rsidRPr="00AA705E">
        <w:rPr>
          <w:rFonts w:ascii="Arial" w:hAnsi="Arial" w:cs="Arial"/>
          <w:sz w:val="24"/>
          <w:szCs w:val="24"/>
        </w:rPr>
        <w:t>min at 37°C followed by an extraction with 0.75</w:t>
      </w:r>
      <w:r>
        <w:rPr>
          <w:rFonts w:ascii="Arial" w:hAnsi="Arial" w:cs="Arial"/>
          <w:sz w:val="24"/>
          <w:szCs w:val="24"/>
        </w:rPr>
        <w:t> </w:t>
      </w:r>
      <w:r w:rsidRPr="00AA705E">
        <w:rPr>
          <w:rFonts w:ascii="Arial" w:hAnsi="Arial" w:cs="Arial"/>
          <w:sz w:val="24"/>
          <w:szCs w:val="24"/>
        </w:rPr>
        <w:t>mL phenol:chloroform mix (50% v/v phenol (TE-buffered pH 7.5-8.0), 48% v/v chloroform, 2% v/v isoamylalcohol) and centrifugation at 8000</w:t>
      </w:r>
      <w:r>
        <w:rPr>
          <w:rFonts w:ascii="Arial" w:hAnsi="Arial" w:cs="Arial"/>
          <w:sz w:val="24"/>
          <w:szCs w:val="24"/>
        </w:rPr>
        <w:t> </w:t>
      </w:r>
      <w:r w:rsidRPr="00AA705E">
        <w:rPr>
          <w:rFonts w:ascii="Arial" w:hAnsi="Arial" w:cs="Arial"/>
          <w:i/>
          <w:sz w:val="24"/>
          <w:szCs w:val="24"/>
        </w:rPr>
        <w:t>g</w:t>
      </w:r>
      <w:r w:rsidRPr="00AA705E">
        <w:rPr>
          <w:rFonts w:ascii="Arial" w:hAnsi="Arial" w:cs="Arial"/>
          <w:sz w:val="24"/>
          <w:szCs w:val="24"/>
        </w:rPr>
        <w:t xml:space="preserve"> for 10</w:t>
      </w:r>
      <w:r>
        <w:rPr>
          <w:rFonts w:ascii="Arial" w:hAnsi="Arial" w:cs="Arial"/>
          <w:sz w:val="24"/>
          <w:szCs w:val="24"/>
        </w:rPr>
        <w:t> </w:t>
      </w:r>
      <w:r w:rsidRPr="00AA705E">
        <w:rPr>
          <w:rFonts w:ascii="Arial" w:hAnsi="Arial" w:cs="Arial"/>
          <w:sz w:val="24"/>
          <w:szCs w:val="24"/>
        </w:rPr>
        <w:t>min at 10°C. The aqueous phase (0.6</w:t>
      </w:r>
      <w:r>
        <w:rPr>
          <w:rFonts w:ascii="Arial" w:hAnsi="Arial" w:cs="Arial"/>
          <w:sz w:val="24"/>
          <w:szCs w:val="24"/>
        </w:rPr>
        <w:t> </w:t>
      </w:r>
      <w:r w:rsidRPr="00AA705E">
        <w:rPr>
          <w:rFonts w:ascii="Arial" w:hAnsi="Arial" w:cs="Arial"/>
          <w:sz w:val="24"/>
          <w:szCs w:val="24"/>
        </w:rPr>
        <w:t>m</w:t>
      </w:r>
      <w:r>
        <w:rPr>
          <w:rFonts w:ascii="Arial" w:hAnsi="Arial" w:cs="Arial"/>
          <w:sz w:val="24"/>
          <w:szCs w:val="24"/>
        </w:rPr>
        <w:t>L</w:t>
      </w:r>
      <w:r w:rsidRPr="00AA705E">
        <w:rPr>
          <w:rFonts w:ascii="Arial" w:hAnsi="Arial" w:cs="Arial"/>
          <w:sz w:val="24"/>
          <w:szCs w:val="24"/>
        </w:rPr>
        <w:t>) was mixed by inverting 45 times with 0.48</w:t>
      </w:r>
      <w:r>
        <w:rPr>
          <w:rFonts w:ascii="Arial" w:hAnsi="Arial" w:cs="Arial"/>
          <w:sz w:val="24"/>
          <w:szCs w:val="24"/>
        </w:rPr>
        <w:t> </w:t>
      </w:r>
      <w:r w:rsidRPr="00AA705E">
        <w:rPr>
          <w:rFonts w:ascii="Arial" w:hAnsi="Arial" w:cs="Arial"/>
          <w:sz w:val="24"/>
          <w:szCs w:val="24"/>
        </w:rPr>
        <w:t>mL isopropanol and centrifuge at 8000</w:t>
      </w:r>
      <w:r>
        <w:rPr>
          <w:rFonts w:ascii="Arial" w:hAnsi="Arial" w:cs="Arial"/>
          <w:sz w:val="24"/>
          <w:szCs w:val="24"/>
        </w:rPr>
        <w:t> </w:t>
      </w:r>
      <w:r w:rsidRPr="00AA705E">
        <w:rPr>
          <w:rFonts w:ascii="Arial" w:hAnsi="Arial" w:cs="Arial"/>
          <w:sz w:val="24"/>
          <w:szCs w:val="24"/>
        </w:rPr>
        <w:t>g for 15</w:t>
      </w:r>
      <w:r>
        <w:rPr>
          <w:rFonts w:ascii="Arial" w:hAnsi="Arial" w:cs="Arial"/>
          <w:sz w:val="24"/>
          <w:szCs w:val="24"/>
        </w:rPr>
        <w:t> </w:t>
      </w:r>
      <w:r w:rsidRPr="00AA705E">
        <w:rPr>
          <w:rFonts w:ascii="Arial" w:hAnsi="Arial" w:cs="Arial"/>
          <w:sz w:val="24"/>
          <w:szCs w:val="24"/>
        </w:rPr>
        <w:t>min at 4°C for precipitation of DNA. The pellet was washed twice with 0.4</w:t>
      </w:r>
      <w:r>
        <w:rPr>
          <w:rFonts w:ascii="Arial" w:hAnsi="Arial" w:cs="Arial"/>
          <w:sz w:val="24"/>
          <w:szCs w:val="24"/>
        </w:rPr>
        <w:t> </w:t>
      </w:r>
      <w:r w:rsidRPr="00AA705E">
        <w:rPr>
          <w:rFonts w:ascii="Arial" w:hAnsi="Arial" w:cs="Arial"/>
          <w:sz w:val="24"/>
          <w:szCs w:val="24"/>
        </w:rPr>
        <w:t xml:space="preserve">mL ice-cold 80% (v/v) ethanol (anal. grade) and </w:t>
      </w:r>
      <w:r>
        <w:rPr>
          <w:rFonts w:ascii="Arial" w:hAnsi="Arial" w:cs="Arial"/>
          <w:sz w:val="24"/>
          <w:szCs w:val="24"/>
        </w:rPr>
        <w:t>air-dried</w:t>
      </w:r>
      <w:r w:rsidRPr="00AA705E">
        <w:rPr>
          <w:rFonts w:ascii="Arial" w:hAnsi="Arial" w:cs="Arial"/>
          <w:sz w:val="24"/>
          <w:szCs w:val="24"/>
        </w:rPr>
        <w:t xml:space="preserve"> at RT for 5</w:t>
      </w:r>
      <w:r>
        <w:rPr>
          <w:rFonts w:ascii="Arial" w:hAnsi="Arial" w:cs="Arial"/>
          <w:sz w:val="24"/>
          <w:szCs w:val="24"/>
        </w:rPr>
        <w:t> </w:t>
      </w:r>
      <w:r w:rsidRPr="00AA705E">
        <w:rPr>
          <w:rFonts w:ascii="Arial" w:hAnsi="Arial" w:cs="Arial"/>
          <w:sz w:val="24"/>
          <w:szCs w:val="24"/>
        </w:rPr>
        <w:t>min before addition of 40</w:t>
      </w:r>
      <w:r>
        <w:rPr>
          <w:rFonts w:ascii="Arial" w:hAnsi="Arial" w:cs="Arial"/>
          <w:sz w:val="24"/>
          <w:szCs w:val="24"/>
        </w:rPr>
        <w:t xml:space="preserve"> </w:t>
      </w:r>
      <w:r w:rsidRPr="00AA705E">
        <w:rPr>
          <w:rFonts w:ascii="Arial" w:hAnsi="Arial" w:cs="Arial"/>
          <w:sz w:val="24"/>
          <w:szCs w:val="24"/>
        </w:rPr>
        <w:t>µL T0.1E (10</w:t>
      </w:r>
      <w:r>
        <w:rPr>
          <w:rFonts w:ascii="Arial" w:hAnsi="Arial" w:cs="Arial"/>
          <w:sz w:val="24"/>
          <w:szCs w:val="24"/>
        </w:rPr>
        <w:t> </w:t>
      </w:r>
      <w:r w:rsidRPr="00AA705E">
        <w:rPr>
          <w:rFonts w:ascii="Arial" w:hAnsi="Arial" w:cs="Arial"/>
          <w:sz w:val="24"/>
          <w:szCs w:val="24"/>
        </w:rPr>
        <w:t>mM Tris-HCl, 0.1</w:t>
      </w:r>
      <w:r>
        <w:rPr>
          <w:rFonts w:ascii="Arial" w:hAnsi="Arial" w:cs="Arial"/>
          <w:sz w:val="24"/>
          <w:szCs w:val="24"/>
        </w:rPr>
        <w:t> </w:t>
      </w:r>
      <w:r w:rsidRPr="00AA705E">
        <w:rPr>
          <w:rFonts w:ascii="Arial" w:hAnsi="Arial" w:cs="Arial"/>
          <w:sz w:val="24"/>
          <w:szCs w:val="24"/>
        </w:rPr>
        <w:t>mM EDTA, pH 7.6) and gentle mixing.</w:t>
      </w:r>
    </w:p>
    <w:p w:rsidR="00260DEB" w:rsidRPr="00AA705E" w:rsidRDefault="00260DEB" w:rsidP="000862A4">
      <w:pPr>
        <w:spacing w:after="120" w:line="288" w:lineRule="auto"/>
        <w:jc w:val="both"/>
        <w:rPr>
          <w:rFonts w:ascii="Arial" w:hAnsi="Arial" w:cs="Arial"/>
          <w:sz w:val="24"/>
          <w:szCs w:val="24"/>
        </w:rPr>
      </w:pPr>
    </w:p>
    <w:p w:rsidR="00260DEB" w:rsidRPr="00AA705E" w:rsidRDefault="00260DEB" w:rsidP="000862A4">
      <w:pPr>
        <w:pStyle w:val="indentbody"/>
        <w:spacing w:before="0"/>
        <w:ind w:firstLine="0"/>
        <w:jc w:val="both"/>
        <w:rPr>
          <w:rFonts w:ascii="Arial Narrow" w:hAnsi="Arial Narrow" w:cs="Arial"/>
          <w:color w:val="auto"/>
          <w:sz w:val="28"/>
          <w:szCs w:val="28"/>
          <w:lang w:val="en-GB"/>
        </w:rPr>
      </w:pPr>
      <w:r w:rsidRPr="00AA705E">
        <w:rPr>
          <w:rFonts w:ascii="Arial Narrow" w:eastAsia="Helvetica" w:hAnsi="Arial Narrow" w:cs="Arial"/>
          <w:bCs/>
          <w:color w:val="339966"/>
          <w:sz w:val="28"/>
          <w:szCs w:val="28"/>
          <w:lang w:val="en-GB"/>
        </w:rPr>
        <w:t xml:space="preserve">(c) </w:t>
      </w:r>
      <w:r w:rsidRPr="00AA705E">
        <w:rPr>
          <w:rFonts w:ascii="Arial Narrow" w:eastAsia="Helvetica" w:hAnsi="Arial Narrow" w:cs="Arial"/>
          <w:color w:val="339966"/>
          <w:sz w:val="28"/>
          <w:szCs w:val="28"/>
          <w:lang w:val="en-GB"/>
        </w:rPr>
        <w:t>Statistical analysis of environmental and phenotypic data</w:t>
      </w:r>
    </w:p>
    <w:p w:rsidR="00260DEB" w:rsidRDefault="00260DEB" w:rsidP="000862A4">
      <w:pPr>
        <w:pStyle w:val="indentbody"/>
        <w:spacing w:before="0"/>
        <w:ind w:firstLine="0"/>
        <w:jc w:val="both"/>
        <w:rPr>
          <w:rFonts w:ascii="Arial" w:hAnsi="Arial" w:cs="Arial"/>
          <w:color w:val="auto"/>
          <w:lang w:val="en-GB"/>
        </w:rPr>
      </w:pPr>
      <w:r w:rsidRPr="00AA705E">
        <w:rPr>
          <w:rFonts w:ascii="Arial" w:hAnsi="Arial" w:cs="Arial"/>
          <w:lang w:val="en-GB"/>
        </w:rPr>
        <w:t xml:space="preserve">To test whether </w:t>
      </w:r>
      <w:r w:rsidRPr="00AA705E">
        <w:rPr>
          <w:rFonts w:ascii="Arial" w:hAnsi="Arial" w:cs="Arial"/>
          <w:i/>
          <w:lang w:val="en-GB"/>
        </w:rPr>
        <w:t>A.</w:t>
      </w:r>
      <w:r>
        <w:rPr>
          <w:rFonts w:ascii="Arial" w:hAnsi="Arial" w:cs="Arial"/>
          <w:i/>
          <w:lang w:val="en-GB"/>
        </w:rPr>
        <w:t> </w:t>
      </w:r>
      <w:r w:rsidRPr="00AA705E">
        <w:rPr>
          <w:rFonts w:ascii="Arial" w:hAnsi="Arial" w:cs="Arial"/>
          <w:i/>
          <w:lang w:val="en-GB"/>
        </w:rPr>
        <w:t>halleri</w:t>
      </w:r>
      <w:r w:rsidRPr="00AA705E">
        <w:rPr>
          <w:rFonts w:ascii="Arial" w:hAnsi="Arial" w:cs="Arial"/>
          <w:lang w:val="en-GB"/>
        </w:rPr>
        <w:t xml:space="preserve"> and </w:t>
      </w:r>
      <w:r w:rsidRPr="00AA705E">
        <w:rPr>
          <w:rFonts w:ascii="Arial" w:hAnsi="Arial" w:cs="Arial"/>
          <w:i/>
          <w:lang w:val="en-GB"/>
        </w:rPr>
        <w:t>A.</w:t>
      </w:r>
      <w:r>
        <w:rPr>
          <w:rFonts w:ascii="Arial" w:hAnsi="Arial" w:cs="Arial"/>
          <w:i/>
          <w:lang w:val="en-GB"/>
        </w:rPr>
        <w:t> </w:t>
      </w:r>
      <w:r w:rsidRPr="00AA705E">
        <w:rPr>
          <w:rFonts w:ascii="Arial" w:hAnsi="Arial" w:cs="Arial"/>
          <w:i/>
          <w:lang w:val="en-GB"/>
        </w:rPr>
        <w:t>arenosa</w:t>
      </w:r>
      <w:r w:rsidRPr="00AA705E">
        <w:rPr>
          <w:rFonts w:ascii="Arial" w:hAnsi="Arial" w:cs="Arial"/>
          <w:lang w:val="en-GB"/>
        </w:rPr>
        <w:t xml:space="preserve"> share the same edaphic microhabitats at a common site, we performed one-way ANOV</w:t>
      </w:r>
      <w:r>
        <w:rPr>
          <w:rFonts w:ascii="Arial" w:hAnsi="Arial" w:cs="Arial"/>
          <w:lang w:val="en-GB"/>
        </w:rPr>
        <w:t>A on linear models of the form “</w:t>
      </w:r>
      <w:r w:rsidRPr="00AA705E">
        <w:rPr>
          <w:rFonts w:ascii="Arial" w:hAnsi="Arial" w:cs="Arial"/>
          <w:lang w:val="en-GB"/>
        </w:rPr>
        <w:t>concentra</w:t>
      </w:r>
      <w:r>
        <w:rPr>
          <w:rFonts w:ascii="Arial" w:hAnsi="Arial" w:cs="Arial"/>
          <w:lang w:val="en-GB"/>
        </w:rPr>
        <w:t>tion of element / proton ~ species”</w:t>
      </w:r>
      <w:r w:rsidRPr="00AA705E">
        <w:rPr>
          <w:rFonts w:ascii="Arial" w:hAnsi="Arial" w:cs="Arial"/>
          <w:lang w:val="en-GB"/>
        </w:rPr>
        <w:t xml:space="preserve"> in </w:t>
      </w:r>
      <w:r>
        <w:rPr>
          <w:rFonts w:ascii="Arial" w:hAnsi="Arial" w:cs="Arial"/>
          <w:lang w:val="en-GB"/>
        </w:rPr>
        <w:t xml:space="preserve">R </w:t>
      </w:r>
      <w:r>
        <w:rPr>
          <w:rFonts w:ascii="Arial" w:hAnsi="Arial" w:cs="Arial"/>
          <w:noProof/>
          <w:lang w:val="en-GB"/>
        </w:rPr>
        <w:t>[2]</w:t>
      </w:r>
      <w:r w:rsidRPr="00AA705E">
        <w:rPr>
          <w:rFonts w:ascii="Arial" w:hAnsi="Arial" w:cs="Arial"/>
          <w:lang w:val="en-GB"/>
        </w:rPr>
        <w:t xml:space="preserve">. We tested for normal distribution of the residuals using the Shapiro test and for homoscedasticity of the variants using the </w:t>
      </w:r>
      <w:r w:rsidRPr="00AA705E">
        <w:rPr>
          <w:rFonts w:ascii="Arial" w:hAnsi="Arial" w:cs="Arial"/>
          <w:lang w:val="en-GB"/>
        </w:rPr>
        <w:lastRenderedPageBreak/>
        <w:t>Breusch-P</w:t>
      </w:r>
      <w:r>
        <w:rPr>
          <w:rFonts w:ascii="Arial" w:hAnsi="Arial" w:cs="Arial"/>
          <w:lang w:val="en-GB"/>
        </w:rPr>
        <w:t xml:space="preserve">agan test (R-package olsrr </w:t>
      </w:r>
      <w:r>
        <w:rPr>
          <w:rFonts w:ascii="Arial" w:hAnsi="Arial" w:cs="Arial"/>
          <w:noProof/>
          <w:lang w:val="en-GB"/>
        </w:rPr>
        <w:t>[3]</w:t>
      </w:r>
      <w:r w:rsidRPr="00AA705E">
        <w:rPr>
          <w:rFonts w:ascii="Arial" w:hAnsi="Arial" w:cs="Arial"/>
          <w:lang w:val="en-GB"/>
        </w:rPr>
        <w:t xml:space="preserve">). In case of violation of these assumptions, we </w:t>
      </w:r>
      <w:r>
        <w:rPr>
          <w:rFonts w:ascii="Arial" w:hAnsi="Arial" w:cs="Arial"/>
          <w:lang w:val="en-GB"/>
        </w:rPr>
        <w:t xml:space="preserve">log or rank (base functions in R; rank with ties.method set to random) </w:t>
      </w:r>
      <w:r w:rsidRPr="00AA705E">
        <w:rPr>
          <w:rFonts w:ascii="Arial" w:hAnsi="Arial" w:cs="Arial"/>
          <w:lang w:val="en-GB"/>
        </w:rPr>
        <w:t>transformed the corresponding variable prior to AN</w:t>
      </w:r>
      <w:r>
        <w:rPr>
          <w:rFonts w:ascii="Arial" w:hAnsi="Arial" w:cs="Arial"/>
          <w:lang w:val="en-GB"/>
        </w:rPr>
        <w:t xml:space="preserve">OVA (R-package MASS </w:t>
      </w:r>
      <w:r>
        <w:rPr>
          <w:rFonts w:ascii="Arial" w:hAnsi="Arial" w:cs="Arial"/>
          <w:noProof/>
          <w:lang w:val="en-GB"/>
        </w:rPr>
        <w:t>[4]</w:t>
      </w:r>
      <w:r w:rsidRPr="00AA705E">
        <w:rPr>
          <w:rFonts w:ascii="Arial" w:hAnsi="Arial" w:cs="Arial"/>
          <w:lang w:val="en-GB"/>
        </w:rPr>
        <w:t xml:space="preserve">). </w:t>
      </w:r>
      <w:r w:rsidRPr="00AA705E">
        <w:rPr>
          <w:rFonts w:ascii="Arial" w:hAnsi="Arial" w:cs="Arial"/>
          <w:color w:val="auto"/>
          <w:lang w:val="en-GB"/>
        </w:rPr>
        <w:t>To select elements that differ significantly between at least one metalliferous and both non-metalliferous populations, we performed a one-way ANOVA on linear mod</w:t>
      </w:r>
      <w:r>
        <w:rPr>
          <w:rFonts w:ascii="Arial" w:hAnsi="Arial" w:cs="Arial"/>
          <w:color w:val="auto"/>
          <w:lang w:val="en-GB"/>
        </w:rPr>
        <w:t>els of the form “</w:t>
      </w:r>
      <w:r w:rsidRPr="00AA705E">
        <w:rPr>
          <w:rFonts w:ascii="Arial" w:hAnsi="Arial" w:cs="Arial"/>
          <w:lang w:val="en-GB"/>
        </w:rPr>
        <w:t>co</w:t>
      </w:r>
      <w:r>
        <w:rPr>
          <w:rFonts w:ascii="Arial" w:hAnsi="Arial" w:cs="Arial"/>
          <w:lang w:val="en-GB"/>
        </w:rPr>
        <w:t>ncentration of element / proton</w:t>
      </w:r>
      <w:r>
        <w:rPr>
          <w:rFonts w:ascii="Arial" w:hAnsi="Arial" w:cs="Arial"/>
          <w:color w:val="auto"/>
          <w:lang w:val="en-GB"/>
        </w:rPr>
        <w:t xml:space="preserve"> ~ populations”</w:t>
      </w:r>
      <w:r w:rsidRPr="00AA705E">
        <w:rPr>
          <w:rFonts w:ascii="Arial" w:hAnsi="Arial" w:cs="Arial"/>
          <w:color w:val="auto"/>
          <w:lang w:val="en-GB"/>
        </w:rPr>
        <w:t xml:space="preserve"> in R</w:t>
      </w:r>
      <w:r>
        <w:rPr>
          <w:rFonts w:ascii="Arial" w:hAnsi="Arial" w:cs="Arial"/>
          <w:color w:val="auto"/>
          <w:lang w:val="en-GB"/>
        </w:rPr>
        <w:t xml:space="preserve"> </w:t>
      </w:r>
      <w:r>
        <w:rPr>
          <w:rFonts w:ascii="Arial" w:hAnsi="Arial" w:cs="Arial"/>
          <w:noProof/>
          <w:color w:val="auto"/>
          <w:lang w:val="en-GB"/>
        </w:rPr>
        <w:t>[2]</w:t>
      </w:r>
      <w:r w:rsidRPr="00AA705E">
        <w:rPr>
          <w:rFonts w:ascii="Arial" w:hAnsi="Arial" w:cs="Arial"/>
          <w:color w:val="auto"/>
          <w:lang w:val="en-GB"/>
        </w:rPr>
        <w:t xml:space="preserve">. </w:t>
      </w:r>
      <w:r>
        <w:rPr>
          <w:rFonts w:ascii="Arial" w:hAnsi="Arial" w:cs="Arial"/>
          <w:color w:val="auto"/>
          <w:lang w:val="en-GB"/>
        </w:rPr>
        <w:t xml:space="preserve">The same procedure was performed to test normal distribution and homoscedasticity. </w:t>
      </w:r>
      <w:r w:rsidRPr="00AA705E">
        <w:rPr>
          <w:rFonts w:ascii="Arial" w:hAnsi="Arial" w:cs="Arial"/>
          <w:color w:val="auto"/>
          <w:lang w:val="en-GB"/>
        </w:rPr>
        <w:t xml:space="preserve">In case of violation of these assumptions, we Box-Cox transformed </w:t>
      </w:r>
      <w:r>
        <w:rPr>
          <w:rFonts w:ascii="Arial" w:hAnsi="Arial" w:cs="Arial"/>
          <w:noProof/>
          <w:color w:val="auto"/>
          <w:lang w:val="en-GB"/>
        </w:rPr>
        <w:t>[5]</w:t>
      </w:r>
      <w:r w:rsidRPr="00AA705E">
        <w:rPr>
          <w:rFonts w:ascii="Arial" w:hAnsi="Arial" w:cs="Arial"/>
          <w:color w:val="auto"/>
          <w:lang w:val="en-GB"/>
        </w:rPr>
        <w:t xml:space="preserve"> the corresponding variable prior to ANOVA (R-package MASS</w:t>
      </w:r>
      <w:r>
        <w:rPr>
          <w:rFonts w:ascii="Arial" w:hAnsi="Arial" w:cs="Arial"/>
          <w:color w:val="auto"/>
          <w:lang w:val="en-GB"/>
        </w:rPr>
        <w:t xml:space="preserve"> </w:t>
      </w:r>
      <w:r>
        <w:rPr>
          <w:rFonts w:ascii="Arial" w:hAnsi="Arial" w:cs="Arial"/>
          <w:noProof/>
          <w:color w:val="auto"/>
          <w:lang w:val="en-GB"/>
        </w:rPr>
        <w:t>[4]</w:t>
      </w:r>
      <w:r>
        <w:rPr>
          <w:rFonts w:ascii="Arial" w:hAnsi="Arial" w:cs="Arial"/>
          <w:color w:val="auto"/>
          <w:lang w:val="en-GB"/>
        </w:rPr>
        <w:t>)</w:t>
      </w:r>
    </w:p>
    <w:p w:rsidR="00260DEB" w:rsidRPr="00AA705E" w:rsidRDefault="00260DEB" w:rsidP="000862A4">
      <w:pPr>
        <w:pStyle w:val="indentbody"/>
        <w:spacing w:before="0"/>
        <w:ind w:firstLine="0"/>
        <w:jc w:val="both"/>
        <w:rPr>
          <w:rFonts w:ascii="Arial" w:hAnsi="Arial" w:cs="Arial"/>
          <w:color w:val="auto"/>
          <w:lang w:val="en-GB"/>
        </w:rPr>
      </w:pPr>
    </w:p>
    <w:p w:rsidR="00260DEB" w:rsidRPr="00AA705E" w:rsidRDefault="00260DEB" w:rsidP="000862A4">
      <w:pPr>
        <w:pStyle w:val="indentbody"/>
        <w:spacing w:before="0"/>
        <w:ind w:firstLine="0"/>
        <w:jc w:val="both"/>
        <w:rPr>
          <w:rFonts w:ascii="Arial Narrow" w:hAnsi="Arial Narrow" w:cs="Arial"/>
          <w:color w:val="auto"/>
          <w:sz w:val="28"/>
          <w:szCs w:val="28"/>
          <w:lang w:val="en-GB"/>
        </w:rPr>
      </w:pPr>
      <w:r w:rsidRPr="00AA705E">
        <w:rPr>
          <w:rFonts w:ascii="Arial Narrow" w:eastAsia="Helvetica" w:hAnsi="Arial Narrow" w:cs="Arial"/>
          <w:color w:val="339966"/>
          <w:sz w:val="28"/>
          <w:szCs w:val="28"/>
          <w:lang w:val="en-GB"/>
        </w:rPr>
        <w:t>(d) Library preparation and next generation sequencing (NGS)</w:t>
      </w:r>
    </w:p>
    <w:p w:rsidR="00260DEB" w:rsidRDefault="00260DEB" w:rsidP="000862A4">
      <w:pPr>
        <w:pStyle w:val="indentbody"/>
        <w:spacing w:before="0"/>
        <w:ind w:firstLine="0"/>
        <w:jc w:val="both"/>
        <w:rPr>
          <w:rFonts w:ascii="Arial" w:hAnsi="Arial" w:cs="Arial"/>
          <w:iCs/>
          <w:lang w:val="en-GB"/>
        </w:rPr>
      </w:pPr>
      <w:r w:rsidRPr="00AA705E">
        <w:rPr>
          <w:rFonts w:ascii="Arial" w:hAnsi="Arial" w:cs="Arial"/>
          <w:lang w:val="en-GB"/>
        </w:rPr>
        <w:t>For library preparation, we used 300 to 500 ng of gDNA (instead of 1 µg). Libraries were quantified using a Qubit</w:t>
      </w:r>
      <w:r>
        <w:rPr>
          <w:rFonts w:ascii="Arial" w:hAnsi="Arial" w:cs="Arial"/>
          <w:lang w:val="en-GB"/>
        </w:rPr>
        <w:t xml:space="preserve"> dsDNA HS assay with an incubation time of 20 min</w:t>
      </w:r>
      <w:r w:rsidRPr="00AA705E">
        <w:rPr>
          <w:rFonts w:ascii="Arial" w:hAnsi="Arial" w:cs="Arial"/>
          <w:lang w:val="en-GB"/>
        </w:rPr>
        <w:t xml:space="preserve">. We obtained 125-bp paired-end reads on a Illumina’s HiSeq 2500 platform. Multiplexing of libraries was done as advised by Illumina; however, instead of quantifying the PCR-free libraries using qPCR, we ran a </w:t>
      </w:r>
      <w:r>
        <w:rPr>
          <w:rFonts w:ascii="Arial" w:hAnsi="Arial" w:cs="Arial"/>
          <w:lang w:val="en-GB"/>
        </w:rPr>
        <w:t>“</w:t>
      </w:r>
      <w:r w:rsidRPr="00AA705E">
        <w:rPr>
          <w:rFonts w:ascii="Arial" w:hAnsi="Arial" w:cs="Arial"/>
          <w:lang w:val="en-GB"/>
        </w:rPr>
        <w:t>quant lane</w:t>
      </w:r>
      <w:r>
        <w:rPr>
          <w:rFonts w:ascii="Arial" w:hAnsi="Arial" w:cs="Arial"/>
          <w:lang w:val="en-GB"/>
        </w:rPr>
        <w:t>”</w:t>
      </w:r>
      <w:r w:rsidRPr="00AA705E">
        <w:rPr>
          <w:rFonts w:ascii="Arial" w:hAnsi="Arial" w:cs="Arial"/>
          <w:lang w:val="en-GB"/>
        </w:rPr>
        <w:t xml:space="preserve">, that is, we multiplexed up to 96 samples and sequenced one lane. According to the yield of the quant lane, our consecutive sequencing strategy involved iterative sequencing runs until we reached a minimum of 10-fold </w:t>
      </w:r>
      <w:r>
        <w:rPr>
          <w:rFonts w:ascii="Arial" w:hAnsi="Arial" w:cs="Arial"/>
          <w:lang w:val="en-GB"/>
        </w:rPr>
        <w:t xml:space="preserve">average </w:t>
      </w:r>
      <w:r w:rsidRPr="00AA705E">
        <w:rPr>
          <w:rFonts w:ascii="Arial" w:hAnsi="Arial" w:cs="Arial"/>
          <w:lang w:val="en-GB"/>
        </w:rPr>
        <w:t>coverage</w:t>
      </w:r>
      <w:r>
        <w:rPr>
          <w:rFonts w:ascii="Arial" w:hAnsi="Arial" w:cs="Arial"/>
          <w:lang w:val="en-GB"/>
        </w:rPr>
        <w:t xml:space="preserve"> for each sample</w:t>
      </w:r>
      <w:r w:rsidRPr="00AA705E">
        <w:rPr>
          <w:rFonts w:ascii="Arial" w:hAnsi="Arial" w:cs="Arial"/>
          <w:lang w:val="en-GB"/>
        </w:rPr>
        <w:t>, based on the number of raw reads. In total, we obtained 192x10</w:t>
      </w:r>
      <w:r w:rsidRPr="00AA705E">
        <w:rPr>
          <w:rFonts w:ascii="Arial" w:hAnsi="Arial" w:cs="Arial"/>
          <w:vertAlign w:val="superscript"/>
          <w:lang w:val="en-GB"/>
        </w:rPr>
        <w:t>9</w:t>
      </w:r>
      <w:r w:rsidRPr="00AA705E">
        <w:rPr>
          <w:rFonts w:ascii="Arial" w:hAnsi="Arial" w:cs="Arial"/>
          <w:lang w:val="en-GB"/>
        </w:rPr>
        <w:t> bp and 327x10</w:t>
      </w:r>
      <w:r w:rsidRPr="00AA705E">
        <w:rPr>
          <w:rFonts w:ascii="Arial" w:hAnsi="Arial" w:cs="Arial"/>
          <w:vertAlign w:val="superscript"/>
          <w:lang w:val="en-GB"/>
        </w:rPr>
        <w:t>9</w:t>
      </w:r>
      <w:r w:rsidRPr="00AA705E">
        <w:rPr>
          <w:rFonts w:ascii="Arial" w:hAnsi="Arial" w:cs="Arial"/>
          <w:lang w:val="en-GB"/>
        </w:rPr>
        <w:t xml:space="preserve"> bp raw sequence data for </w:t>
      </w:r>
      <w:r w:rsidRPr="00AA705E">
        <w:rPr>
          <w:rFonts w:ascii="Arial" w:hAnsi="Arial" w:cs="Arial"/>
          <w:i/>
          <w:iCs/>
          <w:lang w:val="en-GB"/>
        </w:rPr>
        <w:t xml:space="preserve">A. halleri </w:t>
      </w:r>
      <w:r w:rsidRPr="00AA705E">
        <w:rPr>
          <w:rFonts w:ascii="Arial" w:hAnsi="Arial" w:cs="Arial"/>
          <w:iCs/>
          <w:lang w:val="en-GB"/>
        </w:rPr>
        <w:t xml:space="preserve">and </w:t>
      </w:r>
      <w:r w:rsidRPr="00AA705E">
        <w:rPr>
          <w:rFonts w:ascii="Arial" w:hAnsi="Arial" w:cs="Arial"/>
          <w:i/>
          <w:iCs/>
          <w:lang w:val="en-GB"/>
        </w:rPr>
        <w:t>A. arenosa</w:t>
      </w:r>
      <w:r w:rsidRPr="00AA705E">
        <w:rPr>
          <w:rFonts w:ascii="Arial" w:hAnsi="Arial" w:cs="Arial"/>
          <w:iCs/>
          <w:lang w:val="en-GB"/>
        </w:rPr>
        <w:t>, respectively.</w:t>
      </w:r>
    </w:p>
    <w:p w:rsidR="00260DEB" w:rsidRPr="00AA705E" w:rsidRDefault="00260DEB" w:rsidP="000862A4">
      <w:pPr>
        <w:pStyle w:val="indentbody"/>
        <w:spacing w:before="0"/>
        <w:ind w:firstLine="0"/>
        <w:jc w:val="both"/>
        <w:rPr>
          <w:rFonts w:ascii="Arial" w:hAnsi="Arial" w:cs="Arial"/>
          <w:iCs/>
          <w:lang w:val="en-GB"/>
        </w:rPr>
      </w:pPr>
    </w:p>
    <w:p w:rsidR="00260DEB" w:rsidRPr="00AA705E" w:rsidRDefault="00260DEB" w:rsidP="000862A4">
      <w:pPr>
        <w:pStyle w:val="indentbody"/>
        <w:spacing w:before="0"/>
        <w:ind w:firstLine="0"/>
        <w:rPr>
          <w:rFonts w:ascii="Arial Narrow" w:eastAsia="Helvetica" w:hAnsi="Arial Narrow" w:cs="Arial"/>
          <w:color w:val="339966"/>
          <w:sz w:val="28"/>
          <w:szCs w:val="28"/>
          <w:lang w:val="en-GB"/>
        </w:rPr>
      </w:pPr>
      <w:r w:rsidRPr="00AA705E">
        <w:rPr>
          <w:rFonts w:ascii="Arial Narrow" w:eastAsia="Helvetica" w:hAnsi="Arial Narrow" w:cs="Arial"/>
          <w:color w:val="339966"/>
          <w:sz w:val="28"/>
          <w:szCs w:val="28"/>
          <w:lang w:val="en-GB"/>
        </w:rPr>
        <w:t>(e) Initial processing of NGS data, alignment and variant discovery</w:t>
      </w:r>
    </w:p>
    <w:p w:rsidR="00260DEB" w:rsidRPr="00AA705E" w:rsidRDefault="00260DEB" w:rsidP="000862A4">
      <w:pPr>
        <w:autoSpaceDE w:val="0"/>
        <w:autoSpaceDN w:val="0"/>
        <w:adjustRightInd w:val="0"/>
        <w:spacing w:after="120" w:line="288" w:lineRule="auto"/>
        <w:jc w:val="both"/>
        <w:rPr>
          <w:rFonts w:ascii="Arial" w:eastAsiaTheme="minorEastAsia" w:hAnsi="Arial" w:cs="Arial"/>
          <w:b/>
          <w:bCs/>
          <w:color w:val="000000"/>
          <w:sz w:val="24"/>
          <w:szCs w:val="24"/>
          <w:lang w:eastAsia="ja-JP"/>
        </w:rPr>
      </w:pPr>
      <w:r w:rsidRPr="00AA705E">
        <w:rPr>
          <w:rFonts w:ascii="Arial" w:eastAsiaTheme="minorEastAsia" w:hAnsi="Arial" w:cs="Arial"/>
          <w:b/>
          <w:bCs/>
          <w:color w:val="000000"/>
          <w:sz w:val="24"/>
          <w:szCs w:val="24"/>
          <w:lang w:eastAsia="ja-JP"/>
        </w:rPr>
        <w:t>Genome scan and large-effect variant identification pipeline</w:t>
      </w:r>
    </w:p>
    <w:p w:rsidR="00260DEB" w:rsidRPr="00F36705" w:rsidRDefault="00260DEB" w:rsidP="000862A4">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color w:val="000000"/>
          <w:sz w:val="24"/>
          <w:szCs w:val="24"/>
          <w:lang w:eastAsia="ja-JP"/>
        </w:rPr>
        <w:t xml:space="preserve">Adapter sequences were clipped from the ends of the reads using the program cutadapt 1.14 </w:t>
      </w:r>
      <w:r>
        <w:rPr>
          <w:rFonts w:ascii="Arial" w:eastAsiaTheme="minorEastAsia" w:hAnsi="Arial" w:cs="Arial"/>
          <w:noProof/>
          <w:color w:val="000000"/>
          <w:sz w:val="24"/>
          <w:szCs w:val="24"/>
          <w:lang w:eastAsia="ja-JP"/>
        </w:rPr>
        <w:t>[6]</w:t>
      </w:r>
      <w:r w:rsidRPr="00F36705">
        <w:rPr>
          <w:rFonts w:ascii="Arial" w:eastAsiaTheme="minorEastAsia" w:hAnsi="Arial" w:cs="Arial"/>
          <w:color w:val="000000"/>
          <w:sz w:val="24"/>
          <w:szCs w:val="24"/>
          <w:lang w:eastAsia="ja-JP"/>
        </w:rPr>
        <w:t>, allowing ≤ 0.15 sequence divergence (error rate) over ≥</w:t>
      </w:r>
      <w:r>
        <w:rPr>
          <w:rFonts w:ascii="Arial" w:eastAsiaTheme="minorEastAsia" w:hAnsi="Arial" w:cs="Arial"/>
          <w:color w:val="000000"/>
          <w:sz w:val="24"/>
          <w:szCs w:val="24"/>
          <w:lang w:eastAsia="ja-JP"/>
        </w:rPr>
        <w:t> </w:t>
      </w:r>
      <w:r w:rsidRPr="00F36705">
        <w:rPr>
          <w:rFonts w:ascii="Arial" w:eastAsiaTheme="minorEastAsia" w:hAnsi="Arial" w:cs="Arial"/>
          <w:color w:val="000000"/>
          <w:sz w:val="24"/>
          <w:szCs w:val="24"/>
          <w:lang w:eastAsia="ja-JP"/>
        </w:rPr>
        <w:t>4</w:t>
      </w:r>
      <w:r>
        <w:rPr>
          <w:rFonts w:ascii="Arial" w:eastAsiaTheme="minorEastAsia" w:hAnsi="Arial" w:cs="Arial"/>
          <w:color w:val="000000"/>
          <w:sz w:val="24"/>
          <w:szCs w:val="24"/>
          <w:lang w:eastAsia="ja-JP"/>
        </w:rPr>
        <w:t> </w:t>
      </w:r>
      <w:r w:rsidRPr="00F36705">
        <w:rPr>
          <w:rFonts w:ascii="Arial" w:eastAsiaTheme="minorEastAsia" w:hAnsi="Arial" w:cs="Arial"/>
          <w:color w:val="000000"/>
          <w:sz w:val="24"/>
          <w:szCs w:val="24"/>
          <w:lang w:eastAsia="ja-JP"/>
        </w:rPr>
        <w:t>bp in length for identifying adapters. Processed reads of ≥</w:t>
      </w:r>
      <w:r>
        <w:rPr>
          <w:rFonts w:ascii="Arial" w:eastAsiaTheme="minorEastAsia" w:hAnsi="Arial" w:cs="Arial"/>
          <w:color w:val="000000"/>
          <w:sz w:val="24"/>
          <w:szCs w:val="24"/>
          <w:lang w:eastAsia="ja-JP"/>
        </w:rPr>
        <w:t> </w:t>
      </w:r>
      <w:r w:rsidRPr="00F36705">
        <w:rPr>
          <w:rFonts w:ascii="Arial" w:eastAsiaTheme="minorEastAsia" w:hAnsi="Arial" w:cs="Arial"/>
          <w:color w:val="000000"/>
          <w:sz w:val="24"/>
          <w:szCs w:val="24"/>
          <w:lang w:eastAsia="ja-JP"/>
        </w:rPr>
        <w:t>25</w:t>
      </w:r>
      <w:r>
        <w:rPr>
          <w:rFonts w:ascii="Arial" w:eastAsiaTheme="minorEastAsia" w:hAnsi="Arial" w:cs="Arial"/>
          <w:color w:val="000000"/>
          <w:sz w:val="24"/>
          <w:szCs w:val="24"/>
          <w:lang w:eastAsia="ja-JP"/>
        </w:rPr>
        <w:t> </w:t>
      </w:r>
      <w:r w:rsidRPr="00F36705">
        <w:rPr>
          <w:rFonts w:ascii="Arial" w:eastAsiaTheme="minorEastAsia" w:hAnsi="Arial" w:cs="Arial"/>
          <w:color w:val="000000"/>
          <w:sz w:val="24"/>
          <w:szCs w:val="24"/>
          <w:lang w:eastAsia="ja-JP"/>
        </w:rPr>
        <w:t xml:space="preserve">bp were maintained and aligned to the </w:t>
      </w:r>
      <w:r w:rsidRPr="00F36705">
        <w:rPr>
          <w:rFonts w:ascii="Arial" w:eastAsiaTheme="minorEastAsia" w:hAnsi="Arial" w:cs="Arial"/>
          <w:i/>
          <w:iCs/>
          <w:color w:val="000000"/>
          <w:sz w:val="24"/>
          <w:szCs w:val="24"/>
          <w:lang w:eastAsia="ja-JP"/>
        </w:rPr>
        <w:t xml:space="preserve">Arabidopsis lyrata </w:t>
      </w:r>
      <w:r w:rsidRPr="00F36705">
        <w:rPr>
          <w:rFonts w:ascii="Arial" w:eastAsiaTheme="minorEastAsia" w:hAnsi="Arial" w:cs="Arial"/>
          <w:color w:val="000000"/>
          <w:sz w:val="24"/>
          <w:szCs w:val="24"/>
          <w:lang w:eastAsia="ja-JP"/>
        </w:rPr>
        <w:t xml:space="preserve">reference genome </w:t>
      </w:r>
      <w:r>
        <w:rPr>
          <w:rFonts w:ascii="Arial" w:eastAsiaTheme="minorEastAsia" w:hAnsi="Arial" w:cs="Arial"/>
          <w:noProof/>
          <w:color w:val="000000"/>
          <w:sz w:val="24"/>
          <w:szCs w:val="24"/>
          <w:lang w:eastAsia="ja-JP"/>
        </w:rPr>
        <w:t>[7]</w:t>
      </w:r>
      <w:r w:rsidRPr="00F36705">
        <w:rPr>
          <w:rFonts w:ascii="Arial" w:eastAsiaTheme="minorEastAsia" w:hAnsi="Arial" w:cs="Arial"/>
          <w:color w:val="000000"/>
          <w:sz w:val="24"/>
          <w:szCs w:val="24"/>
          <w:lang w:eastAsia="ja-JP"/>
        </w:rPr>
        <w:t xml:space="preserve"> using the program bwa mem version 0.7.15 </w:t>
      </w:r>
      <w:r>
        <w:rPr>
          <w:rFonts w:ascii="Arial" w:eastAsiaTheme="minorEastAsia" w:hAnsi="Arial" w:cs="Arial"/>
          <w:noProof/>
          <w:color w:val="000000"/>
          <w:sz w:val="24"/>
          <w:szCs w:val="24"/>
          <w:lang w:eastAsia="ja-JP"/>
        </w:rPr>
        <w:t>[8]</w:t>
      </w:r>
      <w:r>
        <w:rPr>
          <w:rFonts w:ascii="Arial" w:eastAsiaTheme="minorEastAsia" w:hAnsi="Arial" w:cs="Arial"/>
          <w:color w:val="000000"/>
          <w:sz w:val="24"/>
          <w:szCs w:val="24"/>
          <w:lang w:eastAsia="ja-JP"/>
        </w:rPr>
        <w:t>,</w:t>
      </w:r>
      <w:r w:rsidRPr="00F36705">
        <w:rPr>
          <w:rFonts w:ascii="Arial" w:eastAsiaTheme="minorEastAsia" w:hAnsi="Arial" w:cs="Arial"/>
          <w:color w:val="000000"/>
          <w:sz w:val="24"/>
          <w:szCs w:val="24"/>
          <w:lang w:eastAsia="ja-JP"/>
        </w:rPr>
        <w:t xml:space="preserve"> with a seed size of </w:t>
      </w:r>
      <w:r w:rsidRPr="00F36705">
        <w:rPr>
          <w:rFonts w:ascii="Arial" w:eastAsiaTheme="minorEastAsia" w:hAnsi="Arial" w:cs="Arial"/>
          <w:i/>
          <w:color w:val="000000"/>
          <w:sz w:val="24"/>
          <w:szCs w:val="24"/>
          <w:lang w:eastAsia="ja-JP"/>
        </w:rPr>
        <w:t>k</w:t>
      </w:r>
      <w:r w:rsidRPr="00F36705">
        <w:rPr>
          <w:rFonts w:ascii="Arial" w:eastAsiaTheme="minorEastAsia" w:hAnsi="Arial" w:cs="Arial"/>
          <w:color w:val="000000"/>
          <w:sz w:val="24"/>
          <w:szCs w:val="24"/>
          <w:lang w:eastAsia="ja-JP"/>
        </w:rPr>
        <w:t xml:space="preserve"> = 10 for an initial match of 10 bp length. </w:t>
      </w:r>
      <w:r w:rsidRPr="00F36705">
        <w:rPr>
          <w:rFonts w:ascii="Arial" w:eastAsiaTheme="minorEastAsia" w:hAnsi="Arial" w:cs="Arial"/>
          <w:sz w:val="24"/>
          <w:szCs w:val="24"/>
          <w:lang w:eastAsia="ja-JP"/>
        </w:rPr>
        <w:t xml:space="preserve">The resulting SAM file was converted into a BAM (htslib of </w:t>
      </w:r>
      <w:r w:rsidRPr="00CB1712">
        <w:rPr>
          <w:rFonts w:ascii="Arial" w:eastAsiaTheme="minorEastAsia" w:hAnsi="Arial" w:cs="Arial"/>
          <w:smallCaps/>
          <w:sz w:val="24"/>
          <w:szCs w:val="24"/>
          <w:lang w:eastAsia="ja-JP"/>
        </w:rPr>
        <w:t>Samtools</w:t>
      </w:r>
      <w:r w:rsidRPr="00F36705">
        <w:rPr>
          <w:rFonts w:ascii="Arial" w:eastAsiaTheme="minorEastAsia" w:hAnsi="Arial" w:cs="Arial"/>
          <w:sz w:val="24"/>
          <w:szCs w:val="24"/>
          <w:lang w:eastAsia="ja-JP"/>
        </w:rPr>
        <w:t xml:space="preserve"> 1.3.1)</w:t>
      </w:r>
      <w:r>
        <w:rPr>
          <w:rFonts w:ascii="Arial" w:eastAsiaTheme="minorEastAsia" w:hAnsi="Arial" w:cs="Arial"/>
          <w:sz w:val="24"/>
          <w:szCs w:val="24"/>
          <w:lang w:eastAsia="ja-JP"/>
        </w:rPr>
        <w:t xml:space="preserve"> </w:t>
      </w:r>
      <w:r>
        <w:rPr>
          <w:rFonts w:ascii="Arial" w:eastAsiaTheme="minorEastAsia" w:hAnsi="Arial" w:cs="Arial"/>
          <w:noProof/>
          <w:sz w:val="24"/>
          <w:szCs w:val="24"/>
          <w:lang w:eastAsia="ja-JP"/>
        </w:rPr>
        <w:t>[9]</w:t>
      </w:r>
      <w:r w:rsidRPr="00F36705">
        <w:rPr>
          <w:rFonts w:ascii="Arial" w:eastAsiaTheme="minorEastAsia" w:hAnsi="Arial" w:cs="Arial"/>
          <w:sz w:val="24"/>
          <w:szCs w:val="24"/>
          <w:lang w:eastAsia="ja-JP"/>
        </w:rPr>
        <w:t>. Duplicate reads were removed with 2.7.1 MarkDuplicates function (</w:t>
      </w:r>
      <w:r w:rsidRPr="00AA705E">
        <w:rPr>
          <w:rFonts w:ascii="Arial" w:hAnsi="Arial" w:cs="Arial"/>
          <w:smallCaps/>
        </w:rPr>
        <w:t>picard-tools</w:t>
      </w:r>
      <w:r w:rsidRPr="00F36705">
        <w:rPr>
          <w:rFonts w:ascii="Arial" w:eastAsiaTheme="minorEastAsia" w:hAnsi="Arial" w:cs="Arial"/>
          <w:sz w:val="24"/>
          <w:szCs w:val="24"/>
          <w:lang w:eastAsia="ja-JP"/>
        </w:rPr>
        <w:t>, http://broadinstitute.github.io/picard). The AddOrReplaceReadGroups function (</w:t>
      </w:r>
      <w:r w:rsidRPr="00AA705E">
        <w:rPr>
          <w:rFonts w:ascii="Arial" w:hAnsi="Arial" w:cs="Arial"/>
          <w:smallCaps/>
        </w:rPr>
        <w:t>picard-tools</w:t>
      </w:r>
      <w:r w:rsidRPr="00F36705">
        <w:rPr>
          <w:rFonts w:ascii="Arial" w:eastAsiaTheme="minorEastAsia" w:hAnsi="Arial" w:cs="Arial"/>
          <w:sz w:val="24"/>
          <w:szCs w:val="24"/>
          <w:lang w:eastAsia="ja-JP"/>
        </w:rPr>
        <w:t xml:space="preserve">) was used to assign reads to read groups corresponding to samples. The RealignerTargetCreator and the IndelRealigner tools of GATK 3.7 </w:t>
      </w:r>
      <w:r>
        <w:rPr>
          <w:rFonts w:ascii="Arial" w:eastAsiaTheme="minorEastAsia" w:hAnsi="Arial" w:cs="Arial"/>
          <w:noProof/>
          <w:sz w:val="24"/>
          <w:szCs w:val="24"/>
          <w:lang w:eastAsia="ja-JP"/>
        </w:rPr>
        <w:t>[10-12]</w:t>
      </w:r>
      <w:r>
        <w:rPr>
          <w:rFonts w:ascii="Arial" w:eastAsiaTheme="minorEastAsia" w:hAnsi="Arial" w:cs="Arial"/>
          <w:sz w:val="24"/>
          <w:szCs w:val="24"/>
          <w:lang w:eastAsia="ja-JP"/>
        </w:rPr>
        <w:t xml:space="preserve"> </w:t>
      </w:r>
      <w:r w:rsidRPr="00F36705">
        <w:rPr>
          <w:rFonts w:ascii="Arial" w:eastAsiaTheme="minorEastAsia" w:hAnsi="Arial" w:cs="Arial"/>
          <w:sz w:val="24"/>
          <w:szCs w:val="24"/>
          <w:lang w:eastAsia="ja-JP"/>
        </w:rPr>
        <w:t xml:space="preserve">were then used to realign regions that had been poorly aligned in the initial alignment. </w:t>
      </w:r>
    </w:p>
    <w:p w:rsidR="00260DEB" w:rsidRPr="00F36705" w:rsidRDefault="00260DEB" w:rsidP="000862A4">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lastRenderedPageBreak/>
        <w:t xml:space="preserve">The GATK HaplotypeCaller was used to call single nucleotide polymorphisms (SNPs) and insertions/deletions (indels) in relation to the reference genome for each sample, with settings of a minimum base quality score of 25, a minimum mapping quality score of 25, an expected heterozygosity of 0.02 for </w:t>
      </w:r>
      <w:r w:rsidRPr="00F36705">
        <w:rPr>
          <w:rFonts w:ascii="Arial" w:eastAsiaTheme="minorEastAsia" w:hAnsi="Arial" w:cs="Arial"/>
          <w:i/>
          <w:sz w:val="24"/>
          <w:szCs w:val="24"/>
          <w:lang w:eastAsia="ja-JP"/>
        </w:rPr>
        <w:t>A. halleri</w:t>
      </w:r>
      <w:r w:rsidRPr="00F36705">
        <w:rPr>
          <w:rFonts w:ascii="Arial" w:eastAsiaTheme="minorEastAsia" w:hAnsi="Arial" w:cs="Arial"/>
          <w:sz w:val="24"/>
          <w:szCs w:val="24"/>
          <w:lang w:eastAsia="ja-JP"/>
        </w:rPr>
        <w:t xml:space="preserve"> and 0.04 for </w:t>
      </w:r>
      <w:r w:rsidRPr="00F36705">
        <w:rPr>
          <w:rFonts w:ascii="Arial" w:eastAsiaTheme="minorEastAsia" w:hAnsi="Arial" w:cs="Arial"/>
          <w:i/>
          <w:sz w:val="24"/>
          <w:szCs w:val="24"/>
          <w:lang w:eastAsia="ja-JP"/>
        </w:rPr>
        <w:t>A. arenosa</w:t>
      </w:r>
      <w:r w:rsidRPr="00F36705">
        <w:rPr>
          <w:rFonts w:ascii="Arial" w:eastAsiaTheme="minorEastAsia" w:hAnsi="Arial" w:cs="Arial"/>
          <w:sz w:val="24"/>
          <w:szCs w:val="24"/>
          <w:lang w:eastAsia="ja-JP"/>
        </w:rPr>
        <w:t xml:space="preserve">, expected indel heterozygosity of 0.01 for </w:t>
      </w:r>
      <w:r w:rsidRPr="00F36705">
        <w:rPr>
          <w:rFonts w:ascii="Arial" w:eastAsiaTheme="minorEastAsia" w:hAnsi="Arial" w:cs="Arial"/>
          <w:i/>
          <w:sz w:val="24"/>
          <w:szCs w:val="24"/>
          <w:lang w:eastAsia="ja-JP"/>
        </w:rPr>
        <w:t>A. halleri</w:t>
      </w:r>
      <w:r w:rsidRPr="00F36705">
        <w:rPr>
          <w:rFonts w:ascii="Arial" w:eastAsiaTheme="minorEastAsia" w:hAnsi="Arial" w:cs="Arial"/>
          <w:sz w:val="24"/>
          <w:szCs w:val="24"/>
          <w:lang w:eastAsia="ja-JP"/>
        </w:rPr>
        <w:t xml:space="preserve"> and 0.02 for </w:t>
      </w:r>
      <w:r w:rsidRPr="00F36705">
        <w:rPr>
          <w:rFonts w:ascii="Arial" w:eastAsiaTheme="minorEastAsia" w:hAnsi="Arial" w:cs="Arial"/>
          <w:i/>
          <w:sz w:val="24"/>
          <w:szCs w:val="24"/>
          <w:lang w:eastAsia="ja-JP"/>
        </w:rPr>
        <w:t>A. arenosa</w:t>
      </w:r>
      <w:r w:rsidRPr="00F36705">
        <w:rPr>
          <w:rFonts w:ascii="Arial" w:eastAsiaTheme="minorEastAsia" w:hAnsi="Arial" w:cs="Arial"/>
          <w:sz w:val="24"/>
          <w:szCs w:val="24"/>
          <w:lang w:eastAsia="ja-JP"/>
        </w:rPr>
        <w:t xml:space="preserve">, and ploidy of 2 for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 xml:space="preserve">halleri </w:t>
      </w:r>
      <w:r w:rsidRPr="00F36705">
        <w:rPr>
          <w:rFonts w:ascii="Arial" w:eastAsiaTheme="minorEastAsia" w:hAnsi="Arial" w:cs="Arial"/>
          <w:sz w:val="24"/>
          <w:szCs w:val="24"/>
          <w:lang w:eastAsia="ja-JP"/>
        </w:rPr>
        <w:t xml:space="preserve">and 4 of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arenosa</w:t>
      </w:r>
      <w:r w:rsidRPr="00F36705">
        <w:rPr>
          <w:rFonts w:ascii="Arial" w:eastAsiaTheme="minorEastAsia" w:hAnsi="Arial" w:cs="Arial"/>
          <w:sz w:val="24"/>
          <w:szCs w:val="24"/>
          <w:lang w:eastAsia="ja-JP"/>
        </w:rPr>
        <w:t xml:space="preserve">. We employed the read filters DuplicateRead, BadMate and BadCigar with Emitting Reference Confidence scores (ERC) set to BP_Resolution. For all samples of one species from a given population pair, joint genotyping and calculation of allele frequencies was performed using the GATK GenotypeGVCFs choosing newQual, as well as SNP and indel heterozygosities as in the HaplotypeCaller. </w:t>
      </w:r>
    </w:p>
    <w:p w:rsidR="00260DEB" w:rsidRPr="00F36705" w:rsidRDefault="00260DEB" w:rsidP="000862A4">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t xml:space="preserve">In order to be able to cross-validate potentially high-effect variants, all SNPs were additionally called within each population pair by the UnifiedGenotyper from GATK 3.7, with a minimum base quality score of 25, a standard minimum confidence threshold for calling of 25, a downsampling to a coverage of 200, heterozygosity and ploidy settings and read filters as specified above, with the genotype likelihood model set to SNP. For indels, we additionally used the program GROM </w:t>
      </w:r>
      <w:r>
        <w:rPr>
          <w:rFonts w:ascii="Arial" w:eastAsiaTheme="minorEastAsia" w:hAnsi="Arial" w:cs="Arial"/>
          <w:noProof/>
          <w:sz w:val="24"/>
          <w:szCs w:val="24"/>
          <w:lang w:eastAsia="ja-JP"/>
        </w:rPr>
        <w:t>[13]</w:t>
      </w:r>
      <w:r w:rsidRPr="00F36705">
        <w:rPr>
          <w:rFonts w:ascii="Arial" w:eastAsiaTheme="minorEastAsia" w:hAnsi="Arial" w:cs="Arial"/>
          <w:sz w:val="24"/>
          <w:szCs w:val="24"/>
          <w:lang w:eastAsia="ja-JP"/>
        </w:rPr>
        <w:t xml:space="preserve"> on the realigned data retaining variants with settings as used in the GATK HaplotypeCaller, retaining only those indels with a minimum standard deviation for discordance of 30. Indels were retrieved from the output with “grep "SPR:SEV:SRD:SCO:ECO:SOT</w:t>
      </w:r>
      <w:r>
        <w:rPr>
          <w:rFonts w:ascii="Arial" w:eastAsiaTheme="minorEastAsia" w:hAnsi="Arial" w:cs="Arial"/>
          <w:sz w:val="24"/>
          <w:szCs w:val="24"/>
          <w:lang w:eastAsia="ja-JP"/>
        </w:rPr>
        <w:br/>
      </w:r>
      <w:r w:rsidRPr="00F36705">
        <w:rPr>
          <w:rFonts w:ascii="Arial" w:eastAsiaTheme="minorEastAsia" w:hAnsi="Arial" w:cs="Arial"/>
          <w:sz w:val="24"/>
          <w:szCs w:val="24"/>
          <w:lang w:eastAsia="ja-JP"/>
        </w:rPr>
        <w:t>:EOT:SSC:HP\|SPR:EPR:SEV:EEV:SRD:ERD:SCO:ECO:SOT:EOT:SSC:ESC:HP"”.</w:t>
      </w:r>
    </w:p>
    <w:p w:rsidR="00260DEB" w:rsidRDefault="00260DEB" w:rsidP="000862A4">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t xml:space="preserve">SNPs and Indels were filtered separately using the GATK VariantFiltration, SelectVariants and VariantsToTable. SNP and indel filtering parameters were set based on GATK best practices recommendations, “hard filtering” </w:t>
      </w:r>
      <w:r>
        <w:rPr>
          <w:rFonts w:ascii="Arial" w:eastAsiaTheme="minorEastAsia" w:hAnsi="Arial" w:cs="Arial"/>
          <w:noProof/>
          <w:sz w:val="24"/>
          <w:szCs w:val="24"/>
          <w:lang w:eastAsia="ja-JP"/>
        </w:rPr>
        <w:t>[11]</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 xml:space="preserve"> We retained SNPs and indels that were biallelic with no missing genotypes. For SNPs, we additionally required a minimum QualByDepth (QD) of 2, maximum FisherStrand (FS) of 40, minimum RMSMappingQuality (MQ) of 50, minimum MappingQualityRankSumTest (MQRankSum) of -2.5, minimum ReadPosRankSumTest (ReadPosRankSum) of -4 and maximum StrandOddsRatio (SOR) of 4. For indels, we additionally required a minimum QD of 20, maximum FS of 40, minimum ReadPosRankSum of -4 and maximum SOR of 4. For both SNPs and indels, the minimum depth of coverage was set to 2, and subsequently all sites with a coverage ≤ the 2.5 percentile and ≥ 97.5 percentile were excluded. Variants were then assigned to their respective populations and vcf files transformed into tables. The site frequency spectra were visualized with the hist function in R showing the absolute allele frequencies of all SNPs. </w:t>
      </w:r>
    </w:p>
    <w:p w:rsidR="00260DEB" w:rsidRPr="00AA705E" w:rsidRDefault="00260DEB" w:rsidP="000862A4">
      <w:pPr>
        <w:autoSpaceDE w:val="0"/>
        <w:autoSpaceDN w:val="0"/>
        <w:adjustRightInd w:val="0"/>
        <w:spacing w:after="120" w:line="288" w:lineRule="auto"/>
        <w:jc w:val="both"/>
        <w:rPr>
          <w:rFonts w:ascii="Arial" w:eastAsiaTheme="minorEastAsia" w:hAnsi="Arial" w:cs="Arial"/>
          <w:sz w:val="24"/>
          <w:szCs w:val="24"/>
          <w:lang w:eastAsia="ja-JP"/>
        </w:rPr>
      </w:pPr>
    </w:p>
    <w:p w:rsidR="00260DEB" w:rsidRPr="00AA705E" w:rsidRDefault="00260DEB" w:rsidP="000862A4">
      <w:pPr>
        <w:pStyle w:val="indentbody"/>
        <w:spacing w:before="0"/>
        <w:ind w:firstLine="0"/>
        <w:jc w:val="both"/>
        <w:rPr>
          <w:rFonts w:ascii="Arial" w:hAnsi="Arial" w:cs="Arial"/>
          <w:b/>
          <w:lang w:val="en-GB"/>
        </w:rPr>
      </w:pPr>
      <w:r w:rsidRPr="00AA705E">
        <w:rPr>
          <w:rFonts w:ascii="Arial" w:hAnsi="Arial" w:cs="Arial"/>
          <w:b/>
          <w:lang w:val="en-GB"/>
        </w:rPr>
        <w:t>Bayenv2/EAA Pipeline</w:t>
      </w:r>
    </w:p>
    <w:p w:rsidR="00260DEB" w:rsidRPr="00AA705E" w:rsidRDefault="00260DEB" w:rsidP="000862A4">
      <w:pPr>
        <w:pStyle w:val="indentbody"/>
        <w:spacing w:before="0"/>
        <w:ind w:firstLine="0"/>
        <w:jc w:val="both"/>
        <w:rPr>
          <w:rFonts w:ascii="Arial" w:hAnsi="Arial" w:cs="Arial"/>
          <w:lang w:val="en-GB"/>
        </w:rPr>
      </w:pPr>
      <w:r w:rsidRPr="00AA705E">
        <w:rPr>
          <w:rFonts w:ascii="Arial" w:hAnsi="Arial" w:cs="Arial"/>
          <w:lang w:val="en-GB"/>
        </w:rPr>
        <w:t xml:space="preserve">To prepare the raw sequencing data for mapping we concatenated the fastq.gz files from the different sequencing lanes, followed by removing adapter sequence from reads </w:t>
      </w:r>
      <w:r w:rsidRPr="00AA705E">
        <w:rPr>
          <w:rFonts w:ascii="Arial" w:hAnsi="Arial" w:cs="Arial"/>
          <w:lang w:val="en-GB"/>
        </w:rPr>
        <w:lastRenderedPageBreak/>
        <w:t xml:space="preserve">that had inserts shorter than 250 bp, using </w:t>
      </w:r>
      <w:r w:rsidRPr="00AA705E">
        <w:rPr>
          <w:rFonts w:ascii="Arial" w:hAnsi="Arial" w:cs="Arial"/>
          <w:smallCaps/>
          <w:lang w:val="en-GB"/>
        </w:rPr>
        <w:t>cutadapt</w:t>
      </w:r>
      <w:r w:rsidRPr="00AA705E">
        <w:rPr>
          <w:rFonts w:ascii="Arial" w:hAnsi="Arial" w:cs="Arial"/>
          <w:lang w:val="en-GB"/>
        </w:rPr>
        <w:t xml:space="preserve"> 1.9 </w:t>
      </w:r>
      <w:r>
        <w:rPr>
          <w:rFonts w:ascii="Arial" w:hAnsi="Arial" w:cs="Arial"/>
          <w:noProof/>
          <w:lang w:val="en-GB"/>
        </w:rPr>
        <w:t>[6]</w:t>
      </w:r>
      <w:r w:rsidRPr="00AA705E">
        <w:rPr>
          <w:rFonts w:ascii="Arial" w:hAnsi="Arial" w:cs="Arial"/>
          <w:lang w:val="en-GB"/>
        </w:rPr>
        <w:t xml:space="preserve">. We mapped both species to a North American </w:t>
      </w:r>
      <w:r w:rsidRPr="00AA705E">
        <w:rPr>
          <w:rFonts w:ascii="Arial" w:hAnsi="Arial" w:cs="Arial"/>
          <w:i/>
          <w:iCs/>
          <w:lang w:val="en-GB"/>
        </w:rPr>
        <w:t>Arabidopsis lyrata</w:t>
      </w:r>
      <w:r w:rsidRPr="00AA705E">
        <w:rPr>
          <w:rFonts w:ascii="Arial" w:hAnsi="Arial" w:cs="Arial"/>
          <w:lang w:val="en-GB"/>
        </w:rPr>
        <w:t xml:space="preserve"> reference genome </w:t>
      </w:r>
      <w:r>
        <w:rPr>
          <w:rFonts w:ascii="Arial" w:hAnsi="Arial" w:cs="Arial"/>
          <w:noProof/>
          <w:lang w:val="en-GB"/>
        </w:rPr>
        <w:t>[7]</w:t>
      </w:r>
      <w:r w:rsidRPr="00AA705E">
        <w:rPr>
          <w:rFonts w:ascii="Arial" w:hAnsi="Arial" w:cs="Arial"/>
          <w:lang w:val="en-GB"/>
        </w:rPr>
        <w:t xml:space="preserve"> using </w:t>
      </w:r>
      <w:r w:rsidRPr="00AA705E">
        <w:rPr>
          <w:rFonts w:ascii="Arial" w:hAnsi="Arial" w:cs="Arial"/>
          <w:smallCaps/>
          <w:lang w:val="en-GB"/>
        </w:rPr>
        <w:t>bwa mem</w:t>
      </w:r>
      <w:r w:rsidRPr="00AA705E">
        <w:rPr>
          <w:rFonts w:ascii="Arial" w:hAnsi="Arial" w:cs="Arial"/>
          <w:lang w:val="en-GB"/>
        </w:rPr>
        <w:t xml:space="preserve"> </w:t>
      </w:r>
      <w:r>
        <w:rPr>
          <w:rFonts w:ascii="Arial" w:hAnsi="Arial" w:cs="Arial"/>
          <w:noProof/>
          <w:lang w:val="en-GB"/>
        </w:rPr>
        <w:t>[9]</w:t>
      </w:r>
      <w:r w:rsidRPr="00AA705E">
        <w:rPr>
          <w:rFonts w:ascii="Arial" w:hAnsi="Arial" w:cs="Arial"/>
          <w:lang w:val="en-GB"/>
        </w:rPr>
        <w:t xml:space="preserve">. We concluded this to be a valid approach as 88.3 % and 90.0 % of reads mapped to this reference for </w:t>
      </w:r>
      <w:r w:rsidRPr="00AA705E">
        <w:rPr>
          <w:rFonts w:ascii="Arial" w:hAnsi="Arial" w:cs="Arial"/>
          <w:i/>
          <w:iCs/>
          <w:lang w:val="en-GB"/>
        </w:rPr>
        <w:t xml:space="preserve">A. arenosa </w:t>
      </w:r>
      <w:r w:rsidRPr="00AA705E">
        <w:rPr>
          <w:rFonts w:ascii="Arial" w:hAnsi="Arial" w:cs="Arial"/>
          <w:lang w:val="en-GB"/>
        </w:rPr>
        <w:t xml:space="preserve">and </w:t>
      </w:r>
      <w:r w:rsidRPr="00AA705E">
        <w:rPr>
          <w:rFonts w:ascii="Arial" w:hAnsi="Arial" w:cs="Arial"/>
          <w:i/>
          <w:iCs/>
          <w:lang w:val="en-GB"/>
        </w:rPr>
        <w:t>A. halleri</w:t>
      </w:r>
      <w:r w:rsidRPr="00AA705E">
        <w:rPr>
          <w:rFonts w:ascii="Arial" w:hAnsi="Arial" w:cs="Arial"/>
          <w:lang w:val="en-GB"/>
        </w:rPr>
        <w:t xml:space="preserve">, respectively. We assume a similar phylogenetic distance of </w:t>
      </w:r>
      <w:r w:rsidRPr="00AA705E">
        <w:rPr>
          <w:rFonts w:ascii="Arial" w:hAnsi="Arial" w:cs="Arial"/>
          <w:i/>
          <w:iCs/>
          <w:lang w:val="en-GB"/>
        </w:rPr>
        <w:t>A. arenosa</w:t>
      </w:r>
      <w:r w:rsidRPr="00AA705E">
        <w:rPr>
          <w:rFonts w:ascii="Arial" w:hAnsi="Arial" w:cs="Arial"/>
          <w:lang w:val="en-GB"/>
        </w:rPr>
        <w:t xml:space="preserve"> and </w:t>
      </w:r>
      <w:r w:rsidRPr="00AA705E">
        <w:rPr>
          <w:rFonts w:ascii="Arial" w:hAnsi="Arial" w:cs="Arial"/>
          <w:i/>
          <w:iCs/>
          <w:lang w:val="en-GB"/>
        </w:rPr>
        <w:t>A. halleri</w:t>
      </w:r>
      <w:r w:rsidRPr="00AA705E">
        <w:rPr>
          <w:rFonts w:ascii="Arial" w:hAnsi="Arial" w:cs="Arial"/>
          <w:lang w:val="en-GB"/>
        </w:rPr>
        <w:t xml:space="preserve"> from </w:t>
      </w:r>
      <w:r w:rsidRPr="00AA705E">
        <w:rPr>
          <w:rFonts w:ascii="Arial" w:hAnsi="Arial" w:cs="Arial"/>
          <w:i/>
          <w:iCs/>
          <w:lang w:val="en-GB"/>
        </w:rPr>
        <w:t>A. lyrata,</w:t>
      </w:r>
      <w:r w:rsidRPr="00AA705E">
        <w:rPr>
          <w:rFonts w:ascii="Arial" w:hAnsi="Arial" w:cs="Arial"/>
          <w:lang w:val="en-GB"/>
        </w:rPr>
        <w:t xml:space="preserve"> thereby avoiding a mapping bias. Next, we marked duplicate reads using </w:t>
      </w:r>
      <w:r>
        <w:rPr>
          <w:rFonts w:ascii="Arial" w:hAnsi="Arial" w:cs="Arial"/>
          <w:lang w:val="en-GB"/>
        </w:rPr>
        <w:t>“</w:t>
      </w:r>
      <w:r w:rsidRPr="00AA705E">
        <w:rPr>
          <w:rFonts w:ascii="Arial" w:hAnsi="Arial" w:cs="Arial"/>
          <w:lang w:val="en-GB"/>
        </w:rPr>
        <w:t>MarkDuplicates</w:t>
      </w:r>
      <w:r>
        <w:rPr>
          <w:rFonts w:ascii="Arial" w:hAnsi="Arial" w:cs="Arial"/>
          <w:lang w:val="en-GB"/>
        </w:rPr>
        <w:t>”</w:t>
      </w:r>
      <w:r w:rsidRPr="00AA705E">
        <w:rPr>
          <w:rFonts w:ascii="Arial" w:hAnsi="Arial" w:cs="Arial"/>
          <w:lang w:val="en-GB"/>
        </w:rPr>
        <w:t xml:space="preserve"> from </w:t>
      </w:r>
      <w:r w:rsidRPr="00AA705E">
        <w:rPr>
          <w:rFonts w:ascii="Arial" w:hAnsi="Arial" w:cs="Arial"/>
          <w:smallCaps/>
          <w:lang w:val="en-GB"/>
        </w:rPr>
        <w:t xml:space="preserve">picard-tools </w:t>
      </w:r>
      <w:r w:rsidRPr="00AA705E">
        <w:rPr>
          <w:rFonts w:ascii="Arial" w:hAnsi="Arial" w:cs="Arial"/>
          <w:lang w:val="en-GB"/>
        </w:rPr>
        <w:t xml:space="preserve">1.134 </w:t>
      </w:r>
      <w:r>
        <w:rPr>
          <w:rFonts w:ascii="Arial" w:hAnsi="Arial" w:cs="Arial"/>
          <w:noProof/>
          <w:lang w:val="en-GB"/>
        </w:rPr>
        <w:t>[11]</w:t>
      </w:r>
      <w:r w:rsidRPr="00AA705E">
        <w:rPr>
          <w:rFonts w:ascii="Arial" w:hAnsi="Arial" w:cs="Arial"/>
          <w:lang w:val="en-GB"/>
        </w:rPr>
        <w:t xml:space="preserve">. Using </w:t>
      </w:r>
      <w:r w:rsidRPr="00AA705E">
        <w:rPr>
          <w:rFonts w:ascii="Arial" w:hAnsi="Arial" w:cs="Arial"/>
          <w:smallCaps/>
          <w:lang w:val="en-GB"/>
        </w:rPr>
        <w:t>picard-tools</w:t>
      </w:r>
      <w:r w:rsidRPr="00AA705E">
        <w:rPr>
          <w:rFonts w:ascii="Arial" w:hAnsi="Arial" w:cs="Arial"/>
          <w:lang w:val="en-GB"/>
        </w:rPr>
        <w:t xml:space="preserve">’ </w:t>
      </w:r>
      <w:r>
        <w:rPr>
          <w:rFonts w:ascii="Arial" w:hAnsi="Arial" w:cs="Arial"/>
          <w:lang w:val="en-GB"/>
        </w:rPr>
        <w:t>“</w:t>
      </w:r>
      <w:r w:rsidRPr="00AA705E">
        <w:rPr>
          <w:rFonts w:ascii="Arial" w:hAnsi="Arial" w:cs="Arial"/>
          <w:lang w:val="en-GB"/>
        </w:rPr>
        <w:t>AddOrReplaceReadGroups</w:t>
      </w:r>
      <w:r>
        <w:rPr>
          <w:rFonts w:ascii="Arial" w:hAnsi="Arial" w:cs="Arial"/>
          <w:lang w:val="en-GB"/>
        </w:rPr>
        <w:t>”</w:t>
      </w:r>
      <w:r w:rsidRPr="00AA705E">
        <w:rPr>
          <w:rFonts w:ascii="Arial" w:hAnsi="Arial" w:cs="Arial"/>
          <w:lang w:val="en-GB"/>
        </w:rPr>
        <w:t xml:space="preserve"> we added read groups and indices to the sequencing bam files. The last step of the mapping part of the processing pipeline was to re-align the reads to accommodate indels using the GATK tools </w:t>
      </w:r>
      <w:r>
        <w:rPr>
          <w:rFonts w:ascii="Arial" w:hAnsi="Arial" w:cs="Arial"/>
          <w:lang w:val="en-GB"/>
        </w:rPr>
        <w:t>“</w:t>
      </w:r>
      <w:r w:rsidRPr="00AA705E">
        <w:rPr>
          <w:rFonts w:ascii="Arial" w:hAnsi="Arial" w:cs="Arial"/>
          <w:lang w:val="en-GB"/>
        </w:rPr>
        <w:t>RealignerTargetCreator</w:t>
      </w:r>
      <w:r>
        <w:rPr>
          <w:rFonts w:ascii="Arial" w:hAnsi="Arial" w:cs="Arial"/>
          <w:lang w:val="en-GB"/>
        </w:rPr>
        <w:t>”</w:t>
      </w:r>
      <w:r w:rsidRPr="00AA705E">
        <w:rPr>
          <w:rFonts w:ascii="Arial" w:hAnsi="Arial" w:cs="Arial"/>
          <w:lang w:val="en-GB"/>
        </w:rPr>
        <w:t xml:space="preserve"> and </w:t>
      </w:r>
      <w:r>
        <w:rPr>
          <w:rFonts w:ascii="Arial" w:hAnsi="Arial" w:cs="Arial"/>
          <w:lang w:val="en-GB"/>
        </w:rPr>
        <w:t>“IndelRealigner”</w:t>
      </w:r>
      <w:r w:rsidRPr="00AA705E">
        <w:rPr>
          <w:rFonts w:ascii="Arial" w:hAnsi="Arial" w:cs="Arial"/>
          <w:lang w:val="en-GB"/>
        </w:rPr>
        <w:t xml:space="preserve"> </w:t>
      </w:r>
      <w:r>
        <w:rPr>
          <w:rFonts w:ascii="Arial" w:hAnsi="Arial" w:cs="Arial"/>
          <w:noProof/>
          <w:lang w:val="en-GB"/>
        </w:rPr>
        <w:t>[10]</w:t>
      </w:r>
      <w:r w:rsidRPr="00AA705E">
        <w:rPr>
          <w:rFonts w:ascii="Arial" w:hAnsi="Arial" w:cs="Arial"/>
          <w:lang w:val="en-GB"/>
        </w:rPr>
        <w:t>. These steps created analysis-ready bam files. Before we proceeded to discover variants in the analysis-ready bam files, we assessed the depth of coverage in our sam</w:t>
      </w:r>
      <w:r>
        <w:rPr>
          <w:rFonts w:ascii="Arial" w:hAnsi="Arial" w:cs="Arial"/>
          <w:lang w:val="en-GB"/>
        </w:rPr>
        <w:t>ple set by using the GATK tool “</w:t>
      </w:r>
      <w:r w:rsidRPr="00AA705E">
        <w:rPr>
          <w:rFonts w:ascii="Arial" w:hAnsi="Arial" w:cs="Arial"/>
          <w:lang w:val="en-GB"/>
        </w:rPr>
        <w:t>Depth</w:t>
      </w:r>
      <w:r>
        <w:rPr>
          <w:rFonts w:ascii="Arial" w:hAnsi="Arial" w:cs="Arial"/>
          <w:lang w:val="en-GB"/>
        </w:rPr>
        <w:t>OfCoverage”</w:t>
      </w:r>
      <w:r w:rsidRPr="00AA705E">
        <w:rPr>
          <w:rFonts w:ascii="Arial" w:hAnsi="Arial" w:cs="Arial"/>
          <w:lang w:val="en-GB"/>
        </w:rPr>
        <w:t xml:space="preserve"> (DOC) with the restriction to a minimum base quality of 25 and a minimum mapping quality of 25 (both values are on a PHRED scale). We restricted the calculation of DOC to the annotated gene space and excluded all individuals with &lt; 70% of bases with a minimum DOC of 4</w:t>
      </w:r>
      <w:r>
        <w:rPr>
          <w:rFonts w:ascii="Arial" w:hAnsi="Arial" w:cs="Arial"/>
          <w:lang w:val="en-GB"/>
        </w:rPr>
        <w:t>.</w:t>
      </w:r>
    </w:p>
    <w:p w:rsidR="00260DEB" w:rsidRPr="00AA705E" w:rsidRDefault="00260DEB" w:rsidP="000862A4">
      <w:pPr>
        <w:pStyle w:val="indentbody"/>
        <w:spacing w:before="0"/>
        <w:ind w:firstLine="0"/>
        <w:jc w:val="both"/>
        <w:rPr>
          <w:rFonts w:ascii="Arial" w:hAnsi="Arial" w:cs="Arial"/>
          <w:lang w:val="en-GB"/>
        </w:rPr>
      </w:pPr>
      <w:r w:rsidRPr="00AA705E">
        <w:rPr>
          <w:rFonts w:ascii="Arial" w:hAnsi="Arial" w:cs="Arial"/>
          <w:lang w:val="en-GB"/>
        </w:rPr>
        <w:t xml:space="preserve">After this DOC selection we had 31 </w:t>
      </w:r>
      <w:r w:rsidRPr="00AA705E">
        <w:rPr>
          <w:rFonts w:ascii="Arial" w:hAnsi="Arial" w:cs="Arial"/>
          <w:i/>
          <w:iCs/>
          <w:lang w:val="en-GB"/>
        </w:rPr>
        <w:t>A. arenosa</w:t>
      </w:r>
      <w:r w:rsidRPr="00AA705E">
        <w:rPr>
          <w:rFonts w:ascii="Arial" w:hAnsi="Arial" w:cs="Arial"/>
          <w:lang w:val="en-GB"/>
        </w:rPr>
        <w:t xml:space="preserve"> and 34 </w:t>
      </w:r>
      <w:r w:rsidRPr="00AA705E">
        <w:rPr>
          <w:rFonts w:ascii="Arial" w:hAnsi="Arial" w:cs="Arial"/>
          <w:i/>
          <w:iCs/>
          <w:lang w:val="en-GB"/>
        </w:rPr>
        <w:t>A. halleri</w:t>
      </w:r>
      <w:r w:rsidRPr="00AA705E">
        <w:rPr>
          <w:rFonts w:ascii="Arial" w:hAnsi="Arial" w:cs="Arial"/>
          <w:lang w:val="en-GB"/>
        </w:rPr>
        <w:t xml:space="preserve"> individuals from two metalliferous (Klet, Mias) and two non-metalliferous (Kowa, Zapa/Zako) popu</w:t>
      </w:r>
      <w:r>
        <w:rPr>
          <w:rFonts w:ascii="Arial" w:hAnsi="Arial" w:cs="Arial"/>
          <w:lang w:val="en-GB"/>
        </w:rPr>
        <w:t>lations. We used the GATK tool “HaplotypeCaller”</w:t>
      </w:r>
      <w:r w:rsidRPr="00AA705E">
        <w:rPr>
          <w:rFonts w:ascii="Arial" w:hAnsi="Arial" w:cs="Arial"/>
          <w:lang w:val="en-GB"/>
        </w:rPr>
        <w:t xml:space="preserve"> to discover and call genetic variants </w:t>
      </w:r>
      <w:r>
        <w:rPr>
          <w:rFonts w:ascii="Arial" w:hAnsi="Arial" w:cs="Arial"/>
          <w:lang w:val="en-GB"/>
        </w:rPr>
        <w:t xml:space="preserve">(SNPs, </w:t>
      </w:r>
      <w:r w:rsidRPr="00AA705E">
        <w:rPr>
          <w:rFonts w:ascii="Arial" w:hAnsi="Arial" w:cs="Arial"/>
          <w:lang w:val="en-GB"/>
        </w:rPr>
        <w:t>indels and mult</w:t>
      </w:r>
      <w:r>
        <w:rPr>
          <w:rFonts w:ascii="Arial" w:hAnsi="Arial" w:cs="Arial"/>
          <w:lang w:val="en-GB"/>
        </w:rPr>
        <w:t>i-nucleotide-polymorphisms</w:t>
      </w:r>
      <w:r w:rsidRPr="00AA705E">
        <w:rPr>
          <w:rFonts w:ascii="Arial" w:hAnsi="Arial" w:cs="Arial"/>
          <w:lang w:val="en-GB"/>
        </w:rPr>
        <w:t>)</w:t>
      </w:r>
      <w:r>
        <w:rPr>
          <w:rFonts w:ascii="Arial" w:hAnsi="Arial" w:cs="Arial"/>
          <w:lang w:val="en-GB"/>
        </w:rPr>
        <w:t xml:space="preserve"> </w:t>
      </w:r>
      <w:r w:rsidRPr="00AA705E">
        <w:rPr>
          <w:rFonts w:ascii="Arial" w:hAnsi="Arial" w:cs="Arial"/>
          <w:lang w:val="en-GB"/>
        </w:rPr>
        <w:t xml:space="preserve">for each individual. To speed up the process, we ran the eight main scaffolds of the </w:t>
      </w:r>
      <w:r w:rsidRPr="00AA705E">
        <w:rPr>
          <w:rFonts w:ascii="Arial" w:hAnsi="Arial" w:cs="Arial"/>
          <w:i/>
          <w:iCs/>
          <w:lang w:val="en-GB"/>
        </w:rPr>
        <w:t>A. lyrata</w:t>
      </w:r>
      <w:r w:rsidRPr="00AA705E">
        <w:rPr>
          <w:rFonts w:ascii="Arial" w:hAnsi="Arial" w:cs="Arial"/>
          <w:lang w:val="en-GB"/>
        </w:rPr>
        <w:t xml:space="preserve"> reference genome in parallel. We specified output at bp-resolution: that is each single base is listed in the GVCF. For better organisation, we combined all individuals of one species of one populatio</w:t>
      </w:r>
      <w:r>
        <w:rPr>
          <w:rFonts w:ascii="Arial" w:hAnsi="Arial" w:cs="Arial"/>
          <w:lang w:val="en-GB"/>
        </w:rPr>
        <w:t>n into multisample GVCFs using “CombineGVCFs”</w:t>
      </w:r>
      <w:r w:rsidRPr="00AA705E">
        <w:rPr>
          <w:rFonts w:ascii="Arial" w:hAnsi="Arial" w:cs="Arial"/>
          <w:lang w:val="en-GB"/>
        </w:rPr>
        <w:t>. From this stage onwards, the two sibling-species were processed separately from each other. The last step of the variant discovery was joint gen</w:t>
      </w:r>
      <w:r>
        <w:rPr>
          <w:rFonts w:ascii="Arial" w:hAnsi="Arial" w:cs="Arial"/>
          <w:lang w:val="en-GB"/>
        </w:rPr>
        <w:t>otyping by using the GATK tool “</w:t>
      </w:r>
      <w:r w:rsidRPr="00AA705E">
        <w:rPr>
          <w:rFonts w:ascii="Arial" w:hAnsi="Arial" w:cs="Arial"/>
          <w:lang w:val="en-GB"/>
        </w:rPr>
        <w:t>GenotypeGVCFs</w:t>
      </w:r>
      <w:r>
        <w:rPr>
          <w:rFonts w:ascii="Arial" w:hAnsi="Arial" w:cs="Arial"/>
          <w:lang w:val="en-GB"/>
        </w:rPr>
        <w:t>”</w:t>
      </w:r>
      <w:r w:rsidRPr="00AA705E">
        <w:rPr>
          <w:rFonts w:ascii="Arial" w:hAnsi="Arial" w:cs="Arial"/>
          <w:lang w:val="en-GB"/>
        </w:rPr>
        <w:t>. Because all samples are genotyped together, rare variants are more re</w:t>
      </w:r>
      <w:r>
        <w:rPr>
          <w:rFonts w:ascii="Arial" w:hAnsi="Arial" w:cs="Arial"/>
          <w:lang w:val="en-GB"/>
        </w:rPr>
        <w:t>a</w:t>
      </w:r>
      <w:r w:rsidRPr="00AA705E">
        <w:rPr>
          <w:rFonts w:ascii="Arial" w:hAnsi="Arial" w:cs="Arial"/>
          <w:lang w:val="en-GB"/>
        </w:rPr>
        <w:t>dily identified, rather than mistaken for sequencing errors.</w:t>
      </w:r>
    </w:p>
    <w:p w:rsidR="00260DEB" w:rsidRPr="00AA705E" w:rsidRDefault="00260DEB" w:rsidP="000862A4">
      <w:pPr>
        <w:pStyle w:val="indentbody"/>
        <w:spacing w:before="0"/>
        <w:ind w:firstLine="0"/>
        <w:jc w:val="both"/>
        <w:rPr>
          <w:rFonts w:ascii="Arial" w:hAnsi="Arial" w:cs="Arial"/>
          <w:lang w:val="en-GB"/>
        </w:rPr>
      </w:pPr>
      <w:r>
        <w:rPr>
          <w:rFonts w:ascii="Arial" w:hAnsi="Arial" w:cs="Arial"/>
          <w:lang w:val="en-GB"/>
        </w:rPr>
        <w:t xml:space="preserve">For the </w:t>
      </w:r>
      <w:r w:rsidRPr="0088276D">
        <w:rPr>
          <w:rFonts w:ascii="Arial" w:hAnsi="Arial" w:cs="Arial"/>
          <w:smallCaps/>
          <w:lang w:val="en-GB"/>
        </w:rPr>
        <w:t>DivergenceScan</w:t>
      </w:r>
      <w:r>
        <w:rPr>
          <w:rFonts w:ascii="Arial" w:hAnsi="Arial" w:cs="Arial"/>
          <w:lang w:val="en-GB"/>
        </w:rPr>
        <w:t xml:space="preserve"> and environmental association analysis (EAA), w</w:t>
      </w:r>
      <w:r w:rsidRPr="00AA705E">
        <w:rPr>
          <w:rFonts w:ascii="Arial" w:hAnsi="Arial" w:cs="Arial"/>
          <w:lang w:val="en-GB"/>
        </w:rPr>
        <w:t>e filtered the VCFs in the following way</w:t>
      </w:r>
      <w:r>
        <w:rPr>
          <w:rFonts w:ascii="Arial" w:hAnsi="Arial" w:cs="Arial"/>
          <w:lang w:val="en-GB"/>
        </w:rPr>
        <w:t>:</w:t>
      </w:r>
      <w:r w:rsidRPr="00AA705E">
        <w:rPr>
          <w:rFonts w:ascii="Arial" w:hAnsi="Arial" w:cs="Arial"/>
          <w:lang w:val="en-GB"/>
        </w:rPr>
        <w:t xml:space="preserve"> First, we excluded all indel and mixed sites, restricting the remaining sites to be </w:t>
      </w:r>
      <w:r>
        <w:rPr>
          <w:rFonts w:ascii="Arial" w:hAnsi="Arial" w:cs="Arial"/>
          <w:lang w:val="en-GB"/>
        </w:rPr>
        <w:t>biallelic, using the GATK tool “SelectVariants”</w:t>
      </w:r>
      <w:r w:rsidRPr="00AA705E">
        <w:rPr>
          <w:rFonts w:ascii="Arial" w:hAnsi="Arial" w:cs="Arial"/>
          <w:lang w:val="en-GB"/>
        </w:rPr>
        <w:t>. Second, we flagged sites that were either of QD &lt; 2.0, FS &gt; 60.0, MQ &lt; 40.0, MQRankSum &lt;- 12.5, ReadPosRankSum &lt; -8.0 or Haploty</w:t>
      </w:r>
      <w:r>
        <w:rPr>
          <w:rFonts w:ascii="Arial" w:hAnsi="Arial" w:cs="Arial"/>
          <w:lang w:val="en-GB"/>
        </w:rPr>
        <w:t>peScore &lt; 13.0, using the tool “</w:t>
      </w:r>
      <w:r w:rsidRPr="00AA705E">
        <w:rPr>
          <w:rFonts w:ascii="Arial" w:hAnsi="Arial" w:cs="Arial"/>
          <w:lang w:val="en-GB"/>
        </w:rPr>
        <w:t>VariantFil</w:t>
      </w:r>
      <w:r>
        <w:rPr>
          <w:rFonts w:ascii="Arial" w:hAnsi="Arial" w:cs="Arial"/>
          <w:lang w:val="en-GB"/>
        </w:rPr>
        <w:t>tration”</w:t>
      </w:r>
      <w:r w:rsidRPr="00AA705E">
        <w:rPr>
          <w:rFonts w:ascii="Arial" w:hAnsi="Arial" w:cs="Arial"/>
          <w:lang w:val="en-GB"/>
        </w:rPr>
        <w:t xml:space="preserve">. We filtered for each quality criterion by a separate command to ensure that we flag any site that failed at least one of the criteria. Third, to exclude potential paralogous sites and avoid potential conflicts of different genetic variants between paralogs, we masked sites that had excess read depth that we defined as 1.6x the mode of the read depth distribution across all individuals for one species. For the lower read depth cutoff we took the read depth that covers each sequenced chromosome at least once (DP &lt; 124, </w:t>
      </w:r>
      <w:r w:rsidRPr="00AA705E">
        <w:rPr>
          <w:rFonts w:ascii="Arial" w:hAnsi="Arial" w:cs="Arial"/>
          <w:lang w:val="en-GB"/>
        </w:rPr>
        <w:lastRenderedPageBreak/>
        <w:t xml:space="preserve">DP &gt; 692 for </w:t>
      </w:r>
      <w:r>
        <w:rPr>
          <w:rFonts w:ascii="Arial" w:hAnsi="Arial" w:cs="Arial"/>
          <w:lang w:val="en-GB"/>
        </w:rPr>
        <w:t xml:space="preserve">autotetraploid </w:t>
      </w:r>
      <w:r w:rsidRPr="00AA705E">
        <w:rPr>
          <w:rFonts w:ascii="Arial" w:hAnsi="Arial" w:cs="Arial"/>
          <w:i/>
          <w:lang w:val="en-GB"/>
        </w:rPr>
        <w:t xml:space="preserve">A. arenosa </w:t>
      </w:r>
      <w:r w:rsidRPr="00AA705E">
        <w:rPr>
          <w:rFonts w:ascii="Arial" w:hAnsi="Arial" w:cs="Arial"/>
          <w:lang w:val="en-GB"/>
        </w:rPr>
        <w:t>and DP &lt; 68, DP &gt; 719 for</w:t>
      </w:r>
      <w:r>
        <w:rPr>
          <w:rFonts w:ascii="Arial" w:hAnsi="Arial" w:cs="Arial"/>
          <w:lang w:val="en-GB"/>
        </w:rPr>
        <w:t xml:space="preserve"> diploid</w:t>
      </w:r>
      <w:r w:rsidRPr="00AA705E">
        <w:rPr>
          <w:rFonts w:ascii="Arial" w:hAnsi="Arial" w:cs="Arial"/>
          <w:i/>
          <w:lang w:val="en-GB"/>
        </w:rPr>
        <w:t xml:space="preserve"> A. halleri</w:t>
      </w:r>
      <w:r w:rsidRPr="00AA705E">
        <w:rPr>
          <w:rFonts w:ascii="Arial" w:hAnsi="Arial" w:cs="Arial"/>
          <w:lang w:val="en-GB"/>
        </w:rPr>
        <w:t>). Excess read depth was flagged using the</w:t>
      </w:r>
      <w:r>
        <w:rPr>
          <w:rFonts w:ascii="Arial" w:hAnsi="Arial" w:cs="Arial"/>
          <w:lang w:val="en-GB"/>
        </w:rPr>
        <w:t xml:space="preserve"> GATK tool “VariantFiltration”</w:t>
      </w:r>
      <w:r w:rsidRPr="00AA705E">
        <w:rPr>
          <w:rFonts w:ascii="Arial" w:hAnsi="Arial" w:cs="Arial"/>
          <w:lang w:val="en-GB"/>
        </w:rPr>
        <w:t>. Fourth, we excluded all sites that failed any of the above filters, us</w:t>
      </w:r>
      <w:r>
        <w:rPr>
          <w:rFonts w:ascii="Arial" w:hAnsi="Arial" w:cs="Arial"/>
          <w:lang w:val="en-GB"/>
        </w:rPr>
        <w:t>ing “SelectVariants”</w:t>
      </w:r>
      <w:r w:rsidRPr="00AA705E">
        <w:rPr>
          <w:rFonts w:ascii="Arial" w:hAnsi="Arial" w:cs="Arial"/>
          <w:lang w:val="en-GB"/>
        </w:rPr>
        <w:t>. Fifth, we split the data into cohorts depending on desired con</w:t>
      </w:r>
      <w:r>
        <w:rPr>
          <w:rFonts w:ascii="Arial" w:hAnsi="Arial" w:cs="Arial"/>
          <w:lang w:val="en-GB"/>
        </w:rPr>
        <w:t>trasts. We used “SelectVariants”</w:t>
      </w:r>
      <w:r w:rsidRPr="00AA705E">
        <w:rPr>
          <w:rFonts w:ascii="Arial" w:hAnsi="Arial" w:cs="Arial"/>
          <w:lang w:val="en-GB"/>
        </w:rPr>
        <w:t xml:space="preserve"> to extract the cohorts from the filtered VCF. Sixth, we export the allele co</w:t>
      </w:r>
      <w:r>
        <w:rPr>
          <w:rFonts w:ascii="Arial" w:hAnsi="Arial" w:cs="Arial"/>
          <w:lang w:val="en-GB"/>
        </w:rPr>
        <w:t>unts per cohort using the tool “VariantsToTable”</w:t>
      </w:r>
      <w:r w:rsidRPr="00AA705E">
        <w:rPr>
          <w:rFonts w:ascii="Arial" w:hAnsi="Arial" w:cs="Arial"/>
          <w:lang w:val="en-GB"/>
        </w:rPr>
        <w:t xml:space="preserve">. The allele count tables per cohort are the basis for </w:t>
      </w:r>
      <w:r>
        <w:rPr>
          <w:rFonts w:ascii="Arial" w:hAnsi="Arial" w:cs="Arial"/>
          <w:lang w:val="en-GB"/>
        </w:rPr>
        <w:t>the</w:t>
      </w:r>
      <w:r w:rsidRPr="00AA705E">
        <w:rPr>
          <w:rFonts w:ascii="Arial" w:hAnsi="Arial" w:cs="Arial"/>
          <w:lang w:val="en-GB"/>
        </w:rPr>
        <w:t xml:space="preserve"> following analyses</w:t>
      </w:r>
      <w:r>
        <w:rPr>
          <w:rFonts w:ascii="Arial" w:hAnsi="Arial" w:cs="Arial"/>
          <w:lang w:val="en-GB"/>
        </w:rPr>
        <w:t xml:space="preserve"> of </w:t>
      </w:r>
      <w:r w:rsidRPr="000B1552">
        <w:rPr>
          <w:rFonts w:ascii="Arial" w:hAnsi="Arial" w:cs="Arial"/>
          <w:smallCaps/>
          <w:lang w:val="en-GB"/>
        </w:rPr>
        <w:t>DivergenceScan</w:t>
      </w:r>
      <w:r>
        <w:rPr>
          <w:rFonts w:ascii="Arial" w:hAnsi="Arial" w:cs="Arial"/>
          <w:lang w:val="en-GB"/>
        </w:rPr>
        <w:t xml:space="preserve"> and EAA (see section (i))</w:t>
      </w:r>
      <w:r w:rsidRPr="00AA705E">
        <w:rPr>
          <w:rFonts w:ascii="Arial" w:hAnsi="Arial" w:cs="Arial"/>
          <w:lang w:val="en-GB"/>
        </w:rPr>
        <w:t>.</w:t>
      </w:r>
    </w:p>
    <w:p w:rsidR="00260DEB" w:rsidRPr="00AA705E" w:rsidRDefault="00260DEB" w:rsidP="000862A4">
      <w:pPr>
        <w:pStyle w:val="indentbody"/>
        <w:spacing w:before="0"/>
        <w:ind w:firstLine="0"/>
        <w:jc w:val="both"/>
        <w:rPr>
          <w:rFonts w:ascii="Arial" w:hAnsi="Arial" w:cs="Arial"/>
          <w:lang w:val="en-GB"/>
        </w:rPr>
      </w:pPr>
    </w:p>
    <w:p w:rsidR="00260DEB" w:rsidRDefault="00260DEB" w:rsidP="000862A4">
      <w:pPr>
        <w:pStyle w:val="indentbody"/>
        <w:spacing w:before="0"/>
        <w:ind w:firstLine="0"/>
        <w:jc w:val="both"/>
        <w:rPr>
          <w:rFonts w:ascii="Arial" w:hAnsi="Arial" w:cs="Arial"/>
          <w:color w:val="339966"/>
          <w:lang w:val="en-GB"/>
        </w:rPr>
      </w:pPr>
      <w:r w:rsidRPr="00AA705E">
        <w:rPr>
          <w:rFonts w:ascii="Arial" w:hAnsi="Arial" w:cs="Arial"/>
          <w:color w:val="339966"/>
          <w:lang w:val="en-GB"/>
        </w:rPr>
        <w:t xml:space="preserve">(f) Genome Scans, large-effect variant identification, candidate gene lists and convergent evolution </w:t>
      </w:r>
    </w:p>
    <w:p w:rsidR="00260DEB" w:rsidRPr="00F36705" w:rsidRDefault="00260DEB" w:rsidP="00015ECF">
      <w:pPr>
        <w:autoSpaceDE w:val="0"/>
        <w:autoSpaceDN w:val="0"/>
        <w:adjustRightInd w:val="0"/>
        <w:spacing w:after="120" w:line="288" w:lineRule="auto"/>
        <w:jc w:val="both"/>
        <w:rPr>
          <w:rFonts w:ascii="Arial" w:eastAsiaTheme="minorEastAsia" w:hAnsi="Arial" w:cs="Arial"/>
          <w:sz w:val="24"/>
          <w:szCs w:val="24"/>
          <w:lang w:eastAsia="ja-JP"/>
        </w:rPr>
      </w:pPr>
      <w:r w:rsidRPr="000816E0">
        <w:rPr>
          <w:rFonts w:ascii="Arial" w:eastAsiaTheme="minorEastAsia" w:hAnsi="Arial" w:cs="Arial"/>
          <w:sz w:val="24"/>
          <w:szCs w:val="24"/>
          <w:lang w:eastAsia="ja-JP"/>
        </w:rPr>
        <w:t>A</w:t>
      </w:r>
      <w:r w:rsidRPr="00F36705">
        <w:rPr>
          <w:rFonts w:ascii="Arial" w:eastAsiaTheme="minorEastAsia" w:hAnsi="Arial" w:cs="Arial"/>
          <w:sz w:val="24"/>
          <w:szCs w:val="24"/>
          <w:lang w:eastAsia="ja-JP"/>
        </w:rPr>
        <w:t xml:space="preserve">nalyses were performed in R </w:t>
      </w:r>
      <w:r>
        <w:rPr>
          <w:rFonts w:ascii="Arial" w:eastAsiaTheme="minorEastAsia" w:hAnsi="Arial" w:cs="Arial"/>
          <w:sz w:val="24"/>
          <w:szCs w:val="24"/>
          <w:lang w:eastAsia="ja-JP"/>
        </w:rPr>
        <w:t xml:space="preserve">version </w:t>
      </w:r>
      <w:r w:rsidRPr="00F36705">
        <w:rPr>
          <w:rFonts w:ascii="Arial" w:eastAsiaTheme="minorEastAsia" w:hAnsi="Arial" w:cs="Arial"/>
          <w:sz w:val="24"/>
          <w:szCs w:val="24"/>
          <w:lang w:eastAsia="ja-JP"/>
        </w:rPr>
        <w:t>3.4.4</w:t>
      </w:r>
      <w:r>
        <w:rPr>
          <w:rFonts w:ascii="Arial" w:eastAsiaTheme="minorEastAsia" w:hAnsi="Arial" w:cs="Arial"/>
          <w:sz w:val="24"/>
          <w:szCs w:val="24"/>
          <w:lang w:eastAsia="ja-JP"/>
        </w:rPr>
        <w:t>. The genome scans were done</w:t>
      </w:r>
      <w:r w:rsidRPr="00F36705">
        <w:rPr>
          <w:rFonts w:ascii="Arial" w:eastAsiaTheme="minorEastAsia" w:hAnsi="Arial" w:cs="Arial"/>
          <w:sz w:val="24"/>
          <w:szCs w:val="24"/>
          <w:lang w:eastAsia="ja-JP"/>
        </w:rPr>
        <w:t xml:space="preserve"> using custom R scripts</w:t>
      </w:r>
      <w:r>
        <w:rPr>
          <w:rFonts w:ascii="Arial" w:eastAsiaTheme="minorEastAsia" w:hAnsi="Arial" w:cs="Arial"/>
          <w:sz w:val="24"/>
          <w:szCs w:val="24"/>
          <w:lang w:eastAsia="ja-JP"/>
        </w:rPr>
        <w:t xml:space="preserve"> (</w:t>
      </w:r>
      <w:r w:rsidRPr="00871B58">
        <w:rPr>
          <w:rFonts w:ascii="Arial" w:eastAsiaTheme="minorEastAsia" w:hAnsi="Arial" w:cs="Arial"/>
          <w:sz w:val="24"/>
          <w:szCs w:val="24"/>
          <w:lang w:eastAsia="ja-JP"/>
        </w:rPr>
        <w:t>https://github.com/syllwlwz/Divergence-Scans</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 For each population pair, the genome was partitioned into windows of 25 consecutive SNPs, for which we calculated  the pairwise metrics Differentiation</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 xml:space="preserve">Diversity </w:t>
      </w:r>
      <w:r>
        <w:rPr>
          <w:rFonts w:ascii="Arial" w:eastAsiaTheme="minorEastAsia" w:hAnsi="Arial" w:cs="Arial"/>
          <w:sz w:val="24"/>
          <w:szCs w:val="24"/>
          <w:lang w:eastAsia="ja-JP"/>
        </w:rPr>
        <w:t xml:space="preserve">residuals </w:t>
      </w:r>
      <w:r w:rsidRPr="00F36705">
        <w:rPr>
          <w:rFonts w:ascii="Arial" w:eastAsiaTheme="minorEastAsia" w:hAnsi="Arial" w:cs="Arial"/>
          <w:sz w:val="24"/>
          <w:szCs w:val="24"/>
          <w:lang w:eastAsia="ja-JP"/>
        </w:rPr>
        <w:t xml:space="preserve">(DD) </w:t>
      </w:r>
      <w:r>
        <w:rPr>
          <w:rFonts w:ascii="Arial" w:eastAsiaTheme="minorEastAsia" w:hAnsi="Arial" w:cs="Arial"/>
          <w:noProof/>
          <w:sz w:val="24"/>
          <w:szCs w:val="24"/>
          <w:lang w:eastAsia="ja-JP"/>
        </w:rPr>
        <w:t>[14, 15]</w:t>
      </w:r>
      <w:r w:rsidRPr="00F36705">
        <w:rPr>
          <w:rFonts w:ascii="Arial" w:eastAsiaTheme="minorEastAsia" w:hAnsi="Arial" w:cs="Arial"/>
          <w:sz w:val="24"/>
          <w:szCs w:val="24"/>
          <w:lang w:eastAsia="ja-JP"/>
        </w:rPr>
        <w:t xml:space="preserve"> Wright’s Fixation Index (F</w:t>
      </w:r>
      <w:r w:rsidRPr="00F36705">
        <w:rPr>
          <w:rFonts w:ascii="Arial" w:eastAsiaTheme="minorEastAsia" w:hAnsi="Arial" w:cs="Arial"/>
          <w:sz w:val="24"/>
          <w:szCs w:val="24"/>
          <w:vertAlign w:val="subscript"/>
          <w:lang w:eastAsia="ja-JP"/>
        </w:rPr>
        <w:t>ST</w:t>
      </w:r>
      <w:r w:rsidRPr="00F36705">
        <w:rPr>
          <w:rFonts w:ascii="Arial" w:eastAsiaTheme="minorEastAsia" w:hAnsi="Arial" w:cs="Arial"/>
          <w:sz w:val="24"/>
          <w:szCs w:val="24"/>
          <w:lang w:eastAsia="ja-JP"/>
        </w:rPr>
        <w:t xml:space="preserve">) </w:t>
      </w:r>
      <w:r>
        <w:rPr>
          <w:rFonts w:ascii="Arial" w:eastAsiaTheme="minorEastAsia" w:hAnsi="Arial" w:cs="Arial"/>
          <w:noProof/>
          <w:sz w:val="24"/>
          <w:szCs w:val="24"/>
          <w:lang w:eastAsia="ja-JP"/>
        </w:rPr>
        <w:t>[14, 16, 17]</w:t>
      </w:r>
      <w:r w:rsidRPr="00F36705">
        <w:rPr>
          <w:rFonts w:ascii="Arial" w:eastAsiaTheme="minorEastAsia" w:hAnsi="Arial" w:cs="Arial"/>
          <w:sz w:val="24"/>
          <w:szCs w:val="24"/>
          <w:lang w:eastAsia="ja-JP"/>
        </w:rPr>
        <w:t xml:space="preserve">, Two-Dimensional Site Frequency Spectrum Composite Likelihood Ratio test (Nielsen 2dSFS) </w:t>
      </w:r>
      <w:r>
        <w:rPr>
          <w:rFonts w:ascii="Arial" w:eastAsiaTheme="minorEastAsia" w:hAnsi="Arial" w:cs="Arial"/>
          <w:noProof/>
          <w:sz w:val="24"/>
          <w:szCs w:val="24"/>
          <w:lang w:eastAsia="ja-JP"/>
        </w:rPr>
        <w:t>[14, 15, 18]</w:t>
      </w:r>
      <w:r w:rsidRPr="00F36705">
        <w:rPr>
          <w:rFonts w:ascii="Arial" w:eastAsiaTheme="minorEastAsia" w:hAnsi="Arial" w:cs="Arial"/>
          <w:sz w:val="24"/>
          <w:szCs w:val="24"/>
          <w:lang w:eastAsia="ja-JP"/>
        </w:rPr>
        <w:t>, Maximum Absolute Net Divergence (</w:t>
      </w:r>
      <w:r>
        <w:rPr>
          <w:rFonts w:ascii="Arial" w:eastAsiaTheme="minorEastAsia" w:hAnsi="Arial" w:cs="Arial"/>
          <w:sz w:val="24"/>
          <w:szCs w:val="24"/>
          <w:lang w:eastAsia="ja-JP"/>
        </w:rPr>
        <w:t>d</w:t>
      </w:r>
      <w:r w:rsidRPr="00401D82">
        <w:rPr>
          <w:rFonts w:ascii="Arial" w:eastAsiaTheme="minorEastAsia" w:hAnsi="Arial" w:cs="Arial"/>
          <w:sz w:val="24"/>
          <w:szCs w:val="24"/>
          <w:vertAlign w:val="subscript"/>
          <w:lang w:eastAsia="ja-JP"/>
        </w:rPr>
        <w:t>XY</w:t>
      </w:r>
      <w:r w:rsidRPr="00F36705">
        <w:rPr>
          <w:rFonts w:ascii="Arial" w:eastAsiaTheme="minorEastAsia" w:hAnsi="Arial" w:cs="Arial"/>
          <w:sz w:val="24"/>
          <w:szCs w:val="24"/>
          <w:lang w:eastAsia="ja-JP"/>
        </w:rPr>
        <w:t xml:space="preserve">) </w:t>
      </w:r>
      <w:r>
        <w:rPr>
          <w:rFonts w:ascii="Arial" w:eastAsiaTheme="minorEastAsia" w:hAnsi="Arial" w:cs="Arial"/>
          <w:noProof/>
          <w:sz w:val="24"/>
          <w:szCs w:val="24"/>
          <w:lang w:eastAsia="ja-JP"/>
        </w:rPr>
        <w:t>[14, 19]</w:t>
      </w:r>
      <w:r w:rsidRPr="00F36705">
        <w:rPr>
          <w:rFonts w:ascii="Arial" w:eastAsiaTheme="minorEastAsia" w:hAnsi="Arial" w:cs="Arial"/>
          <w:sz w:val="24"/>
          <w:szCs w:val="24"/>
          <w:lang w:eastAsia="ja-JP"/>
        </w:rPr>
        <w:t>,</w:t>
      </w:r>
      <w:r w:rsidRPr="00F36705">
        <w:rPr>
          <w:rFonts w:ascii="Arial" w:eastAsiaTheme="minorEastAsia" w:hAnsi="Arial" w:cs="Arial"/>
          <w:color w:val="000000"/>
          <w:sz w:val="24"/>
          <w:szCs w:val="24"/>
          <w:lang w:eastAsia="ja-JP"/>
        </w:rPr>
        <w:t xml:space="preserve"> and </w:t>
      </w:r>
      <w:r w:rsidRPr="00F36705">
        <w:rPr>
          <w:rFonts w:ascii="Arial" w:eastAsiaTheme="minorEastAsia" w:hAnsi="Arial" w:cs="Arial"/>
          <w:sz w:val="24"/>
          <w:szCs w:val="24"/>
          <w:lang w:eastAsia="ja-JP"/>
        </w:rPr>
        <w:t>T</w:t>
      </w:r>
      <w:r w:rsidRPr="00022561">
        <w:rPr>
          <w:rFonts w:ascii="Arial" w:eastAsiaTheme="minorEastAsia" w:hAnsi="Arial" w:cs="Arial"/>
          <w:sz w:val="24"/>
          <w:szCs w:val="24"/>
          <w:vertAlign w:val="subscript"/>
          <w:lang w:eastAsia="ja-JP"/>
        </w:rPr>
        <w:t>F-LK</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 xml:space="preserve"> </w:t>
      </w:r>
      <w:r w:rsidRPr="00F36705">
        <w:rPr>
          <w:rFonts w:ascii="Arial" w:eastAsiaTheme="minorEastAsia" w:hAnsi="Arial" w:cs="Arial"/>
          <w:i/>
          <w:sz w:val="24"/>
          <w:szCs w:val="24"/>
          <w:lang w:eastAsia="ja-JP"/>
        </w:rPr>
        <w:t>P</w:t>
      </w:r>
      <w:r w:rsidRPr="00F36705">
        <w:rPr>
          <w:rFonts w:ascii="Arial" w:eastAsiaTheme="minorEastAsia" w:hAnsi="Arial" w:cs="Arial"/>
          <w:sz w:val="24"/>
          <w:szCs w:val="24"/>
          <w:lang w:eastAsia="ja-JP"/>
        </w:rPr>
        <w:t>-value (</w:t>
      </w:r>
      <w:r>
        <w:rPr>
          <w:rFonts w:ascii="Arial" w:eastAsiaTheme="minorEastAsia" w:hAnsi="Arial" w:cs="Arial"/>
          <w:sz w:val="24"/>
          <w:szCs w:val="24"/>
          <w:lang w:eastAsia="ja-JP"/>
        </w:rPr>
        <w:t xml:space="preserve">extended Lewontin and Krakauer test, </w:t>
      </w:r>
      <w:r w:rsidRPr="00F36705">
        <w:rPr>
          <w:rFonts w:ascii="Arial" w:eastAsiaTheme="minorEastAsia" w:hAnsi="Arial" w:cs="Arial"/>
          <w:sz w:val="24"/>
          <w:szCs w:val="24"/>
          <w:lang w:eastAsia="ja-JP"/>
        </w:rPr>
        <w:t xml:space="preserve">Flk) </w:t>
      </w:r>
      <w:r>
        <w:rPr>
          <w:rFonts w:ascii="Arial" w:eastAsiaTheme="minorEastAsia" w:hAnsi="Arial" w:cs="Arial"/>
          <w:noProof/>
          <w:sz w:val="24"/>
          <w:szCs w:val="24"/>
          <w:lang w:eastAsia="ja-JP"/>
        </w:rPr>
        <w:t>[20]</w:t>
      </w:r>
      <w:r w:rsidRPr="00F36705">
        <w:rPr>
          <w:rFonts w:ascii="Arial" w:eastAsiaTheme="minorEastAsia" w:hAnsi="Arial" w:cs="Arial"/>
          <w:sz w:val="24"/>
          <w:szCs w:val="24"/>
          <w:lang w:eastAsia="ja-JP"/>
        </w:rPr>
        <w:t xml:space="preserve">, VarLD </w:t>
      </w:r>
      <w:r>
        <w:rPr>
          <w:rFonts w:ascii="Arial" w:eastAsiaTheme="minorEastAsia" w:hAnsi="Arial" w:cs="Arial"/>
          <w:noProof/>
          <w:sz w:val="24"/>
          <w:szCs w:val="24"/>
          <w:lang w:eastAsia="ja-JP"/>
        </w:rPr>
        <w:t>[21]</w:t>
      </w:r>
      <w:r w:rsidRPr="00F36705">
        <w:rPr>
          <w:rFonts w:ascii="Arial" w:eastAsiaTheme="minorEastAsia" w:hAnsi="Arial" w:cs="Arial"/>
          <w:sz w:val="24"/>
          <w:szCs w:val="24"/>
          <w:lang w:eastAsia="ja-JP"/>
        </w:rPr>
        <w:t xml:space="preserve">. Flk was calculated using the software hapflk version 1.3.0 </w:t>
      </w:r>
      <w:r>
        <w:rPr>
          <w:rFonts w:ascii="Arial" w:eastAsiaTheme="minorEastAsia" w:hAnsi="Arial" w:cs="Arial"/>
          <w:noProof/>
          <w:sz w:val="24"/>
          <w:szCs w:val="24"/>
          <w:lang w:eastAsia="ja-JP"/>
        </w:rPr>
        <w:t>[22]</w:t>
      </w:r>
      <w:r w:rsidRPr="00F36705">
        <w:rPr>
          <w:rFonts w:ascii="Arial" w:eastAsiaTheme="minorEastAsia" w:hAnsi="Arial" w:cs="Arial"/>
          <w:sz w:val="24"/>
          <w:szCs w:val="24"/>
          <w:lang w:eastAsia="ja-JP"/>
        </w:rPr>
        <w:t xml:space="preserve">. For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arenosa</w:t>
      </w:r>
      <w:r w:rsidRPr="00F36705">
        <w:rPr>
          <w:rFonts w:ascii="Arial" w:eastAsiaTheme="minorEastAsia" w:hAnsi="Arial" w:cs="Arial"/>
          <w:sz w:val="24"/>
          <w:szCs w:val="24"/>
          <w:lang w:eastAsia="ja-JP"/>
        </w:rPr>
        <w:t xml:space="preserve">, the heterozygosity was adjusted to </w:t>
      </w:r>
      <m:oMath>
        <m:r>
          <m:rPr>
            <m:sty m:val="p"/>
          </m:rPr>
          <w:rPr>
            <w:rFonts w:ascii="Cambria Math" w:eastAsiaTheme="minorEastAsia" w:hAnsi="Cambria Math" w:cs="Arial"/>
            <w:sz w:val="24"/>
            <w:szCs w:val="24"/>
            <w:lang w:eastAsia="ja-JP"/>
          </w:rPr>
          <m:t>4</m:t>
        </m:r>
        <m:sSup>
          <m:sSupPr>
            <m:ctrlPr>
              <w:rPr>
                <w:rFonts w:ascii="Cambria Math" w:eastAsiaTheme="minorEastAsia" w:hAnsi="Cambria Math" w:cs="Arial"/>
                <w:sz w:val="24"/>
                <w:szCs w:val="24"/>
                <w:lang w:eastAsia="ja-JP"/>
              </w:rPr>
            </m:ctrlPr>
          </m:sSupPr>
          <m:e>
            <m:r>
              <m:rPr>
                <m:sty m:val="p"/>
              </m:rPr>
              <w:rPr>
                <w:rFonts w:ascii="Cambria Math" w:eastAsiaTheme="minorEastAsia" w:hAnsi="Cambria Math" w:cs="Arial"/>
                <w:sz w:val="24"/>
                <w:szCs w:val="24"/>
                <w:lang w:eastAsia="ja-JP"/>
              </w:rPr>
              <m:t>p</m:t>
            </m:r>
          </m:e>
          <m:sup>
            <m:r>
              <m:rPr>
                <m:sty m:val="p"/>
              </m:rPr>
              <w:rPr>
                <w:rFonts w:ascii="Cambria Math" w:eastAsiaTheme="minorEastAsia" w:hAnsi="Cambria Math" w:cs="Arial"/>
                <w:sz w:val="24"/>
                <w:szCs w:val="24"/>
                <w:lang w:eastAsia="ja-JP"/>
              </w:rPr>
              <m:t>3q</m:t>
            </m:r>
          </m:sup>
        </m:sSup>
        <m:r>
          <m:rPr>
            <m:sty m:val="p"/>
          </m:rPr>
          <w:rPr>
            <w:rFonts w:ascii="Cambria Math" w:eastAsiaTheme="minorEastAsia" w:hAnsi="Cambria Math" w:cs="Arial"/>
            <w:sz w:val="24"/>
            <w:szCs w:val="24"/>
            <w:lang w:eastAsia="ja-JP"/>
          </w:rPr>
          <m:t>+6</m:t>
        </m:r>
        <m:sSup>
          <m:sSupPr>
            <m:ctrlPr>
              <w:rPr>
                <w:rFonts w:ascii="Cambria Math" w:eastAsiaTheme="minorEastAsia" w:hAnsi="Cambria Math" w:cs="Arial"/>
                <w:sz w:val="24"/>
                <w:szCs w:val="24"/>
                <w:lang w:eastAsia="ja-JP"/>
              </w:rPr>
            </m:ctrlPr>
          </m:sSupPr>
          <m:e>
            <m:r>
              <m:rPr>
                <m:sty m:val="p"/>
              </m:rPr>
              <w:rPr>
                <w:rFonts w:ascii="Cambria Math" w:eastAsiaTheme="minorEastAsia" w:hAnsi="Cambria Math" w:cs="Arial"/>
                <w:sz w:val="24"/>
                <w:szCs w:val="24"/>
                <w:lang w:eastAsia="ja-JP"/>
              </w:rPr>
              <m:t>p</m:t>
            </m:r>
          </m:e>
          <m:sup>
            <m:r>
              <m:rPr>
                <m:sty m:val="p"/>
              </m:rPr>
              <w:rPr>
                <w:rFonts w:ascii="Cambria Math" w:eastAsiaTheme="minorEastAsia" w:hAnsi="Cambria Math" w:cs="Arial"/>
                <w:sz w:val="24"/>
                <w:szCs w:val="24"/>
                <w:lang w:eastAsia="ja-JP"/>
              </w:rPr>
              <m:t>2</m:t>
            </m:r>
            <m:sSup>
              <m:sSupPr>
                <m:ctrlPr>
                  <w:rPr>
                    <w:rFonts w:ascii="Cambria Math" w:eastAsiaTheme="minorEastAsia" w:hAnsi="Cambria Math" w:cs="Arial"/>
                    <w:sz w:val="24"/>
                    <w:szCs w:val="24"/>
                    <w:lang w:eastAsia="ja-JP"/>
                  </w:rPr>
                </m:ctrlPr>
              </m:sSupPr>
              <m:e>
                <m:r>
                  <m:rPr>
                    <m:sty m:val="p"/>
                  </m:rPr>
                  <w:rPr>
                    <w:rFonts w:ascii="Cambria Math" w:eastAsiaTheme="minorEastAsia" w:hAnsi="Cambria Math" w:cs="Arial"/>
                    <w:sz w:val="24"/>
                    <w:szCs w:val="24"/>
                    <w:lang w:eastAsia="ja-JP"/>
                  </w:rPr>
                  <m:t>q</m:t>
                </m:r>
              </m:e>
              <m:sup>
                <m:r>
                  <m:rPr>
                    <m:sty m:val="p"/>
                  </m:rPr>
                  <w:rPr>
                    <w:rFonts w:ascii="Cambria Math" w:eastAsiaTheme="minorEastAsia" w:hAnsi="Cambria Math" w:cs="Arial"/>
                    <w:sz w:val="24"/>
                    <w:szCs w:val="24"/>
                    <w:lang w:eastAsia="ja-JP"/>
                  </w:rPr>
                  <m:t>2</m:t>
                </m:r>
              </m:sup>
            </m:sSup>
          </m:sup>
        </m:sSup>
        <m:r>
          <m:rPr>
            <m:sty m:val="p"/>
          </m:rPr>
          <w:rPr>
            <w:rFonts w:ascii="Cambria Math" w:eastAsiaTheme="minorEastAsia" w:hAnsi="Cambria Math" w:cs="Arial"/>
            <w:sz w:val="24"/>
            <w:szCs w:val="24"/>
            <w:lang w:eastAsia="ja-JP"/>
          </w:rPr>
          <m:t>+4</m:t>
        </m:r>
        <m:sSup>
          <m:sSupPr>
            <m:ctrlPr>
              <w:rPr>
                <w:rFonts w:ascii="Cambria Math" w:eastAsiaTheme="minorEastAsia" w:hAnsi="Cambria Math" w:cs="Arial"/>
                <w:sz w:val="24"/>
                <w:szCs w:val="24"/>
                <w:lang w:eastAsia="ja-JP"/>
              </w:rPr>
            </m:ctrlPr>
          </m:sSupPr>
          <m:e>
            <m:r>
              <m:rPr>
                <m:sty m:val="p"/>
              </m:rPr>
              <w:rPr>
                <w:rFonts w:ascii="Cambria Math" w:eastAsiaTheme="minorEastAsia" w:hAnsi="Cambria Math" w:cs="Arial"/>
                <w:sz w:val="24"/>
                <w:szCs w:val="24"/>
                <w:lang w:eastAsia="ja-JP"/>
              </w:rPr>
              <m:t>pq</m:t>
            </m:r>
          </m:e>
          <m:sup>
            <m:r>
              <m:rPr>
                <m:sty m:val="p"/>
              </m:rPr>
              <w:rPr>
                <w:rFonts w:ascii="Cambria Math" w:eastAsiaTheme="minorEastAsia" w:hAnsi="Cambria Math" w:cs="Arial"/>
                <w:sz w:val="24"/>
                <w:szCs w:val="24"/>
                <w:lang w:eastAsia="ja-JP"/>
              </w:rPr>
              <m:t>3</m:t>
            </m:r>
          </m:sup>
        </m:sSup>
      </m:oMath>
      <w:r w:rsidRPr="00F36705">
        <w:rPr>
          <w:rFonts w:ascii="Arial" w:eastAsiaTheme="minorEastAsia" w:hAnsi="Arial" w:cs="Arial"/>
          <w:sz w:val="24"/>
          <w:szCs w:val="24"/>
          <w:lang w:eastAsia="ja-JP"/>
        </w:rPr>
        <w:t xml:space="preserve"> for F</w:t>
      </w:r>
      <w:r w:rsidRPr="00F36705">
        <w:rPr>
          <w:rFonts w:ascii="Arial" w:eastAsiaTheme="minorEastAsia" w:hAnsi="Arial" w:cs="Arial"/>
          <w:sz w:val="24"/>
          <w:szCs w:val="24"/>
          <w:vertAlign w:val="subscript"/>
          <w:lang w:eastAsia="ja-JP"/>
        </w:rPr>
        <w:t>ST</w:t>
      </w:r>
      <w:r w:rsidRPr="00F36705">
        <w:rPr>
          <w:rFonts w:ascii="Arial" w:eastAsiaTheme="minorEastAsia" w:hAnsi="Arial" w:cs="Arial"/>
          <w:sz w:val="24"/>
          <w:szCs w:val="24"/>
          <w:lang w:eastAsia="ja-JP"/>
        </w:rPr>
        <w:t xml:space="preserve"> and Flk. The 25-SNP windows were ranked for each metric using the rank function, with the “ties” option set to minimum. The single population metrics Tajima’s D </w:t>
      </w:r>
      <w:r>
        <w:rPr>
          <w:rFonts w:ascii="Arial" w:eastAsiaTheme="minorEastAsia" w:hAnsi="Arial" w:cs="Arial"/>
          <w:noProof/>
          <w:sz w:val="24"/>
          <w:szCs w:val="24"/>
          <w:lang w:eastAsia="ja-JP"/>
        </w:rPr>
        <w:t>[23]</w:t>
      </w:r>
      <w:r w:rsidRPr="00F36705">
        <w:rPr>
          <w:rFonts w:ascii="Arial" w:eastAsiaTheme="minorEastAsia" w:hAnsi="Arial" w:cs="Arial"/>
          <w:sz w:val="24"/>
          <w:szCs w:val="24"/>
          <w:lang w:eastAsia="ja-JP"/>
        </w:rPr>
        <w:t xml:space="preserve"> and Fay and Wu’s H </w:t>
      </w:r>
      <w:r>
        <w:rPr>
          <w:rFonts w:ascii="Arial" w:eastAsiaTheme="minorEastAsia" w:hAnsi="Arial" w:cs="Arial"/>
          <w:noProof/>
          <w:sz w:val="24"/>
          <w:szCs w:val="24"/>
          <w:lang w:eastAsia="ja-JP"/>
        </w:rPr>
        <w:t>[24]</w:t>
      </w:r>
      <w:r w:rsidRPr="00F36705">
        <w:rPr>
          <w:rFonts w:ascii="Arial" w:eastAsiaTheme="minorEastAsia" w:hAnsi="Arial" w:cs="Arial"/>
          <w:color w:val="000000"/>
          <w:sz w:val="24"/>
          <w:szCs w:val="24"/>
          <w:lang w:eastAsia="ja-JP"/>
        </w:rPr>
        <w:t xml:space="preserve"> </w:t>
      </w:r>
      <w:r w:rsidRPr="00F36705">
        <w:rPr>
          <w:rFonts w:ascii="Arial" w:eastAsiaTheme="minorEastAsia" w:hAnsi="Arial" w:cs="Arial"/>
          <w:sz w:val="24"/>
          <w:szCs w:val="24"/>
          <w:lang w:eastAsia="ja-JP"/>
        </w:rPr>
        <w:t xml:space="preserve">were calculated for windows of 25 consecutive SNPs based on within-population sequence variation. Tajima’s D and Fay and Wu’s H were standardized genome- and population-wide employing the function decostand using the method “standardize” in the </w:t>
      </w:r>
      <w:r>
        <w:rPr>
          <w:rFonts w:ascii="Arial" w:eastAsiaTheme="minorEastAsia" w:hAnsi="Arial" w:cs="Arial"/>
          <w:sz w:val="24"/>
          <w:szCs w:val="24"/>
          <w:lang w:eastAsia="ja-JP"/>
        </w:rPr>
        <w:t>R-</w:t>
      </w:r>
      <w:r w:rsidRPr="00F36705">
        <w:rPr>
          <w:rFonts w:ascii="Arial" w:eastAsiaTheme="minorEastAsia" w:hAnsi="Arial" w:cs="Arial"/>
          <w:sz w:val="24"/>
          <w:szCs w:val="24"/>
          <w:lang w:eastAsia="ja-JP"/>
        </w:rPr>
        <w:t xml:space="preserve">package vegan </w:t>
      </w:r>
      <w:r>
        <w:rPr>
          <w:rFonts w:ascii="Arial" w:eastAsiaTheme="minorEastAsia" w:hAnsi="Arial" w:cs="Arial"/>
          <w:noProof/>
          <w:sz w:val="24"/>
          <w:szCs w:val="24"/>
          <w:lang w:eastAsia="ja-JP"/>
        </w:rPr>
        <w:t>[25]</w:t>
      </w:r>
      <w:r w:rsidRPr="00F36705">
        <w:rPr>
          <w:rFonts w:ascii="Arial" w:eastAsiaTheme="minorEastAsia" w:hAnsi="Arial" w:cs="Arial"/>
          <w:sz w:val="24"/>
          <w:szCs w:val="24"/>
          <w:lang w:eastAsia="ja-JP"/>
        </w:rPr>
        <w:t xml:space="preserve">. File format was converted from vcf to bed with GATK VariantsToBinaryPed, and SweeD </w:t>
      </w:r>
      <w:r>
        <w:rPr>
          <w:rFonts w:ascii="Arial" w:eastAsiaTheme="minorEastAsia" w:hAnsi="Arial" w:cs="Arial"/>
          <w:noProof/>
          <w:sz w:val="24"/>
          <w:szCs w:val="24"/>
          <w:lang w:eastAsia="ja-JP"/>
        </w:rPr>
        <w:t>[26, 27]</w:t>
      </w:r>
      <w:r w:rsidRPr="00F36705">
        <w:rPr>
          <w:rFonts w:ascii="Arial" w:eastAsiaTheme="minorEastAsia" w:hAnsi="Arial" w:cs="Arial"/>
          <w:sz w:val="24"/>
          <w:szCs w:val="24"/>
          <w:lang w:eastAsia="ja-JP"/>
        </w:rPr>
        <w:t xml:space="preserve"> was calculated with the program </w:t>
      </w:r>
      <w:r w:rsidRPr="00CB1712">
        <w:rPr>
          <w:rFonts w:ascii="Arial" w:eastAsiaTheme="minorEastAsia" w:hAnsi="Arial" w:cs="Arial"/>
          <w:smallCaps/>
          <w:sz w:val="24"/>
          <w:szCs w:val="24"/>
          <w:lang w:eastAsia="ja-JP"/>
        </w:rPr>
        <w:t>SweeD</w:t>
      </w:r>
      <w:r w:rsidRPr="00F36705">
        <w:rPr>
          <w:rFonts w:ascii="Arial" w:eastAsiaTheme="minorEastAsia" w:hAnsi="Arial" w:cs="Arial"/>
          <w:sz w:val="24"/>
          <w:szCs w:val="24"/>
          <w:lang w:eastAsia="ja-JP"/>
        </w:rPr>
        <w:t xml:space="preserve"> with a grid size of 100,000 for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halleri</w:t>
      </w:r>
      <w:r w:rsidRPr="00F36705">
        <w:rPr>
          <w:rFonts w:ascii="Arial" w:eastAsiaTheme="minorEastAsia" w:hAnsi="Arial" w:cs="Arial"/>
          <w:sz w:val="24"/>
          <w:szCs w:val="24"/>
          <w:lang w:eastAsia="ja-JP"/>
        </w:rPr>
        <w:t xml:space="preserve"> and 200,000 for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arenosa</w:t>
      </w:r>
      <w:r w:rsidRPr="00F36705">
        <w:rPr>
          <w:rFonts w:ascii="Arial" w:eastAsiaTheme="minorEastAsia" w:hAnsi="Arial" w:cs="Arial"/>
          <w:sz w:val="24"/>
          <w:szCs w:val="24"/>
          <w:lang w:eastAsia="ja-JP"/>
        </w:rPr>
        <w:t xml:space="preserve"> and a folded site frequency spectrum. Windows exceeding 100,000 bp in length were excluded for both pairwise and the single population metrics. </w:t>
      </w:r>
    </w:p>
    <w:p w:rsidR="00260DEB" w:rsidRPr="00F36705" w:rsidRDefault="00260DEB" w:rsidP="00015ECF">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t>Candidate windows for selection were identified as the 0.1%ile for either one of the pairwise metrics F</w:t>
      </w:r>
      <w:r w:rsidRPr="00F36705">
        <w:rPr>
          <w:rFonts w:ascii="Arial" w:eastAsiaTheme="minorEastAsia" w:hAnsi="Arial" w:cs="Arial"/>
          <w:sz w:val="24"/>
          <w:szCs w:val="24"/>
          <w:vertAlign w:val="subscript"/>
          <w:lang w:eastAsia="ja-JP"/>
        </w:rPr>
        <w:t>ST</w:t>
      </w:r>
      <w:r w:rsidRPr="00F36705">
        <w:rPr>
          <w:rFonts w:ascii="Arial" w:eastAsiaTheme="minorEastAsia" w:hAnsi="Arial" w:cs="Arial"/>
          <w:sz w:val="24"/>
          <w:szCs w:val="24"/>
          <w:lang w:eastAsia="ja-JP"/>
        </w:rPr>
        <w:t xml:space="preserve">, DD, Nielsen 2dSFS, Flk or </w:t>
      </w:r>
      <w:r>
        <w:rPr>
          <w:rFonts w:ascii="Arial" w:eastAsiaTheme="minorEastAsia" w:hAnsi="Arial" w:cs="Arial"/>
          <w:sz w:val="24"/>
          <w:szCs w:val="24"/>
          <w:lang w:eastAsia="ja-JP"/>
        </w:rPr>
        <w:t>d</w:t>
      </w:r>
      <w:r w:rsidRPr="00CB1712">
        <w:rPr>
          <w:rFonts w:ascii="Arial" w:eastAsiaTheme="minorEastAsia" w:hAnsi="Arial" w:cs="Arial"/>
          <w:sz w:val="24"/>
          <w:szCs w:val="24"/>
          <w:vertAlign w:val="subscript"/>
          <w:lang w:eastAsia="ja-JP"/>
        </w:rPr>
        <w:t>XY</w:t>
      </w:r>
      <w:r w:rsidRPr="00F36705">
        <w:rPr>
          <w:rFonts w:ascii="Arial" w:eastAsiaTheme="minorEastAsia" w:hAnsi="Arial" w:cs="Arial"/>
          <w:sz w:val="24"/>
          <w:szCs w:val="24"/>
          <w:lang w:eastAsia="ja-JP"/>
        </w:rPr>
        <w:t xml:space="preserve"> (see also later filtering). Tajima’s D, Fay and Wu’s H and </w:t>
      </w:r>
      <w:r w:rsidRPr="00CB1712">
        <w:rPr>
          <w:rFonts w:ascii="Arial" w:eastAsiaTheme="minorEastAsia" w:hAnsi="Arial" w:cs="Arial"/>
          <w:smallCaps/>
          <w:sz w:val="24"/>
          <w:szCs w:val="24"/>
          <w:lang w:eastAsia="ja-JP"/>
        </w:rPr>
        <w:t>SweeD</w:t>
      </w:r>
      <w:r w:rsidRPr="00F36705">
        <w:rPr>
          <w:rFonts w:ascii="Arial" w:eastAsiaTheme="minorEastAsia" w:hAnsi="Arial" w:cs="Arial"/>
          <w:sz w:val="24"/>
          <w:szCs w:val="24"/>
          <w:lang w:eastAsia="ja-JP"/>
        </w:rPr>
        <w:t xml:space="preserve"> nearest windows were associated with candidate windows using the “nearest” command </w:t>
      </w:r>
      <w:r>
        <w:rPr>
          <w:rFonts w:ascii="Arial" w:eastAsiaTheme="minorEastAsia" w:hAnsi="Arial" w:cs="Arial"/>
          <w:sz w:val="24"/>
          <w:szCs w:val="24"/>
          <w:lang w:eastAsia="ja-JP"/>
        </w:rPr>
        <w:t>in the R-</w:t>
      </w:r>
      <w:r w:rsidRPr="00F36705">
        <w:rPr>
          <w:rFonts w:ascii="Arial" w:eastAsiaTheme="minorEastAsia" w:hAnsi="Arial" w:cs="Arial"/>
          <w:sz w:val="24"/>
          <w:szCs w:val="24"/>
          <w:lang w:eastAsia="ja-JP"/>
        </w:rPr>
        <w:t xml:space="preserve">package GenomicRanges </w:t>
      </w:r>
      <w:r>
        <w:rPr>
          <w:rFonts w:ascii="Arial" w:eastAsiaTheme="minorEastAsia" w:hAnsi="Arial" w:cs="Arial"/>
          <w:noProof/>
          <w:sz w:val="24"/>
          <w:szCs w:val="24"/>
          <w:lang w:eastAsia="ja-JP"/>
        </w:rPr>
        <w:t>[28]</w:t>
      </w:r>
      <w:r w:rsidRPr="00F36705">
        <w:rPr>
          <w:rFonts w:ascii="Arial" w:eastAsiaTheme="minorEastAsia" w:hAnsi="Arial" w:cs="Arial"/>
          <w:sz w:val="24"/>
          <w:szCs w:val="24"/>
          <w:lang w:eastAsia="ja-JP"/>
        </w:rPr>
        <w:t xml:space="preserve"> For the population pair Klet and Kowa of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halleri</w:t>
      </w:r>
      <w:r w:rsidRPr="00F36705">
        <w:rPr>
          <w:rFonts w:ascii="Arial" w:eastAsiaTheme="minorEastAsia" w:hAnsi="Arial" w:cs="Arial"/>
          <w:sz w:val="24"/>
          <w:szCs w:val="24"/>
          <w:lang w:eastAsia="ja-JP"/>
        </w:rPr>
        <w:t>, DD results were not taken into consideration because the pre-requisite of a positive correlation of diversity with divergence was not fulfilled. VarLD outliers were not considered because the underlying assumption of high linkage disequilibrium (LD) at selected loci appeared not to be fulfilled.</w:t>
      </w:r>
    </w:p>
    <w:p w:rsidR="00260DEB" w:rsidRPr="00F36705" w:rsidRDefault="00260DEB" w:rsidP="00015ECF">
      <w:pPr>
        <w:autoSpaceDE w:val="0"/>
        <w:autoSpaceDN w:val="0"/>
        <w:adjustRightInd w:val="0"/>
        <w:spacing w:after="120" w:line="288" w:lineRule="auto"/>
        <w:jc w:val="both"/>
        <w:rPr>
          <w:rFonts w:ascii="Arial" w:eastAsiaTheme="minorEastAsia" w:hAnsi="Arial" w:cs="Arial"/>
          <w:sz w:val="24"/>
          <w:szCs w:val="24"/>
          <w:lang w:eastAsia="ja-JP"/>
        </w:rPr>
      </w:pPr>
    </w:p>
    <w:p w:rsidR="00260DEB" w:rsidRPr="00F36705" w:rsidRDefault="00260DEB" w:rsidP="00015ECF">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lastRenderedPageBreak/>
        <w:t xml:space="preserve">Employing positional information according to the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lyrata</w:t>
      </w:r>
      <w:r w:rsidRPr="00F36705">
        <w:rPr>
          <w:rFonts w:ascii="Arial" w:eastAsiaTheme="minorEastAsia" w:hAnsi="Arial" w:cs="Arial"/>
          <w:sz w:val="24"/>
          <w:szCs w:val="24"/>
          <w:lang w:eastAsia="ja-JP"/>
        </w:rPr>
        <w:t xml:space="preserve"> reference genome, each window was converted to its gene content based on any overlap with the coding region and up to 2,000</w:t>
      </w:r>
      <w:r>
        <w:rPr>
          <w:rFonts w:ascii="Arial" w:eastAsiaTheme="minorEastAsia" w:hAnsi="Arial" w:cs="Arial"/>
          <w:sz w:val="24"/>
          <w:szCs w:val="24"/>
          <w:lang w:eastAsia="ja-JP"/>
        </w:rPr>
        <w:t> </w:t>
      </w:r>
      <w:r w:rsidRPr="00F36705">
        <w:rPr>
          <w:rFonts w:ascii="Arial" w:eastAsiaTheme="minorEastAsia" w:hAnsi="Arial" w:cs="Arial"/>
          <w:sz w:val="24"/>
          <w:szCs w:val="24"/>
          <w:lang w:eastAsia="ja-JP"/>
        </w:rPr>
        <w:t xml:space="preserve">bp upstream (promoter region), with the </w:t>
      </w:r>
      <w:r>
        <w:rPr>
          <w:rFonts w:ascii="Arial" w:eastAsiaTheme="minorEastAsia" w:hAnsi="Arial" w:cs="Arial"/>
          <w:sz w:val="24"/>
          <w:szCs w:val="24"/>
          <w:lang w:eastAsia="ja-JP"/>
        </w:rPr>
        <w:t>R-</w:t>
      </w:r>
      <w:r w:rsidRPr="00F36705">
        <w:rPr>
          <w:rFonts w:ascii="Arial" w:eastAsiaTheme="minorEastAsia" w:hAnsi="Arial" w:cs="Arial"/>
          <w:sz w:val="24"/>
          <w:szCs w:val="24"/>
          <w:lang w:eastAsia="ja-JP"/>
        </w:rPr>
        <w:t xml:space="preserve">packages GenomicRanges, GenomicFeatures and IRanges </w:t>
      </w:r>
      <w:r>
        <w:rPr>
          <w:rFonts w:ascii="Arial" w:eastAsiaTheme="minorEastAsia" w:hAnsi="Arial" w:cs="Arial"/>
          <w:noProof/>
          <w:sz w:val="24"/>
          <w:szCs w:val="24"/>
          <w:lang w:eastAsia="ja-JP"/>
        </w:rPr>
        <w:t>[28]</w:t>
      </w:r>
      <w:r w:rsidRPr="00F36705">
        <w:rPr>
          <w:rFonts w:ascii="Arial" w:eastAsiaTheme="minorEastAsia" w:hAnsi="Arial" w:cs="Arial"/>
          <w:sz w:val="24"/>
          <w:szCs w:val="24"/>
          <w:lang w:eastAsia="ja-JP"/>
        </w:rPr>
        <w:t xml:space="preserve">. Orthologous </w:t>
      </w:r>
      <w:r w:rsidRPr="00F36705">
        <w:rPr>
          <w:rFonts w:ascii="Arial" w:eastAsiaTheme="minorEastAsia" w:hAnsi="Arial" w:cs="Arial"/>
          <w:i/>
          <w:sz w:val="24"/>
          <w:szCs w:val="24"/>
          <w:lang w:eastAsia="ja-JP"/>
        </w:rPr>
        <w:t>Arabidopsis thaliana</w:t>
      </w:r>
      <w:r w:rsidRPr="00F36705">
        <w:rPr>
          <w:rFonts w:ascii="Arial" w:eastAsiaTheme="minorEastAsia" w:hAnsi="Arial" w:cs="Arial"/>
          <w:sz w:val="24"/>
          <w:szCs w:val="24"/>
          <w:lang w:eastAsia="ja-JP"/>
        </w:rPr>
        <w:t xml:space="preserve"> gene identifiers were retrieved for </w:t>
      </w:r>
      <w:r w:rsidRPr="00F36705">
        <w:rPr>
          <w:rFonts w:ascii="Arial" w:eastAsiaTheme="minorEastAsia" w:hAnsi="Arial" w:cs="Arial"/>
          <w:i/>
          <w:sz w:val="24"/>
          <w:szCs w:val="24"/>
          <w:lang w:eastAsia="ja-JP"/>
        </w:rPr>
        <w:t>A. lyrata</w:t>
      </w:r>
      <w:r w:rsidRPr="00F36705">
        <w:rPr>
          <w:rFonts w:ascii="Arial" w:eastAsiaTheme="minorEastAsia" w:hAnsi="Arial" w:cs="Arial"/>
          <w:sz w:val="24"/>
          <w:szCs w:val="24"/>
          <w:lang w:eastAsia="ja-JP"/>
        </w:rPr>
        <w:t xml:space="preserve"> genes based on an orthogroup analysis through </w:t>
      </w:r>
      <w:r w:rsidRPr="00CB1712">
        <w:rPr>
          <w:rFonts w:ascii="Arial" w:eastAsiaTheme="minorEastAsia" w:hAnsi="Arial" w:cs="Arial"/>
          <w:smallCaps/>
          <w:sz w:val="24"/>
          <w:szCs w:val="24"/>
          <w:lang w:eastAsia="ja-JP"/>
        </w:rPr>
        <w:t>OrthoFinder</w:t>
      </w:r>
      <w:r w:rsidRPr="00F36705">
        <w:rPr>
          <w:rFonts w:ascii="Arial" w:eastAsiaTheme="minorEastAsia" w:hAnsi="Arial" w:cs="Arial"/>
          <w:sz w:val="24"/>
          <w:szCs w:val="24"/>
          <w:lang w:eastAsia="ja-JP"/>
        </w:rPr>
        <w:t xml:space="preserve"> [https://github.com/davidemms/OrthoFinder] </w:t>
      </w:r>
      <w:r>
        <w:rPr>
          <w:rFonts w:ascii="Arial" w:eastAsiaTheme="minorEastAsia" w:hAnsi="Arial" w:cs="Arial"/>
          <w:noProof/>
          <w:sz w:val="24"/>
          <w:szCs w:val="24"/>
          <w:lang w:eastAsia="ja-JP"/>
        </w:rPr>
        <w:t>[29]</w:t>
      </w:r>
      <w:r w:rsidRPr="00F36705">
        <w:rPr>
          <w:rFonts w:ascii="Arial" w:eastAsiaTheme="minorEastAsia" w:hAnsi="Arial" w:cs="Arial"/>
          <w:sz w:val="24"/>
          <w:szCs w:val="24"/>
          <w:lang w:eastAsia="ja-JP"/>
        </w:rPr>
        <w:t xml:space="preserve">. Each OrthoGroup contains genes that are inferred to share a recent common ancestor prior to speciation. Genes not assigned to an OrthoGroup comprise species-specific genes as well as incorrect annotations. Primary transcripts of protein coding genes for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.thaliana</w:t>
      </w:r>
      <w:r w:rsidRPr="00F36705">
        <w:rPr>
          <w:rFonts w:ascii="Arial" w:eastAsiaTheme="minorEastAsia" w:hAnsi="Arial" w:cs="Arial"/>
          <w:sz w:val="24"/>
          <w:szCs w:val="24"/>
          <w:lang w:eastAsia="ja-JP"/>
        </w:rPr>
        <w:t xml:space="preserve"> (T</w:t>
      </w:r>
      <w:r>
        <w:rPr>
          <w:rFonts w:ascii="Arial" w:eastAsiaTheme="minorEastAsia" w:hAnsi="Arial" w:cs="Arial"/>
          <w:sz w:val="24"/>
          <w:szCs w:val="24"/>
          <w:lang w:eastAsia="ja-JP"/>
        </w:rPr>
        <w:t>AIR</w:t>
      </w:r>
      <w:r w:rsidRPr="00F36705">
        <w:rPr>
          <w:rFonts w:ascii="Arial" w:eastAsiaTheme="minorEastAsia" w:hAnsi="Arial" w:cs="Arial"/>
          <w:sz w:val="24"/>
          <w:szCs w:val="24"/>
          <w:lang w:eastAsia="ja-JP"/>
        </w:rPr>
        <w:t>10)</w:t>
      </w:r>
      <w:r>
        <w:rPr>
          <w:rFonts w:ascii="Arial" w:eastAsiaTheme="minorEastAsia" w:hAnsi="Arial" w:cs="Arial"/>
          <w:color w:val="000000"/>
          <w:sz w:val="24"/>
          <w:szCs w:val="24"/>
          <w:lang w:eastAsia="ja-JP"/>
        </w:rPr>
        <w:t xml:space="preserve"> (</w:t>
      </w:r>
      <w:r>
        <w:rPr>
          <w:rFonts w:ascii="Arial" w:eastAsiaTheme="minorEastAsia" w:hAnsi="Arial" w:cs="Arial"/>
          <w:sz w:val="24"/>
          <w:szCs w:val="24"/>
          <w:lang w:eastAsia="ja-JP"/>
        </w:rPr>
        <w:t xml:space="preserve">www.arabidopsis.org; </w:t>
      </w:r>
      <w:r w:rsidRPr="00F36705">
        <w:rPr>
          <w:rFonts w:ascii="Arial" w:eastAsiaTheme="minorEastAsia" w:hAnsi="Arial" w:cs="Arial"/>
          <w:sz w:val="24"/>
          <w:szCs w:val="24"/>
          <w:lang w:eastAsia="ja-JP"/>
        </w:rPr>
        <w:t xml:space="preserve">May 24, </w:t>
      </w:r>
      <w:r>
        <w:rPr>
          <w:rFonts w:ascii="Arial" w:eastAsiaTheme="minorEastAsia" w:hAnsi="Arial" w:cs="Arial"/>
          <w:sz w:val="24"/>
          <w:szCs w:val="24"/>
          <w:lang w:eastAsia="ja-JP"/>
        </w:rPr>
        <w:t>2017)</w:t>
      </w:r>
      <w:r w:rsidRPr="00F36705">
        <w:rPr>
          <w:rFonts w:ascii="Arial" w:eastAsiaTheme="minorEastAsia" w:hAnsi="Arial" w:cs="Arial"/>
          <w:sz w:val="24"/>
          <w:szCs w:val="24"/>
          <w:lang w:eastAsia="ja-JP"/>
        </w:rPr>
        <w:t xml:space="preserve"> and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lyrata</w:t>
      </w:r>
      <w:r w:rsidRPr="00F36705">
        <w:rPr>
          <w:rFonts w:ascii="Arial" w:eastAsiaTheme="minorEastAsia" w:hAnsi="Arial" w:cs="Arial"/>
          <w:sz w:val="24"/>
          <w:szCs w:val="24"/>
          <w:lang w:eastAsia="ja-JP"/>
        </w:rPr>
        <w:t xml:space="preserve"> </w:t>
      </w:r>
      <w:r>
        <w:rPr>
          <w:rFonts w:ascii="Arial" w:eastAsiaTheme="minorEastAsia" w:hAnsi="Arial" w:cs="Arial"/>
          <w:noProof/>
          <w:sz w:val="24"/>
          <w:szCs w:val="24"/>
          <w:lang w:eastAsia="ja-JP"/>
        </w:rPr>
        <w:t>[30]</w:t>
      </w:r>
      <w:r w:rsidRPr="00F36705">
        <w:rPr>
          <w:rFonts w:ascii="Arial" w:eastAsiaTheme="minorEastAsia" w:hAnsi="Arial" w:cs="Arial"/>
          <w:color w:val="000000"/>
          <w:sz w:val="24"/>
          <w:szCs w:val="24"/>
          <w:lang w:eastAsia="ja-JP"/>
        </w:rPr>
        <w:t xml:space="preserve"> </w:t>
      </w:r>
      <w:r w:rsidRPr="00F36705">
        <w:rPr>
          <w:rFonts w:ascii="Arial" w:eastAsiaTheme="minorEastAsia" w:hAnsi="Arial" w:cs="Arial"/>
          <w:sz w:val="24"/>
          <w:szCs w:val="24"/>
          <w:lang w:eastAsia="ja-JP"/>
        </w:rPr>
        <w:t xml:space="preserve">were downloaded from Phytozome </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https://phytozome.jgi.doe.gov/pz/portal.html</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 xml:space="preserve"> </w:t>
      </w:r>
      <w:r>
        <w:rPr>
          <w:rFonts w:ascii="Arial" w:eastAsiaTheme="minorEastAsia" w:hAnsi="Arial" w:cs="Arial"/>
          <w:sz w:val="24"/>
          <w:szCs w:val="24"/>
          <w:lang w:eastAsia="ja-JP"/>
        </w:rPr>
        <w:t>May, 2017;</w:t>
      </w:r>
      <w:r w:rsidRPr="00F36705">
        <w:rPr>
          <w:rFonts w:ascii="Arial" w:eastAsiaTheme="minorEastAsia" w:hAnsi="Arial" w:cs="Arial"/>
          <w:sz w:val="24"/>
          <w:szCs w:val="24"/>
          <w:lang w:eastAsia="ja-JP"/>
        </w:rPr>
        <w:t xml:space="preserve"> </w:t>
      </w:r>
      <w:r>
        <w:rPr>
          <w:rFonts w:ascii="Arial" w:eastAsiaTheme="minorEastAsia" w:hAnsi="Arial" w:cs="Arial"/>
          <w:noProof/>
          <w:sz w:val="24"/>
          <w:szCs w:val="24"/>
          <w:lang w:eastAsia="ja-JP"/>
        </w:rPr>
        <w:t>[31]</w:t>
      </w:r>
      <w:r>
        <w:rPr>
          <w:rFonts w:ascii="Arial" w:eastAsiaTheme="minorEastAsia" w:hAnsi="Arial" w:cs="Arial"/>
          <w:sz w:val="24"/>
          <w:szCs w:val="24"/>
          <w:lang w:eastAsia="ja-JP"/>
        </w:rPr>
        <w:t>)</w:t>
      </w:r>
      <w:r w:rsidRPr="00F36705">
        <w:rPr>
          <w:rFonts w:ascii="Arial" w:eastAsiaTheme="minorEastAsia" w:hAnsi="Arial" w:cs="Arial"/>
          <w:sz w:val="24"/>
          <w:szCs w:val="24"/>
          <w:lang w:eastAsia="ja-JP"/>
        </w:rPr>
        <w:t>.</w:t>
      </w:r>
    </w:p>
    <w:p w:rsidR="00260DEB" w:rsidRPr="00F36705" w:rsidRDefault="00260DEB" w:rsidP="00015ECF">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t xml:space="preserve">Genes lacking an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thaliana</w:t>
      </w:r>
      <w:r w:rsidRPr="00F36705">
        <w:rPr>
          <w:rFonts w:ascii="Arial" w:eastAsiaTheme="minorEastAsia" w:hAnsi="Arial" w:cs="Arial"/>
          <w:sz w:val="24"/>
          <w:szCs w:val="24"/>
          <w:lang w:eastAsia="ja-JP"/>
        </w:rPr>
        <w:t xml:space="preserve"> orthologue were submitted for a local blastx on the nr database </w:t>
      </w:r>
      <w:r>
        <w:rPr>
          <w:rFonts w:ascii="Arial" w:eastAsiaTheme="minorEastAsia" w:hAnsi="Arial" w:cs="Arial"/>
          <w:noProof/>
          <w:sz w:val="24"/>
          <w:szCs w:val="24"/>
          <w:lang w:eastAsia="ja-JP"/>
        </w:rPr>
        <w:t>[32]</w:t>
      </w:r>
      <w:r w:rsidRPr="00F36705">
        <w:rPr>
          <w:rFonts w:ascii="Arial" w:eastAsiaTheme="minorEastAsia" w:hAnsi="Arial" w:cs="Arial"/>
          <w:color w:val="000000"/>
          <w:sz w:val="24"/>
          <w:szCs w:val="24"/>
          <w:lang w:eastAsia="ja-JP"/>
        </w:rPr>
        <w:t xml:space="preserve">, </w:t>
      </w:r>
      <w:r w:rsidRPr="00F36705">
        <w:rPr>
          <w:rFonts w:ascii="Arial" w:eastAsiaTheme="minorEastAsia" w:hAnsi="Arial" w:cs="Arial"/>
          <w:sz w:val="24"/>
          <w:szCs w:val="24"/>
          <w:lang w:eastAsia="ja-JP"/>
        </w:rPr>
        <w:t>choosing the "7 qseqid sseqid pident length mismatch gapopen qstart qend sstart send evalue bitscore stitle" option for the output format with a maximum number of high scoring pairs (HSPs) of 1, a maximum number of aligned sequences of 1 and all “Arabidopsis“-containing entries in the species field excluded from the database with the negative_gilist option.</w:t>
      </w:r>
    </w:p>
    <w:p w:rsidR="00260DEB" w:rsidRPr="00F36705" w:rsidRDefault="00260DEB" w:rsidP="00015ECF">
      <w:pPr>
        <w:autoSpaceDE w:val="0"/>
        <w:autoSpaceDN w:val="0"/>
        <w:adjustRightInd w:val="0"/>
        <w:spacing w:after="120" w:line="288" w:lineRule="auto"/>
        <w:jc w:val="both"/>
        <w:rPr>
          <w:rFonts w:ascii="Arial" w:eastAsiaTheme="minorEastAsia" w:hAnsi="Arial" w:cs="Arial"/>
          <w:b/>
          <w:bCs/>
          <w:sz w:val="24"/>
          <w:szCs w:val="24"/>
          <w:lang w:eastAsia="ja-JP"/>
        </w:rPr>
      </w:pPr>
    </w:p>
    <w:p w:rsidR="00260DEB" w:rsidRPr="00F36705" w:rsidRDefault="00260DEB" w:rsidP="00015ECF">
      <w:pPr>
        <w:autoSpaceDE w:val="0"/>
        <w:autoSpaceDN w:val="0"/>
        <w:adjustRightInd w:val="0"/>
        <w:spacing w:after="120" w:line="288" w:lineRule="auto"/>
        <w:jc w:val="both"/>
        <w:rPr>
          <w:rFonts w:ascii="Arial" w:eastAsiaTheme="minorEastAsia" w:hAnsi="Arial" w:cs="Arial"/>
          <w:bCs/>
          <w:color w:val="000000"/>
          <w:sz w:val="24"/>
          <w:szCs w:val="24"/>
          <w:lang w:eastAsia="ja-JP"/>
        </w:rPr>
      </w:pPr>
      <w:r w:rsidRPr="00F36705">
        <w:rPr>
          <w:rFonts w:ascii="Arial" w:eastAsiaTheme="minorEastAsia" w:hAnsi="Arial" w:cs="Arial"/>
          <w:sz w:val="24"/>
          <w:szCs w:val="24"/>
          <w:lang w:eastAsia="ja-JP"/>
        </w:rPr>
        <w:t xml:space="preserve">All variants (SNPs and indels) were annotated and their effects predicted by </w:t>
      </w:r>
      <w:r w:rsidRPr="00CB1712">
        <w:rPr>
          <w:rFonts w:ascii="Arial" w:eastAsiaTheme="minorEastAsia" w:hAnsi="Arial" w:cs="Arial"/>
          <w:smallCaps/>
          <w:sz w:val="24"/>
          <w:szCs w:val="24"/>
          <w:lang w:eastAsia="ja-JP"/>
        </w:rPr>
        <w:t>SnpEff</w:t>
      </w:r>
      <w:r w:rsidRPr="00F36705">
        <w:rPr>
          <w:rFonts w:ascii="Arial" w:eastAsiaTheme="minorEastAsia" w:hAnsi="Arial" w:cs="Arial"/>
          <w:sz w:val="24"/>
          <w:szCs w:val="24"/>
          <w:lang w:eastAsia="ja-JP"/>
        </w:rPr>
        <w:t xml:space="preserve"> </w:t>
      </w:r>
      <w:r>
        <w:rPr>
          <w:rFonts w:ascii="Arial" w:eastAsiaTheme="minorEastAsia" w:hAnsi="Arial" w:cs="Arial"/>
          <w:noProof/>
          <w:sz w:val="24"/>
          <w:szCs w:val="24"/>
          <w:lang w:eastAsia="ja-JP"/>
        </w:rPr>
        <w:t>[33]</w:t>
      </w:r>
      <w:r w:rsidRPr="00F36705">
        <w:rPr>
          <w:rFonts w:ascii="Arial" w:eastAsiaTheme="minorEastAsia" w:hAnsi="Arial" w:cs="Arial"/>
          <w:sz w:val="24"/>
          <w:szCs w:val="24"/>
          <w:lang w:eastAsia="ja-JP"/>
        </w:rPr>
        <w:t xml:space="preserve"> based on the </w:t>
      </w:r>
      <w:r w:rsidRPr="00F36705">
        <w:rPr>
          <w:rFonts w:ascii="Arial" w:eastAsiaTheme="minorEastAsia" w:hAnsi="Arial" w:cs="Arial"/>
          <w:i/>
          <w:sz w:val="24"/>
          <w:szCs w:val="24"/>
          <w:lang w:eastAsia="ja-JP"/>
        </w:rPr>
        <w:t>Arabidopsis lyrata</w:t>
      </w:r>
      <w:r w:rsidRPr="00F36705">
        <w:rPr>
          <w:rFonts w:ascii="Arial" w:eastAsiaTheme="minorEastAsia" w:hAnsi="Arial" w:cs="Arial"/>
          <w:sz w:val="24"/>
          <w:szCs w:val="24"/>
          <w:lang w:eastAsia="ja-JP"/>
        </w:rPr>
        <w:t xml:space="preserve"> annotation version 2 </w:t>
      </w:r>
      <w:r>
        <w:rPr>
          <w:rFonts w:ascii="Arial" w:eastAsiaTheme="minorEastAsia" w:hAnsi="Arial" w:cs="Arial"/>
          <w:noProof/>
          <w:sz w:val="24"/>
          <w:szCs w:val="24"/>
          <w:lang w:eastAsia="ja-JP"/>
        </w:rPr>
        <w:t>[30]</w:t>
      </w:r>
      <w:r w:rsidRPr="00F36705">
        <w:rPr>
          <w:rFonts w:ascii="Arial" w:eastAsiaTheme="minorEastAsia" w:hAnsi="Arial" w:cs="Arial"/>
          <w:sz w:val="24"/>
          <w:szCs w:val="24"/>
          <w:lang w:eastAsia="ja-JP"/>
        </w:rPr>
        <w:t xml:space="preserve">. </w:t>
      </w:r>
      <w:r w:rsidRPr="00F36705">
        <w:rPr>
          <w:rFonts w:ascii="Arial" w:eastAsiaTheme="minorEastAsia" w:hAnsi="Arial" w:cs="Arial"/>
          <w:bCs/>
          <w:sz w:val="24"/>
          <w:szCs w:val="24"/>
          <w:lang w:eastAsia="ja-JP"/>
        </w:rPr>
        <w:t>Genome scan metrics and allele frequency plots over candidate genomic regions were generated with custom R scripts for manual inspection of the selected candidates for each population pair. Metrics plots were rated from A (most promising) to C (likely false positive) based on the following criteria in the assessment of 25-SNP windows (for A): (i) The 0.1%ile of the respective pairwise metric(s) was reached within the candidate gene (or its promoter region); (ii) the 0.1%ile of the pairwise metric(s) did not extend over a larger region comprising two or more entire consecutive genes; (iii) at least one pairwise set of single-population metrics was consistent with positive selection in the metalliferous population. Allele frequency plots were assigned manually to classes A (most promising) to D (false positive), based on the following criteria (for A): (i) Several local SNPs exhibited an absolute allele frequency difference &gt;</w:t>
      </w:r>
      <w:r>
        <w:rPr>
          <w:rFonts w:ascii="Arial" w:eastAsiaTheme="minorEastAsia" w:hAnsi="Arial" w:cs="Arial"/>
          <w:bCs/>
          <w:sz w:val="24"/>
          <w:szCs w:val="24"/>
          <w:lang w:eastAsia="ja-JP"/>
        </w:rPr>
        <w:t> </w:t>
      </w:r>
      <w:r w:rsidRPr="00F36705">
        <w:rPr>
          <w:rFonts w:ascii="Arial" w:eastAsiaTheme="minorEastAsia" w:hAnsi="Arial" w:cs="Arial"/>
          <w:bCs/>
          <w:sz w:val="24"/>
          <w:szCs w:val="24"/>
          <w:lang w:eastAsia="ja-JP"/>
        </w:rPr>
        <w:t xml:space="preserve">~0.7; (ii) pronounced allele frequency differences did not extend over a larger region comprising two or more entire genes; (iii) high abundance of non-synonymous SNPs in the candidate gene. Genes in the bottom class for either one of these two assessments were eliminated from the group of candidate genes. In a further step, </w:t>
      </w:r>
      <w:r w:rsidRPr="00F36705">
        <w:rPr>
          <w:rFonts w:ascii="Arial" w:eastAsiaTheme="minorEastAsia" w:hAnsi="Arial" w:cs="Arial"/>
          <w:bCs/>
          <w:color w:val="000000"/>
          <w:sz w:val="24"/>
          <w:szCs w:val="24"/>
          <w:lang w:eastAsia="ja-JP"/>
        </w:rPr>
        <w:t xml:space="preserve">we maintained only those candidate genes for which (a) the </w:t>
      </w:r>
      <w:r w:rsidRPr="00F36705">
        <w:rPr>
          <w:rFonts w:ascii="Arial" w:eastAsia="Times New Roman" w:hAnsi="Arial" w:cs="Arial"/>
          <w:color w:val="000000"/>
          <w:sz w:val="24"/>
          <w:szCs w:val="24"/>
          <w:lang w:eastAsia="ja-JP"/>
        </w:rPr>
        <w:t xml:space="preserve">standardized Tajima’s D or Fay and Wu’s H value of the closest 25 SNP window was negative, or the </w:t>
      </w:r>
      <w:r w:rsidRPr="00CB1712">
        <w:rPr>
          <w:rFonts w:ascii="Arial" w:eastAsia="Times New Roman" w:hAnsi="Arial" w:cs="Arial"/>
          <w:smallCaps/>
          <w:color w:val="000000"/>
          <w:sz w:val="24"/>
          <w:szCs w:val="24"/>
          <w:lang w:eastAsia="ja-JP"/>
        </w:rPr>
        <w:t>SweeD</w:t>
      </w:r>
      <w:r w:rsidRPr="00F36705">
        <w:rPr>
          <w:rFonts w:ascii="Arial" w:eastAsia="Times New Roman" w:hAnsi="Arial" w:cs="Arial"/>
          <w:color w:val="000000"/>
          <w:sz w:val="24"/>
          <w:szCs w:val="24"/>
          <w:lang w:eastAsia="ja-JP"/>
        </w:rPr>
        <w:t xml:space="preserve"> Likelihood was positive in the metalliferous population, and (b) values were more extremely negative or positive, respectively, in the metalliferous </w:t>
      </w:r>
      <w:r w:rsidRPr="00F36705">
        <w:rPr>
          <w:rFonts w:ascii="Arial" w:eastAsia="Times New Roman" w:hAnsi="Arial" w:cs="Arial"/>
          <w:color w:val="000000"/>
          <w:sz w:val="24"/>
          <w:szCs w:val="24"/>
          <w:lang w:eastAsia="ja-JP"/>
        </w:rPr>
        <w:lastRenderedPageBreak/>
        <w:t xml:space="preserve">population for at least one of these three metrics. Metrics and allele frequency plot ratings and single population metrics values </w:t>
      </w:r>
      <w:r w:rsidRPr="00F57D57">
        <w:rPr>
          <w:rFonts w:ascii="Arial" w:eastAsia="Times New Roman" w:hAnsi="Arial" w:cs="Arial"/>
          <w:color w:val="000000"/>
          <w:sz w:val="24"/>
          <w:szCs w:val="24"/>
          <w:lang w:eastAsia="ja-JP"/>
        </w:rPr>
        <w:t xml:space="preserve">are documented in </w:t>
      </w:r>
      <w:r w:rsidRPr="00632BAF">
        <w:rPr>
          <w:rFonts w:ascii="Arial" w:eastAsia="Times New Roman" w:hAnsi="Arial" w:cs="Arial"/>
          <w:color w:val="000000"/>
          <w:sz w:val="24"/>
          <w:szCs w:val="24"/>
          <w:lang w:eastAsia="ja-JP"/>
        </w:rPr>
        <w:t>supplemental datasets S2, S3, S4, and S5.</w:t>
      </w:r>
    </w:p>
    <w:p w:rsidR="00260DEB" w:rsidRPr="00F36705" w:rsidRDefault="00260DEB" w:rsidP="00015ECF">
      <w:pPr>
        <w:autoSpaceDE w:val="0"/>
        <w:autoSpaceDN w:val="0"/>
        <w:adjustRightInd w:val="0"/>
        <w:spacing w:after="120" w:line="288" w:lineRule="auto"/>
        <w:jc w:val="both"/>
        <w:rPr>
          <w:rFonts w:ascii="Arial" w:eastAsiaTheme="minorEastAsia" w:hAnsi="Arial" w:cs="Arial"/>
          <w:b/>
          <w:sz w:val="24"/>
          <w:szCs w:val="24"/>
          <w:lang w:eastAsia="ja-JP"/>
        </w:rPr>
      </w:pPr>
    </w:p>
    <w:p w:rsidR="00260DEB" w:rsidRPr="00F36705" w:rsidRDefault="00260DEB" w:rsidP="00015ECF">
      <w:pPr>
        <w:autoSpaceDE w:val="0"/>
        <w:autoSpaceDN w:val="0"/>
        <w:adjustRightInd w:val="0"/>
        <w:spacing w:after="120" w:line="288" w:lineRule="auto"/>
        <w:jc w:val="both"/>
        <w:rPr>
          <w:rFonts w:ascii="Arial" w:eastAsiaTheme="minorEastAsia" w:hAnsi="Arial" w:cs="Arial"/>
          <w:sz w:val="24"/>
          <w:szCs w:val="24"/>
          <w:lang w:eastAsia="ja-JP"/>
        </w:rPr>
      </w:pPr>
      <w:r w:rsidRPr="00F36705">
        <w:rPr>
          <w:rFonts w:ascii="Arial" w:eastAsiaTheme="minorEastAsia" w:hAnsi="Arial" w:cs="Arial"/>
          <w:sz w:val="24"/>
          <w:szCs w:val="24"/>
          <w:lang w:eastAsia="ja-JP"/>
        </w:rPr>
        <w:t xml:space="preserve">In addition to the evaluation of candidate genes from genome scans, the genome-wide output of </w:t>
      </w:r>
      <w:r w:rsidRPr="00401D82">
        <w:rPr>
          <w:rFonts w:ascii="Arial" w:eastAsiaTheme="minorEastAsia" w:hAnsi="Arial" w:cs="Arial"/>
          <w:smallCaps/>
          <w:sz w:val="24"/>
          <w:szCs w:val="24"/>
          <w:lang w:eastAsia="ja-JP"/>
        </w:rPr>
        <w:t>SnpEff</w:t>
      </w:r>
      <w:r w:rsidRPr="00F36705">
        <w:rPr>
          <w:rFonts w:ascii="Arial" w:eastAsiaTheme="minorEastAsia" w:hAnsi="Arial" w:cs="Arial"/>
          <w:sz w:val="24"/>
          <w:szCs w:val="24"/>
          <w:lang w:eastAsia="ja-JP"/>
        </w:rPr>
        <w:t xml:space="preserve"> (see above) was used to identify large-effect variants. We chose SNPs called by both HaplotypeCaller and UnifiedGenotyper and predicted by </w:t>
      </w:r>
      <w:r w:rsidRPr="00401D82">
        <w:rPr>
          <w:rFonts w:ascii="Arial" w:eastAsiaTheme="minorEastAsia" w:hAnsi="Arial" w:cs="Arial"/>
          <w:smallCaps/>
          <w:sz w:val="24"/>
          <w:szCs w:val="24"/>
          <w:lang w:eastAsia="ja-JP"/>
        </w:rPr>
        <w:t>SnpEff</w:t>
      </w:r>
      <w:r w:rsidRPr="00F36705">
        <w:rPr>
          <w:rFonts w:ascii="Arial" w:eastAsiaTheme="minorEastAsia" w:hAnsi="Arial" w:cs="Arial"/>
          <w:sz w:val="24"/>
          <w:szCs w:val="24"/>
          <w:lang w:eastAsia="ja-JP"/>
        </w:rPr>
        <w:t xml:space="preserve"> to have a “high impact”, i.e., generate a frameshift or a stop codon. Furthermore, we chose indels called by both the HaplotypeCaller and GROM, with the predicted indel positions differing by at most the length of the indel and predicted by </w:t>
      </w:r>
      <w:r w:rsidRPr="00401D82">
        <w:rPr>
          <w:rFonts w:ascii="Arial" w:eastAsiaTheme="minorEastAsia" w:hAnsi="Arial" w:cs="Arial"/>
          <w:smallCaps/>
          <w:sz w:val="24"/>
          <w:szCs w:val="24"/>
          <w:lang w:eastAsia="ja-JP"/>
        </w:rPr>
        <w:t>SnpEff</w:t>
      </w:r>
      <w:r w:rsidRPr="00F36705">
        <w:rPr>
          <w:rFonts w:ascii="Arial" w:eastAsiaTheme="minorEastAsia" w:hAnsi="Arial" w:cs="Arial"/>
          <w:sz w:val="24"/>
          <w:szCs w:val="24"/>
          <w:lang w:eastAsia="ja-JP"/>
        </w:rPr>
        <w:t xml:space="preserve"> to have a “high impact”. Based on the identified variants, we considered as candidates genes for containing selected large-effect variants those genes for which SNPs and indels exhibited a minimum allele frequency difference of 0.4 and an allele frequency of ≥</w:t>
      </w:r>
      <w:r>
        <w:rPr>
          <w:rFonts w:ascii="Arial" w:eastAsiaTheme="minorEastAsia" w:hAnsi="Arial" w:cs="Arial"/>
          <w:sz w:val="24"/>
          <w:szCs w:val="24"/>
          <w:lang w:eastAsia="ja-JP"/>
        </w:rPr>
        <w:t xml:space="preserve"> </w:t>
      </w:r>
      <w:r w:rsidRPr="00F36705">
        <w:rPr>
          <w:rFonts w:ascii="Arial" w:eastAsiaTheme="minorEastAsia" w:hAnsi="Arial" w:cs="Arial"/>
          <w:sz w:val="24"/>
          <w:szCs w:val="24"/>
          <w:lang w:eastAsia="ja-JP"/>
        </w:rPr>
        <w:t>0.9 or ≤</w:t>
      </w:r>
      <w:r>
        <w:rPr>
          <w:rFonts w:ascii="Arial" w:eastAsiaTheme="minorEastAsia" w:hAnsi="Arial" w:cs="Arial"/>
          <w:sz w:val="24"/>
          <w:szCs w:val="24"/>
          <w:lang w:eastAsia="ja-JP"/>
        </w:rPr>
        <w:t> </w:t>
      </w:r>
      <w:r w:rsidRPr="00F36705">
        <w:rPr>
          <w:rFonts w:ascii="Arial" w:eastAsiaTheme="minorEastAsia" w:hAnsi="Arial" w:cs="Arial"/>
          <w:sz w:val="24"/>
          <w:szCs w:val="24"/>
          <w:lang w:eastAsia="ja-JP"/>
        </w:rPr>
        <w:t>0.1 in the population at the metalliferous site. Genes with different high effect mutations and allele frequencies of one higher in the one population of a pair and of another higher in another population were excluded.</w:t>
      </w:r>
    </w:p>
    <w:p w:rsidR="00260DEB" w:rsidRPr="00F36705" w:rsidRDefault="00260DEB" w:rsidP="00015ECF">
      <w:pPr>
        <w:autoSpaceDE w:val="0"/>
        <w:autoSpaceDN w:val="0"/>
        <w:adjustRightInd w:val="0"/>
        <w:spacing w:after="120" w:line="288" w:lineRule="auto"/>
        <w:jc w:val="both"/>
        <w:rPr>
          <w:rFonts w:ascii="Arial" w:eastAsiaTheme="minorEastAsia" w:hAnsi="Arial" w:cs="Arial"/>
          <w:bCs/>
          <w:sz w:val="24"/>
          <w:szCs w:val="24"/>
          <w:lang w:eastAsia="ja-JP"/>
        </w:rPr>
      </w:pPr>
      <w:r w:rsidRPr="00F36705">
        <w:rPr>
          <w:rFonts w:ascii="Arial" w:eastAsiaTheme="minorEastAsia" w:hAnsi="Arial" w:cs="Arial"/>
          <w:sz w:val="24"/>
          <w:szCs w:val="24"/>
          <w:lang w:eastAsia="ja-JP"/>
        </w:rPr>
        <w:t xml:space="preserve">To verify that the identified candidates genes were neither duplicated nor sequenced at insufficient depth, coverage was calculated from the realigned bam files with </w:t>
      </w:r>
      <w:r w:rsidRPr="00ED3978">
        <w:rPr>
          <w:rFonts w:ascii="Arial" w:eastAsiaTheme="minorEastAsia" w:hAnsi="Arial" w:cs="Arial"/>
          <w:smallCaps/>
          <w:sz w:val="24"/>
          <w:szCs w:val="24"/>
          <w:lang w:eastAsia="ja-JP"/>
        </w:rPr>
        <w:t>bedtools’</w:t>
      </w:r>
      <w:r w:rsidRPr="00F36705">
        <w:rPr>
          <w:rFonts w:ascii="Arial" w:eastAsiaTheme="minorEastAsia" w:hAnsi="Arial" w:cs="Arial"/>
          <w:sz w:val="24"/>
          <w:szCs w:val="24"/>
          <w:lang w:eastAsia="ja-JP"/>
        </w:rPr>
        <w:t xml:space="preserve"> coverage function </w:t>
      </w:r>
      <w:r>
        <w:rPr>
          <w:rFonts w:ascii="Arial" w:eastAsiaTheme="minorEastAsia" w:hAnsi="Arial" w:cs="Arial"/>
          <w:noProof/>
          <w:sz w:val="24"/>
          <w:szCs w:val="24"/>
          <w:lang w:eastAsia="ja-JP"/>
        </w:rPr>
        <w:t>[34]</w:t>
      </w:r>
      <w:r w:rsidRPr="00F36705">
        <w:rPr>
          <w:rFonts w:ascii="Arial" w:eastAsiaTheme="minorEastAsia" w:hAnsi="Arial" w:cs="Arial"/>
          <w:sz w:val="24"/>
          <w:szCs w:val="24"/>
          <w:lang w:eastAsia="ja-JP"/>
        </w:rPr>
        <w:t xml:space="preserve"> based on the </w:t>
      </w:r>
      <w:r w:rsidRPr="00F36705">
        <w:rPr>
          <w:rFonts w:ascii="Arial" w:eastAsiaTheme="minorEastAsia" w:hAnsi="Arial" w:cs="Arial"/>
          <w:i/>
          <w:sz w:val="24"/>
          <w:szCs w:val="24"/>
          <w:lang w:eastAsia="ja-JP"/>
        </w:rPr>
        <w:t>A.</w:t>
      </w:r>
      <w:r>
        <w:rPr>
          <w:rFonts w:ascii="Arial" w:eastAsiaTheme="minorEastAsia" w:hAnsi="Arial" w:cs="Arial"/>
          <w:i/>
          <w:sz w:val="24"/>
          <w:szCs w:val="24"/>
          <w:lang w:eastAsia="ja-JP"/>
        </w:rPr>
        <w:t> </w:t>
      </w:r>
      <w:r w:rsidRPr="00F36705">
        <w:rPr>
          <w:rFonts w:ascii="Arial" w:eastAsiaTheme="minorEastAsia" w:hAnsi="Arial" w:cs="Arial"/>
          <w:i/>
          <w:sz w:val="24"/>
          <w:szCs w:val="24"/>
          <w:lang w:eastAsia="ja-JP"/>
        </w:rPr>
        <w:t>lyrata</w:t>
      </w:r>
      <w:r w:rsidRPr="00F36705">
        <w:rPr>
          <w:rFonts w:ascii="Arial" w:eastAsiaTheme="minorEastAsia" w:hAnsi="Arial" w:cs="Arial"/>
          <w:sz w:val="24"/>
          <w:szCs w:val="24"/>
          <w:lang w:eastAsia="ja-JP"/>
        </w:rPr>
        <w:t xml:space="preserve"> reference genome, with a histogram output. The histogram output was then converted into a calculable input with custom R scripts</w:t>
      </w:r>
      <w:bookmarkStart w:id="0" w:name="_GoBack"/>
      <w:bookmarkEnd w:id="0"/>
      <w:r w:rsidRPr="00F36705">
        <w:rPr>
          <w:rFonts w:ascii="Arial" w:eastAsiaTheme="minorEastAsia" w:hAnsi="Arial" w:cs="Arial"/>
          <w:sz w:val="24"/>
          <w:szCs w:val="24"/>
          <w:lang w:eastAsia="ja-JP"/>
        </w:rPr>
        <w:t xml:space="preserve"> using the data.table package </w:t>
      </w:r>
      <w:r>
        <w:rPr>
          <w:rFonts w:ascii="Arial" w:eastAsiaTheme="minorEastAsia" w:hAnsi="Arial" w:cs="Arial"/>
          <w:noProof/>
          <w:sz w:val="24"/>
          <w:szCs w:val="24"/>
          <w:lang w:eastAsia="ja-JP"/>
        </w:rPr>
        <w:t>[35]</w:t>
      </w:r>
      <w:r w:rsidRPr="00F36705">
        <w:rPr>
          <w:rFonts w:ascii="Arial" w:eastAsiaTheme="minorEastAsia" w:hAnsi="Arial" w:cs="Arial"/>
          <w:sz w:val="24"/>
          <w:szCs w:val="24"/>
          <w:lang w:eastAsia="ja-JP"/>
        </w:rPr>
        <w:t xml:space="preserve">, and the mean and median calculated per gene or per exonic gene content. </w:t>
      </w:r>
      <w:r w:rsidRPr="00F36705">
        <w:rPr>
          <w:rFonts w:ascii="Arial" w:eastAsiaTheme="minorEastAsia" w:hAnsi="Arial" w:cs="Arial"/>
          <w:bCs/>
          <w:sz w:val="24"/>
          <w:szCs w:val="24"/>
          <w:lang w:eastAsia="ja-JP"/>
        </w:rPr>
        <w:t xml:space="preserve">In addition, to earmark genes with potential paralogues in the genome, the number of paralogous genes within the same orthogroup was extracted from the </w:t>
      </w:r>
      <w:r w:rsidRPr="00CB1712">
        <w:rPr>
          <w:rFonts w:ascii="Arial" w:eastAsiaTheme="minorEastAsia" w:hAnsi="Arial" w:cs="Arial"/>
          <w:bCs/>
          <w:smallCaps/>
          <w:sz w:val="24"/>
          <w:szCs w:val="24"/>
          <w:lang w:eastAsia="ja-JP"/>
        </w:rPr>
        <w:t>OrthoFinder</w:t>
      </w:r>
      <w:r w:rsidRPr="00F36705">
        <w:rPr>
          <w:rFonts w:ascii="Arial" w:eastAsiaTheme="minorEastAsia" w:hAnsi="Arial" w:cs="Arial"/>
          <w:bCs/>
          <w:sz w:val="24"/>
          <w:szCs w:val="24"/>
          <w:lang w:eastAsia="ja-JP"/>
        </w:rPr>
        <w:t xml:space="preserve"> results for </w:t>
      </w:r>
      <w:r w:rsidRPr="00F36705">
        <w:rPr>
          <w:rFonts w:ascii="Arial" w:eastAsiaTheme="minorEastAsia" w:hAnsi="Arial" w:cs="Arial"/>
          <w:bCs/>
          <w:i/>
          <w:sz w:val="24"/>
          <w:szCs w:val="24"/>
          <w:lang w:eastAsia="ja-JP"/>
        </w:rPr>
        <w:t>A.</w:t>
      </w:r>
      <w:r>
        <w:rPr>
          <w:rFonts w:ascii="Arial" w:eastAsiaTheme="minorEastAsia" w:hAnsi="Arial" w:cs="Arial"/>
          <w:bCs/>
          <w:i/>
          <w:sz w:val="24"/>
          <w:szCs w:val="24"/>
          <w:lang w:eastAsia="ja-JP"/>
        </w:rPr>
        <w:t> </w:t>
      </w:r>
      <w:r w:rsidRPr="00F36705">
        <w:rPr>
          <w:rFonts w:ascii="Arial" w:eastAsiaTheme="minorEastAsia" w:hAnsi="Arial" w:cs="Arial"/>
          <w:bCs/>
          <w:i/>
          <w:sz w:val="24"/>
          <w:szCs w:val="24"/>
          <w:lang w:eastAsia="ja-JP"/>
        </w:rPr>
        <w:t>halleri</w:t>
      </w:r>
      <w:r w:rsidRPr="00F36705">
        <w:rPr>
          <w:rFonts w:ascii="Arial" w:eastAsiaTheme="minorEastAsia" w:hAnsi="Arial" w:cs="Arial"/>
          <w:bCs/>
          <w:sz w:val="24"/>
          <w:szCs w:val="24"/>
          <w:lang w:eastAsia="ja-JP"/>
        </w:rPr>
        <w:t xml:space="preserve"> </w:t>
      </w:r>
      <w:r>
        <w:rPr>
          <w:rFonts w:ascii="Arial" w:eastAsiaTheme="minorEastAsia" w:hAnsi="Arial" w:cs="Arial"/>
          <w:bCs/>
          <w:noProof/>
          <w:sz w:val="24"/>
          <w:szCs w:val="24"/>
          <w:lang w:eastAsia="ja-JP"/>
        </w:rPr>
        <w:t>[36]</w:t>
      </w:r>
      <w:r w:rsidRPr="00F36705">
        <w:rPr>
          <w:rFonts w:ascii="Arial" w:eastAsiaTheme="minorEastAsia" w:hAnsi="Arial" w:cs="Arial"/>
          <w:bCs/>
          <w:sz w:val="24"/>
          <w:szCs w:val="24"/>
          <w:lang w:eastAsia="ja-JP"/>
        </w:rPr>
        <w:t xml:space="preserve">, </w:t>
      </w:r>
      <w:r w:rsidRPr="00CB1712">
        <w:rPr>
          <w:rFonts w:ascii="Arial" w:eastAsiaTheme="minorEastAsia" w:hAnsi="Arial" w:cs="Arial"/>
          <w:bCs/>
          <w:i/>
          <w:sz w:val="24"/>
          <w:szCs w:val="24"/>
          <w:lang w:eastAsia="ja-JP"/>
        </w:rPr>
        <w:t>A. </w:t>
      </w:r>
      <w:r w:rsidRPr="00F36705">
        <w:rPr>
          <w:rFonts w:ascii="Arial" w:eastAsiaTheme="minorEastAsia" w:hAnsi="Arial" w:cs="Arial"/>
          <w:bCs/>
          <w:i/>
          <w:sz w:val="24"/>
          <w:szCs w:val="24"/>
          <w:lang w:eastAsia="ja-JP"/>
        </w:rPr>
        <w:t>lyrata</w:t>
      </w:r>
      <w:r w:rsidRPr="00F36705">
        <w:rPr>
          <w:rFonts w:ascii="Arial" w:eastAsiaTheme="minorEastAsia" w:hAnsi="Arial" w:cs="Arial"/>
          <w:bCs/>
          <w:sz w:val="24"/>
          <w:szCs w:val="24"/>
          <w:lang w:eastAsia="ja-JP"/>
        </w:rPr>
        <w:t xml:space="preserve"> and </w:t>
      </w:r>
      <w:r w:rsidRPr="00CB1712">
        <w:rPr>
          <w:rFonts w:ascii="Arial" w:eastAsiaTheme="minorEastAsia" w:hAnsi="Arial" w:cs="Arial"/>
          <w:bCs/>
          <w:i/>
          <w:sz w:val="24"/>
          <w:szCs w:val="24"/>
          <w:lang w:eastAsia="ja-JP"/>
        </w:rPr>
        <w:t>A.</w:t>
      </w:r>
      <w:r>
        <w:rPr>
          <w:rFonts w:ascii="Arial" w:eastAsiaTheme="minorEastAsia" w:hAnsi="Arial" w:cs="Arial"/>
          <w:bCs/>
          <w:sz w:val="24"/>
          <w:szCs w:val="24"/>
          <w:lang w:eastAsia="ja-JP"/>
        </w:rPr>
        <w:t> </w:t>
      </w:r>
      <w:r w:rsidRPr="00F36705">
        <w:rPr>
          <w:rFonts w:ascii="Arial" w:eastAsiaTheme="minorEastAsia" w:hAnsi="Arial" w:cs="Arial"/>
          <w:bCs/>
          <w:i/>
          <w:sz w:val="24"/>
          <w:szCs w:val="24"/>
          <w:lang w:eastAsia="ja-JP"/>
        </w:rPr>
        <w:t>thaliana</w:t>
      </w:r>
      <w:r w:rsidRPr="00F36705">
        <w:rPr>
          <w:rFonts w:ascii="Arial" w:eastAsiaTheme="minorEastAsia" w:hAnsi="Arial" w:cs="Arial"/>
          <w:bCs/>
          <w:sz w:val="24"/>
          <w:szCs w:val="24"/>
          <w:lang w:eastAsia="ja-JP"/>
        </w:rPr>
        <w:t xml:space="preserve">, respectively, with the data.table package within custom R scripts. </w:t>
      </w:r>
    </w:p>
    <w:p w:rsidR="00260DEB" w:rsidRPr="00F36705" w:rsidRDefault="00260DEB" w:rsidP="00632BAF">
      <w:pPr>
        <w:autoSpaceDE w:val="0"/>
        <w:autoSpaceDN w:val="0"/>
        <w:adjustRightInd w:val="0"/>
        <w:spacing w:after="120" w:line="288" w:lineRule="auto"/>
        <w:jc w:val="both"/>
        <w:rPr>
          <w:rFonts w:ascii="Arial" w:eastAsiaTheme="minorEastAsia" w:hAnsi="Arial" w:cs="Arial"/>
          <w:bCs/>
          <w:sz w:val="24"/>
          <w:szCs w:val="24"/>
          <w:lang w:eastAsia="ja-JP"/>
        </w:rPr>
      </w:pPr>
      <w:r w:rsidRPr="00F36705">
        <w:rPr>
          <w:rFonts w:ascii="Arial" w:eastAsiaTheme="minorEastAsia" w:hAnsi="Arial" w:cs="Arial"/>
          <w:bCs/>
          <w:sz w:val="24"/>
          <w:szCs w:val="24"/>
          <w:lang w:eastAsia="ja-JP"/>
        </w:rPr>
        <w:t xml:space="preserve">To identify common candidate genes, the function “merge” was used with the parameter “by” set to the </w:t>
      </w:r>
      <w:r w:rsidRPr="00F36705">
        <w:rPr>
          <w:rFonts w:ascii="Arial" w:eastAsiaTheme="minorEastAsia" w:hAnsi="Arial" w:cs="Arial"/>
          <w:bCs/>
          <w:i/>
          <w:sz w:val="24"/>
          <w:szCs w:val="24"/>
          <w:lang w:eastAsia="ja-JP"/>
        </w:rPr>
        <w:t>Arabidopsis lyrata</w:t>
      </w:r>
      <w:r w:rsidRPr="00F36705">
        <w:rPr>
          <w:rFonts w:ascii="Arial" w:eastAsiaTheme="minorEastAsia" w:hAnsi="Arial" w:cs="Arial"/>
          <w:bCs/>
          <w:sz w:val="24"/>
          <w:szCs w:val="24"/>
          <w:lang w:eastAsia="ja-JP"/>
        </w:rPr>
        <w:t xml:space="preserve"> gene identifier to merge datasets for all combinations of population pairs. To visualize these, Venn diagrams of candidate genes were generated with </w:t>
      </w:r>
      <w:r w:rsidRPr="00CB1712">
        <w:rPr>
          <w:rFonts w:ascii="Arial" w:eastAsiaTheme="minorEastAsia" w:hAnsi="Arial" w:cs="Arial"/>
          <w:bCs/>
          <w:smallCaps/>
          <w:sz w:val="24"/>
          <w:szCs w:val="24"/>
          <w:lang w:eastAsia="ja-JP"/>
        </w:rPr>
        <w:t>Venny</w:t>
      </w:r>
      <w:r w:rsidRPr="00F36705">
        <w:rPr>
          <w:rFonts w:ascii="Arial" w:eastAsiaTheme="minorEastAsia" w:hAnsi="Arial" w:cs="Arial"/>
          <w:bCs/>
          <w:sz w:val="24"/>
          <w:szCs w:val="24"/>
          <w:lang w:eastAsia="ja-JP"/>
        </w:rPr>
        <w:t xml:space="preserve"> 2.1.0 </w:t>
      </w:r>
      <w:r>
        <w:rPr>
          <w:rFonts w:ascii="Arial" w:eastAsiaTheme="minorEastAsia" w:hAnsi="Arial" w:cs="Arial"/>
          <w:bCs/>
          <w:noProof/>
          <w:sz w:val="24"/>
          <w:szCs w:val="24"/>
          <w:lang w:eastAsia="ja-JP"/>
        </w:rPr>
        <w:t>[37]</w:t>
      </w:r>
      <w:r w:rsidRPr="00F36705">
        <w:rPr>
          <w:rFonts w:ascii="Arial" w:eastAsiaTheme="minorEastAsia" w:hAnsi="Arial" w:cs="Arial"/>
          <w:color w:val="000000"/>
          <w:sz w:val="24"/>
          <w:szCs w:val="24"/>
          <w:lang w:eastAsia="ja-JP"/>
        </w:rPr>
        <w:t xml:space="preserve"> </w:t>
      </w:r>
      <w:r w:rsidRPr="00F36705">
        <w:rPr>
          <w:rFonts w:ascii="Arial" w:eastAsiaTheme="minorEastAsia" w:hAnsi="Arial" w:cs="Arial"/>
          <w:bCs/>
          <w:sz w:val="24"/>
          <w:szCs w:val="24"/>
          <w:lang w:eastAsia="ja-JP"/>
        </w:rPr>
        <w:t xml:space="preserve">based on the </w:t>
      </w:r>
      <w:r w:rsidRPr="00F36705">
        <w:rPr>
          <w:rFonts w:ascii="Arial" w:eastAsiaTheme="minorEastAsia" w:hAnsi="Arial" w:cs="Arial"/>
          <w:bCs/>
          <w:i/>
          <w:sz w:val="24"/>
          <w:szCs w:val="24"/>
          <w:lang w:eastAsia="ja-JP"/>
        </w:rPr>
        <w:t>Arabidopsis lyrata</w:t>
      </w:r>
      <w:r w:rsidRPr="00F36705">
        <w:rPr>
          <w:rFonts w:ascii="Arial" w:eastAsiaTheme="minorEastAsia" w:hAnsi="Arial" w:cs="Arial"/>
          <w:bCs/>
          <w:sz w:val="24"/>
          <w:szCs w:val="24"/>
          <w:lang w:eastAsia="ja-JP"/>
        </w:rPr>
        <w:t xml:space="preserve"> gene identifiers. To compare observed and expected gene numbers, hypergeometric tests were performed using the phyper function with lower.tail = F and log.p = FALSE to calculate the probability of finding this many or more genes in the overlap. Inputs were (i) the number of genes in common between two population pairs reduced by one, (ii) the number of genes in the first population pair, (iii) the number of genes in the second population pair, and (iv) the difference between the total number of genes annotated in the </w:t>
      </w:r>
      <w:r w:rsidRPr="00F36705">
        <w:rPr>
          <w:rFonts w:ascii="Arial" w:eastAsiaTheme="minorEastAsia" w:hAnsi="Arial" w:cs="Arial"/>
          <w:bCs/>
          <w:i/>
          <w:sz w:val="24"/>
          <w:szCs w:val="24"/>
          <w:lang w:eastAsia="ja-JP"/>
        </w:rPr>
        <w:t>A.</w:t>
      </w:r>
      <w:r>
        <w:rPr>
          <w:rFonts w:ascii="Arial" w:eastAsiaTheme="minorEastAsia" w:hAnsi="Arial" w:cs="Arial"/>
          <w:bCs/>
          <w:i/>
          <w:sz w:val="24"/>
          <w:szCs w:val="24"/>
          <w:lang w:eastAsia="ja-JP"/>
        </w:rPr>
        <w:t> </w:t>
      </w:r>
      <w:r w:rsidRPr="00F36705">
        <w:rPr>
          <w:rFonts w:ascii="Arial" w:eastAsiaTheme="minorEastAsia" w:hAnsi="Arial" w:cs="Arial"/>
          <w:bCs/>
          <w:i/>
          <w:sz w:val="24"/>
          <w:szCs w:val="24"/>
          <w:lang w:eastAsia="ja-JP"/>
        </w:rPr>
        <w:t>lyrata</w:t>
      </w:r>
      <w:r w:rsidRPr="00F36705">
        <w:rPr>
          <w:rFonts w:ascii="Arial" w:eastAsiaTheme="minorEastAsia" w:hAnsi="Arial" w:cs="Arial"/>
          <w:bCs/>
          <w:sz w:val="24"/>
          <w:szCs w:val="24"/>
          <w:lang w:eastAsia="ja-JP"/>
        </w:rPr>
        <w:t xml:space="preserve"> genome (33,221) and the number of genes in the first population pair</w:t>
      </w:r>
      <w:r>
        <w:rPr>
          <w:rFonts w:ascii="Arial" w:eastAsiaTheme="minorEastAsia" w:hAnsi="Arial" w:cs="Arial"/>
          <w:bCs/>
          <w:sz w:val="24"/>
          <w:szCs w:val="24"/>
          <w:lang w:eastAsia="ja-JP"/>
        </w:rPr>
        <w:t xml:space="preserve"> (</w:t>
      </w:r>
      <w:r w:rsidRPr="00BE0590">
        <w:rPr>
          <w:rFonts w:ascii="Arial" w:eastAsiaTheme="minorEastAsia" w:hAnsi="Arial" w:cs="Arial"/>
          <w:bCs/>
          <w:sz w:val="24"/>
          <w:szCs w:val="24"/>
          <w:lang w:eastAsia="ja-JP"/>
        </w:rPr>
        <w:t>https://github.com/syllwlwz/Divergence-Scans/blob/master/Genome_scan</w:t>
      </w:r>
      <w:r w:rsidRPr="00BE0590">
        <w:rPr>
          <w:rFonts w:ascii="Arial" w:eastAsiaTheme="minorEastAsia" w:hAnsi="Arial" w:cs="Arial"/>
          <w:bCs/>
          <w:sz w:val="24"/>
          <w:szCs w:val="24"/>
          <w:lang w:eastAsia="ja-JP"/>
        </w:rPr>
        <w:br/>
        <w:t>_analysis/hypergeom_convergent_evol.R</w:t>
      </w:r>
      <w:r>
        <w:rPr>
          <w:rFonts w:ascii="Arial" w:eastAsiaTheme="minorEastAsia" w:hAnsi="Arial" w:cs="Arial"/>
          <w:bCs/>
          <w:sz w:val="24"/>
          <w:szCs w:val="24"/>
          <w:lang w:eastAsia="ja-JP"/>
        </w:rPr>
        <w:t>, supplemental table S5)</w:t>
      </w:r>
      <w:r w:rsidRPr="00F36705">
        <w:rPr>
          <w:rFonts w:ascii="Arial" w:eastAsiaTheme="minorEastAsia" w:hAnsi="Arial" w:cs="Arial"/>
          <w:bCs/>
          <w:sz w:val="24"/>
          <w:szCs w:val="24"/>
          <w:lang w:eastAsia="ja-JP"/>
        </w:rPr>
        <w:t xml:space="preserve">. To account for </w:t>
      </w:r>
      <w:r w:rsidRPr="00F36705">
        <w:rPr>
          <w:rFonts w:ascii="Arial" w:eastAsiaTheme="minorEastAsia" w:hAnsi="Arial" w:cs="Arial"/>
          <w:bCs/>
          <w:sz w:val="24"/>
          <w:szCs w:val="24"/>
          <w:lang w:eastAsia="ja-JP"/>
        </w:rPr>
        <w:lastRenderedPageBreak/>
        <w:t xml:space="preserve">possible species-specific genes or genes with missing data in one of the two compared population pairs, the test was repeated employing an approximated minimum total number of genes of 25,000, and all statistically significant observations were robust to this change (see Figure 3A). </w:t>
      </w:r>
    </w:p>
    <w:p w:rsidR="00260DEB" w:rsidRPr="00F36705" w:rsidRDefault="00260DEB" w:rsidP="00015ECF">
      <w:pPr>
        <w:autoSpaceDE w:val="0"/>
        <w:autoSpaceDN w:val="0"/>
        <w:adjustRightInd w:val="0"/>
        <w:spacing w:after="120" w:line="288" w:lineRule="auto"/>
        <w:jc w:val="both"/>
        <w:rPr>
          <w:rFonts w:ascii="Arial" w:eastAsiaTheme="minorEastAsia" w:hAnsi="Arial" w:cs="Arial"/>
          <w:b/>
          <w:bCs/>
          <w:color w:val="000000"/>
          <w:sz w:val="24"/>
          <w:szCs w:val="24"/>
          <w:lang w:eastAsia="ja-JP"/>
        </w:rPr>
      </w:pPr>
      <w:r w:rsidRPr="00F36705">
        <w:rPr>
          <w:rFonts w:ascii="Arial" w:eastAsiaTheme="minorEastAsia" w:hAnsi="Arial" w:cs="Arial"/>
          <w:bCs/>
          <w:color w:val="000000"/>
          <w:sz w:val="24"/>
          <w:szCs w:val="24"/>
          <w:lang w:eastAsia="ja-JP"/>
        </w:rPr>
        <w:t xml:space="preserve">A gene function enrichment test was performed for each population pair using the </w:t>
      </w:r>
      <w:r w:rsidRPr="00632BAF">
        <w:rPr>
          <w:rFonts w:ascii="Arial" w:eastAsiaTheme="minorEastAsia" w:hAnsi="Arial" w:cs="Arial"/>
          <w:bCs/>
          <w:smallCaps/>
          <w:color w:val="000000"/>
          <w:sz w:val="24"/>
          <w:szCs w:val="24"/>
          <w:lang w:eastAsia="ja-JP"/>
        </w:rPr>
        <w:t>ClueGO</w:t>
      </w:r>
      <w:r w:rsidRPr="00F36705">
        <w:rPr>
          <w:rFonts w:ascii="Arial" w:eastAsiaTheme="minorEastAsia" w:hAnsi="Arial" w:cs="Arial"/>
          <w:bCs/>
          <w:color w:val="000000"/>
          <w:sz w:val="24"/>
          <w:szCs w:val="24"/>
          <w:lang w:eastAsia="ja-JP"/>
        </w:rPr>
        <w:t xml:space="preserve"> app version 2.5.2 </w:t>
      </w:r>
      <w:r>
        <w:rPr>
          <w:rFonts w:ascii="Arial" w:eastAsiaTheme="minorEastAsia" w:hAnsi="Arial" w:cs="Arial"/>
          <w:bCs/>
          <w:noProof/>
          <w:color w:val="000000"/>
          <w:sz w:val="24"/>
          <w:szCs w:val="24"/>
          <w:lang w:eastAsia="ja-JP"/>
        </w:rPr>
        <w:t>[38]</w:t>
      </w:r>
      <w:r w:rsidRPr="00F36705">
        <w:rPr>
          <w:rFonts w:ascii="Arial" w:eastAsiaTheme="minorEastAsia" w:hAnsi="Arial" w:cs="Arial"/>
          <w:bCs/>
          <w:color w:val="000000"/>
          <w:sz w:val="24"/>
          <w:szCs w:val="24"/>
          <w:lang w:eastAsia="ja-JP"/>
        </w:rPr>
        <w:t xml:space="preserve"> in </w:t>
      </w:r>
      <w:r w:rsidRPr="00632BAF">
        <w:rPr>
          <w:rFonts w:ascii="Arial" w:eastAsiaTheme="minorEastAsia" w:hAnsi="Arial" w:cs="Arial"/>
          <w:bCs/>
          <w:smallCaps/>
          <w:color w:val="000000"/>
          <w:sz w:val="24"/>
          <w:szCs w:val="24"/>
          <w:lang w:eastAsia="ja-JP"/>
        </w:rPr>
        <w:t>Cytoscape</w:t>
      </w:r>
      <w:r w:rsidRPr="00F36705">
        <w:rPr>
          <w:rFonts w:ascii="Arial" w:eastAsiaTheme="minorEastAsia" w:hAnsi="Arial" w:cs="Arial"/>
          <w:bCs/>
          <w:color w:val="000000"/>
          <w:sz w:val="24"/>
          <w:szCs w:val="24"/>
          <w:lang w:eastAsia="ja-JP"/>
        </w:rPr>
        <w:t xml:space="preserve"> version 3.6.1 </w:t>
      </w:r>
      <w:r>
        <w:rPr>
          <w:rFonts w:ascii="Arial" w:eastAsiaTheme="minorEastAsia" w:hAnsi="Arial" w:cs="Arial"/>
          <w:bCs/>
          <w:noProof/>
          <w:color w:val="000000"/>
          <w:sz w:val="24"/>
          <w:szCs w:val="24"/>
          <w:lang w:eastAsia="ja-JP"/>
        </w:rPr>
        <w:t>[39]</w:t>
      </w:r>
      <w:r w:rsidRPr="00F36705">
        <w:rPr>
          <w:rFonts w:ascii="Arial" w:eastAsiaTheme="minorEastAsia" w:hAnsi="Arial" w:cs="Arial"/>
          <w:bCs/>
          <w:color w:val="000000"/>
          <w:sz w:val="24"/>
          <w:szCs w:val="24"/>
          <w:lang w:eastAsia="ja-JP"/>
        </w:rPr>
        <w:t xml:space="preserve"> using the </w:t>
      </w:r>
      <w:r w:rsidRPr="00F36705">
        <w:rPr>
          <w:rFonts w:ascii="Arial" w:eastAsiaTheme="minorEastAsia" w:hAnsi="Arial" w:cs="Arial"/>
          <w:bCs/>
          <w:i/>
          <w:color w:val="000000"/>
          <w:sz w:val="24"/>
          <w:szCs w:val="24"/>
          <w:lang w:eastAsia="ja-JP"/>
        </w:rPr>
        <w:t>A.</w:t>
      </w:r>
      <w:r>
        <w:rPr>
          <w:rFonts w:ascii="Arial" w:eastAsiaTheme="minorEastAsia" w:hAnsi="Arial" w:cs="Arial"/>
          <w:bCs/>
          <w:i/>
          <w:color w:val="000000"/>
          <w:sz w:val="24"/>
          <w:szCs w:val="24"/>
          <w:lang w:eastAsia="ja-JP"/>
        </w:rPr>
        <w:t> </w:t>
      </w:r>
      <w:r w:rsidRPr="00F36705">
        <w:rPr>
          <w:rFonts w:ascii="Arial" w:eastAsiaTheme="minorEastAsia" w:hAnsi="Arial" w:cs="Arial"/>
          <w:bCs/>
          <w:i/>
          <w:color w:val="000000"/>
          <w:sz w:val="24"/>
          <w:szCs w:val="24"/>
          <w:lang w:eastAsia="ja-JP"/>
        </w:rPr>
        <w:t>thaliana</w:t>
      </w:r>
      <w:r w:rsidRPr="00F36705">
        <w:rPr>
          <w:rFonts w:ascii="Arial" w:eastAsiaTheme="minorEastAsia" w:hAnsi="Arial" w:cs="Arial"/>
          <w:bCs/>
          <w:color w:val="000000"/>
          <w:sz w:val="24"/>
          <w:szCs w:val="24"/>
          <w:lang w:eastAsia="ja-JP"/>
        </w:rPr>
        <w:t xml:space="preserve"> gene identifiers and </w:t>
      </w:r>
      <w:r>
        <w:rPr>
          <w:rFonts w:ascii="Arial" w:eastAsiaTheme="minorEastAsia" w:hAnsi="Arial" w:cs="Arial"/>
          <w:bCs/>
          <w:color w:val="000000"/>
          <w:sz w:val="24"/>
          <w:szCs w:val="24"/>
          <w:lang w:eastAsia="ja-JP"/>
        </w:rPr>
        <w:t>gene ontology (</w:t>
      </w:r>
      <w:r w:rsidRPr="00F36705">
        <w:rPr>
          <w:rFonts w:ascii="Arial" w:eastAsiaTheme="minorEastAsia" w:hAnsi="Arial" w:cs="Arial"/>
          <w:bCs/>
          <w:color w:val="000000"/>
          <w:sz w:val="24"/>
          <w:szCs w:val="24"/>
          <w:lang w:eastAsia="ja-JP"/>
        </w:rPr>
        <w:t>GO</w:t>
      </w:r>
      <w:r>
        <w:rPr>
          <w:rFonts w:ascii="Arial" w:eastAsiaTheme="minorEastAsia" w:hAnsi="Arial" w:cs="Arial"/>
          <w:bCs/>
          <w:color w:val="000000"/>
          <w:sz w:val="24"/>
          <w:szCs w:val="24"/>
          <w:lang w:eastAsia="ja-JP"/>
        </w:rPr>
        <w:t>)</w:t>
      </w:r>
      <w:r w:rsidRPr="00F36705">
        <w:rPr>
          <w:rFonts w:ascii="Arial" w:eastAsiaTheme="minorEastAsia" w:hAnsi="Arial" w:cs="Arial"/>
          <w:bCs/>
          <w:color w:val="000000"/>
          <w:sz w:val="24"/>
          <w:szCs w:val="24"/>
          <w:lang w:eastAsia="ja-JP"/>
        </w:rPr>
        <w:t xml:space="preserve"> BiologicalProcess 21.11.2017 including 22,365 available unique genes and 5,480 terms. GO Term Fusion was enabled to fuse GO parent-child terms based on similar associated genes and only pathways with a p-value below or equal to 0.05 were kept. The network specificity was kept at the default medium. The enrichment test was computed for all candidates without </w:t>
      </w:r>
      <w:r>
        <w:rPr>
          <w:rFonts w:ascii="Arial" w:eastAsiaTheme="minorEastAsia" w:hAnsi="Arial" w:cs="Arial"/>
          <w:bCs/>
          <w:color w:val="000000"/>
          <w:sz w:val="24"/>
          <w:szCs w:val="24"/>
          <w:lang w:eastAsia="ja-JP"/>
        </w:rPr>
        <w:t>the</w:t>
      </w:r>
      <w:r w:rsidRPr="00F36705">
        <w:rPr>
          <w:rFonts w:ascii="Arial" w:eastAsiaTheme="minorEastAsia" w:hAnsi="Arial" w:cs="Arial"/>
          <w:bCs/>
          <w:color w:val="000000"/>
          <w:sz w:val="24"/>
          <w:szCs w:val="24"/>
          <w:lang w:eastAsia="ja-JP"/>
        </w:rPr>
        <w:t xml:space="preserve"> additional candidate genes containing large-effect indels and SNPs.</w:t>
      </w:r>
    </w:p>
    <w:p w:rsidR="00260DEB" w:rsidRPr="00AA705E" w:rsidRDefault="00260DEB" w:rsidP="000862A4">
      <w:pPr>
        <w:pStyle w:val="indentbody"/>
        <w:spacing w:before="0"/>
        <w:ind w:firstLine="0"/>
        <w:jc w:val="both"/>
        <w:rPr>
          <w:rFonts w:ascii="Arial" w:hAnsi="Arial" w:cs="Arial"/>
          <w:color w:val="339966"/>
          <w:lang w:val="en-GB"/>
        </w:rPr>
      </w:pPr>
    </w:p>
    <w:p w:rsidR="00260DEB" w:rsidRPr="00AA705E" w:rsidRDefault="00260DEB" w:rsidP="000862A4">
      <w:pPr>
        <w:pStyle w:val="indentbody"/>
        <w:spacing w:before="0"/>
        <w:ind w:firstLine="0"/>
        <w:rPr>
          <w:rFonts w:ascii="Arial" w:hAnsi="Arial" w:cs="Arial"/>
          <w:lang w:val="en-GB"/>
        </w:rPr>
      </w:pPr>
      <w:r w:rsidRPr="00AA705E">
        <w:rPr>
          <w:rFonts w:ascii="Arial" w:eastAsia="Helvetica" w:hAnsi="Arial" w:cs="Arial"/>
          <w:color w:val="339966"/>
          <w:lang w:val="en-GB"/>
        </w:rPr>
        <w:t xml:space="preserve">(i) Identifying divergence signatures, EAA, and compilation of candidate gene lists </w:t>
      </w:r>
    </w:p>
    <w:p w:rsidR="00260DEB" w:rsidRDefault="00260DEB" w:rsidP="00015ECF">
      <w:pPr>
        <w:pStyle w:val="indentbody"/>
        <w:spacing w:before="0"/>
        <w:ind w:firstLine="0"/>
        <w:jc w:val="both"/>
        <w:rPr>
          <w:rFonts w:ascii="Arial" w:hAnsi="Arial" w:cs="Arial"/>
          <w:lang w:val="en-GB"/>
        </w:rPr>
      </w:pPr>
      <w:r>
        <w:rPr>
          <w:rFonts w:ascii="Arial" w:hAnsi="Arial" w:cs="Arial"/>
          <w:lang w:val="en-GB"/>
        </w:rPr>
        <w:t xml:space="preserve">We restricted the length of the SNP-based windows for population genetic metrics calculations to be shorter </w:t>
      </w:r>
      <w:r w:rsidRPr="000816E0">
        <w:rPr>
          <w:rFonts w:ascii="Arial" w:hAnsi="Arial" w:cs="Arial"/>
          <w:lang w:val="en-GB"/>
        </w:rPr>
        <w:t xml:space="preserve">than the longest gene in the </w:t>
      </w:r>
      <w:r w:rsidRPr="000816E0">
        <w:rPr>
          <w:rFonts w:ascii="Arial" w:hAnsi="Arial" w:cs="Arial"/>
          <w:i/>
          <w:iCs/>
          <w:lang w:val="en-GB"/>
        </w:rPr>
        <w:t>A. lyrat</w:t>
      </w:r>
      <w:r w:rsidRPr="00BE0590">
        <w:rPr>
          <w:rFonts w:ascii="Arial" w:hAnsi="Arial" w:cs="Arial"/>
          <w:i/>
          <w:iCs/>
          <w:lang w:val="en-GB"/>
        </w:rPr>
        <w:t>a</w:t>
      </w:r>
      <w:r w:rsidRPr="00BE0590">
        <w:rPr>
          <w:rFonts w:ascii="Arial" w:hAnsi="Arial" w:cs="Arial"/>
          <w:lang w:val="en-GB"/>
        </w:rPr>
        <w:t xml:space="preserve"> annotation </w:t>
      </w:r>
      <w:r>
        <w:rPr>
          <w:rFonts w:ascii="Arial" w:hAnsi="Arial" w:cs="Arial"/>
          <w:noProof/>
          <w:lang w:val="en-GB"/>
        </w:rPr>
        <w:t>[30]</w:t>
      </w:r>
      <w:r>
        <w:rPr>
          <w:rFonts w:ascii="Arial" w:hAnsi="Arial" w:cs="Arial"/>
          <w:lang w:val="en-GB"/>
        </w:rPr>
        <w:t xml:space="preserve">. We did this to </w:t>
      </w:r>
      <w:r w:rsidRPr="000816E0">
        <w:rPr>
          <w:rFonts w:ascii="Arial" w:hAnsi="Arial" w:cs="Arial"/>
          <w:lang w:val="en-GB"/>
        </w:rPr>
        <w:t>avoid poorly annotated regions and regions largely deprived of SNPs, such as the centromeric region</w:t>
      </w:r>
      <w:r>
        <w:rPr>
          <w:rFonts w:ascii="Arial" w:hAnsi="Arial" w:cs="Arial"/>
          <w:lang w:val="en-GB"/>
        </w:rPr>
        <w:t>.</w:t>
      </w:r>
    </w:p>
    <w:p w:rsidR="00260DEB" w:rsidRPr="000816E0" w:rsidRDefault="00260DEB" w:rsidP="00015ECF">
      <w:pPr>
        <w:pStyle w:val="indentbody"/>
        <w:spacing w:before="0"/>
        <w:ind w:firstLine="0"/>
        <w:jc w:val="both"/>
        <w:rPr>
          <w:rFonts w:ascii="Arial" w:hAnsi="Arial" w:cs="Arial"/>
          <w:lang w:val="en-GB"/>
        </w:rPr>
      </w:pPr>
      <w:r w:rsidRPr="000816E0">
        <w:rPr>
          <w:rFonts w:ascii="Arial" w:hAnsi="Arial" w:cs="Arial"/>
          <w:lang w:val="en-GB"/>
        </w:rPr>
        <w:t xml:space="preserve">To identify </w:t>
      </w:r>
      <w:r>
        <w:rPr>
          <w:rFonts w:ascii="Arial" w:hAnsi="Arial" w:cs="Arial"/>
          <w:lang w:val="en-GB"/>
        </w:rPr>
        <w:t xml:space="preserve">the most </w:t>
      </w:r>
      <w:r w:rsidRPr="000816E0">
        <w:rPr>
          <w:rFonts w:ascii="Arial" w:hAnsi="Arial" w:cs="Arial"/>
          <w:lang w:val="en-GB"/>
        </w:rPr>
        <w:t>diverge</w:t>
      </w:r>
      <w:r>
        <w:rPr>
          <w:rFonts w:ascii="Arial" w:hAnsi="Arial" w:cs="Arial"/>
          <w:lang w:val="en-GB"/>
        </w:rPr>
        <w:t>d</w:t>
      </w:r>
      <w:r w:rsidRPr="000816E0">
        <w:rPr>
          <w:rFonts w:ascii="Arial" w:hAnsi="Arial" w:cs="Arial"/>
          <w:lang w:val="en-GB"/>
        </w:rPr>
        <w:t xml:space="preserve"> windows, </w:t>
      </w:r>
      <w:r>
        <w:rPr>
          <w:rFonts w:ascii="Arial" w:hAnsi="Arial" w:cs="Arial"/>
          <w:lang w:val="en-GB"/>
        </w:rPr>
        <w:t xml:space="preserve">we wrote the </w:t>
      </w:r>
      <w:r w:rsidRPr="006912C6">
        <w:rPr>
          <w:rFonts w:ascii="Arial" w:hAnsi="Arial" w:cs="Arial"/>
          <w:smallCaps/>
          <w:lang w:val="en-GB"/>
        </w:rPr>
        <w:t>python</w:t>
      </w:r>
      <w:r>
        <w:rPr>
          <w:rFonts w:ascii="Arial" w:hAnsi="Arial" w:cs="Arial"/>
          <w:lang w:val="en-GB"/>
        </w:rPr>
        <w:t xml:space="preserve">3 pipeline </w:t>
      </w:r>
      <w:r w:rsidRPr="006912C6">
        <w:rPr>
          <w:rFonts w:ascii="Arial" w:hAnsi="Arial" w:cs="Arial"/>
          <w:smallCaps/>
          <w:lang w:val="en-GB"/>
        </w:rPr>
        <w:t>DivergenceScan</w:t>
      </w:r>
      <w:r>
        <w:rPr>
          <w:rFonts w:ascii="Arial" w:hAnsi="Arial" w:cs="Arial"/>
          <w:lang w:val="en-GB"/>
        </w:rPr>
        <w:t xml:space="preserve"> (</w:t>
      </w:r>
      <w:r w:rsidRPr="00BE0590">
        <w:rPr>
          <w:rFonts w:ascii="Arial" w:hAnsi="Arial" w:cs="Arial"/>
          <w:lang w:val="en-GB"/>
        </w:rPr>
        <w:t>https://github.com/SailerChristian/Divergence_Scan</w:t>
      </w:r>
      <w:r w:rsidRPr="000816E0">
        <w:rPr>
          <w:rFonts w:ascii="Arial" w:hAnsi="Arial" w:cs="Arial"/>
          <w:lang w:val="en-GB"/>
        </w:rPr>
        <w:t>)</w:t>
      </w:r>
      <w:r>
        <w:rPr>
          <w:rFonts w:ascii="Arial" w:hAnsi="Arial" w:cs="Arial"/>
          <w:lang w:val="en-GB"/>
        </w:rPr>
        <w:t xml:space="preserve">. In the </w:t>
      </w:r>
      <w:r w:rsidRPr="000F0CFD">
        <w:rPr>
          <w:rFonts w:ascii="Arial" w:hAnsi="Arial" w:cs="Arial"/>
          <w:smallCaps/>
          <w:lang w:val="en-GB"/>
        </w:rPr>
        <w:t>DivergenceScan</w:t>
      </w:r>
      <w:r>
        <w:rPr>
          <w:rFonts w:ascii="Arial" w:hAnsi="Arial" w:cs="Arial"/>
          <w:smallCaps/>
          <w:lang w:val="en-GB"/>
        </w:rPr>
        <w:t>,</w:t>
      </w:r>
      <w:r>
        <w:rPr>
          <w:rFonts w:ascii="Arial" w:hAnsi="Arial" w:cs="Arial"/>
          <w:lang w:val="en-GB"/>
        </w:rPr>
        <w:t xml:space="preserve"> w</w:t>
      </w:r>
      <w:r w:rsidRPr="000816E0">
        <w:rPr>
          <w:rFonts w:ascii="Arial" w:hAnsi="Arial" w:cs="Arial"/>
          <w:lang w:val="en-GB"/>
        </w:rPr>
        <w:t>e</w:t>
      </w:r>
      <w:r>
        <w:rPr>
          <w:rFonts w:ascii="Arial" w:hAnsi="Arial" w:cs="Arial"/>
          <w:lang w:val="en-GB"/>
        </w:rPr>
        <w:t xml:space="preserve"> first</w:t>
      </w:r>
      <w:r w:rsidRPr="000816E0">
        <w:rPr>
          <w:rFonts w:ascii="Arial" w:hAnsi="Arial" w:cs="Arial"/>
          <w:lang w:val="en-GB"/>
        </w:rPr>
        <w:t xml:space="preserve"> selected the windows </w:t>
      </w:r>
      <w:r>
        <w:rPr>
          <w:rFonts w:ascii="Arial" w:hAnsi="Arial" w:cs="Arial"/>
          <w:lang w:val="en-GB"/>
        </w:rPr>
        <w:t xml:space="preserve">that are ≥ 99.5%ile of </w:t>
      </w:r>
      <w:r w:rsidRPr="000816E0">
        <w:rPr>
          <w:rFonts w:ascii="Arial" w:hAnsi="Arial" w:cs="Arial"/>
          <w:lang w:val="en-GB"/>
        </w:rPr>
        <w:t xml:space="preserve">the empirical distributions for each metric. </w:t>
      </w:r>
      <w:r>
        <w:rPr>
          <w:rFonts w:ascii="Arial" w:hAnsi="Arial" w:cs="Arial"/>
          <w:lang w:val="en-GB"/>
        </w:rPr>
        <w:t>Second, t</w:t>
      </w:r>
      <w:r w:rsidRPr="000816E0">
        <w:rPr>
          <w:rFonts w:ascii="Arial" w:hAnsi="Arial" w:cs="Arial"/>
          <w:lang w:val="en-GB"/>
        </w:rPr>
        <w:t xml:space="preserve">o identify the genes the identified divergence windows are part of, we used </w:t>
      </w:r>
      <w:r w:rsidRPr="000816E0">
        <w:rPr>
          <w:rFonts w:ascii="Arial" w:hAnsi="Arial" w:cs="Arial"/>
          <w:smallCaps/>
          <w:lang w:val="en-GB"/>
        </w:rPr>
        <w:t>bedtools</w:t>
      </w:r>
      <w:r>
        <w:rPr>
          <w:rFonts w:ascii="Arial" w:hAnsi="Arial" w:cs="Arial"/>
          <w:lang w:val="en-GB"/>
        </w:rPr>
        <w:t>’ “intersect"</w:t>
      </w:r>
      <w:r w:rsidRPr="000816E0">
        <w:rPr>
          <w:rFonts w:ascii="Arial" w:hAnsi="Arial" w:cs="Arial"/>
          <w:lang w:val="en-GB"/>
        </w:rPr>
        <w:t xml:space="preserve"> </w:t>
      </w:r>
      <w:r>
        <w:rPr>
          <w:rFonts w:ascii="Arial" w:hAnsi="Arial" w:cs="Arial"/>
          <w:noProof/>
          <w:lang w:val="en-GB"/>
        </w:rPr>
        <w:t>[34, 40]</w:t>
      </w:r>
      <w:r w:rsidRPr="000816E0">
        <w:rPr>
          <w:rFonts w:ascii="Arial" w:hAnsi="Arial" w:cs="Arial"/>
          <w:lang w:val="en-GB"/>
        </w:rPr>
        <w:t xml:space="preserve">, specifying that the divergence window must overlap by at least 1 base </w:t>
      </w:r>
      <w:r>
        <w:rPr>
          <w:rFonts w:ascii="Arial" w:hAnsi="Arial" w:cs="Arial"/>
          <w:lang w:val="en-GB"/>
        </w:rPr>
        <w:t>with an</w:t>
      </w:r>
      <w:r w:rsidRPr="000816E0">
        <w:rPr>
          <w:rFonts w:ascii="Arial" w:hAnsi="Arial" w:cs="Arial"/>
          <w:lang w:val="en-GB"/>
        </w:rPr>
        <w:t xml:space="preserve"> annotated gene coding locus. Those genes are the </w:t>
      </w:r>
      <w:r w:rsidRPr="000F0CFD">
        <w:rPr>
          <w:rFonts w:ascii="Arial" w:hAnsi="Arial" w:cs="Arial"/>
          <w:smallCaps/>
          <w:lang w:val="en-GB"/>
        </w:rPr>
        <w:t>DivergenceScan</w:t>
      </w:r>
      <w:r>
        <w:rPr>
          <w:rFonts w:ascii="Arial" w:hAnsi="Arial" w:cs="Arial"/>
          <w:lang w:val="en-GB"/>
        </w:rPr>
        <w:t xml:space="preserve"> </w:t>
      </w:r>
      <w:r w:rsidRPr="000816E0">
        <w:rPr>
          <w:rFonts w:ascii="Arial" w:hAnsi="Arial" w:cs="Arial"/>
          <w:lang w:val="en-GB"/>
        </w:rPr>
        <w:t>candidate genes.</w:t>
      </w:r>
    </w:p>
    <w:p w:rsidR="00260DEB" w:rsidRPr="000816E0" w:rsidRDefault="00260DEB" w:rsidP="00015ECF">
      <w:pPr>
        <w:pStyle w:val="indentbody"/>
        <w:spacing w:before="0"/>
        <w:ind w:firstLine="0"/>
        <w:jc w:val="both"/>
        <w:rPr>
          <w:rFonts w:ascii="Arial" w:hAnsi="Arial" w:cs="Arial"/>
          <w:lang w:val="en-GB"/>
        </w:rPr>
      </w:pPr>
      <w:r w:rsidRPr="000816E0">
        <w:rPr>
          <w:rFonts w:ascii="Arial" w:hAnsi="Arial" w:cs="Arial"/>
          <w:lang w:val="en-GB"/>
        </w:rPr>
        <w:t xml:space="preserve">The </w:t>
      </w:r>
      <w:r w:rsidRPr="000F0CFD">
        <w:rPr>
          <w:rFonts w:ascii="Arial" w:hAnsi="Arial" w:cs="Arial"/>
          <w:smallCaps/>
          <w:lang w:val="en-GB"/>
        </w:rPr>
        <w:t>DivergenceScan</w:t>
      </w:r>
      <w:r>
        <w:rPr>
          <w:rFonts w:ascii="Arial" w:hAnsi="Arial" w:cs="Arial"/>
          <w:lang w:val="en-GB"/>
        </w:rPr>
        <w:t xml:space="preserve"> </w:t>
      </w:r>
      <w:r w:rsidRPr="000816E0">
        <w:rPr>
          <w:rFonts w:ascii="Arial" w:hAnsi="Arial" w:cs="Arial"/>
          <w:lang w:val="en-GB"/>
        </w:rPr>
        <w:t xml:space="preserve">candidate gene list is purely based on genomic data and therefore contains genetic differences that are due to causes other than only soil elemental driven selective pressure, such as genetic drift. </w:t>
      </w:r>
      <w:r>
        <w:rPr>
          <w:rFonts w:ascii="Arial" w:hAnsi="Arial" w:cs="Arial"/>
          <w:lang w:val="en-GB"/>
        </w:rPr>
        <w:t>Therefore</w:t>
      </w:r>
      <w:r w:rsidRPr="000816E0">
        <w:rPr>
          <w:rFonts w:ascii="Arial" w:hAnsi="Arial" w:cs="Arial"/>
          <w:lang w:val="en-GB"/>
        </w:rPr>
        <w:t xml:space="preserve">, we tested the divergence scan candidates for association to environmental variables using </w:t>
      </w:r>
      <w:r w:rsidRPr="000816E0">
        <w:rPr>
          <w:rFonts w:ascii="Arial" w:hAnsi="Arial" w:cs="Arial"/>
          <w:smallCaps/>
          <w:lang w:val="en-GB"/>
        </w:rPr>
        <w:t>Bayenv2</w:t>
      </w:r>
      <w:r w:rsidRPr="000816E0">
        <w:rPr>
          <w:rFonts w:ascii="Arial" w:hAnsi="Arial" w:cs="Arial"/>
          <w:lang w:val="en-GB"/>
        </w:rPr>
        <w:t xml:space="preserve"> </w:t>
      </w:r>
      <w:r>
        <w:rPr>
          <w:rFonts w:ascii="Arial" w:hAnsi="Arial" w:cs="Arial"/>
          <w:noProof/>
          <w:lang w:val="en-GB"/>
        </w:rPr>
        <w:t>[41]</w:t>
      </w:r>
      <w:r w:rsidRPr="000816E0">
        <w:rPr>
          <w:rFonts w:ascii="Arial" w:hAnsi="Arial" w:cs="Arial"/>
          <w:lang w:val="en-GB"/>
        </w:rPr>
        <w:t xml:space="preserve">, which allows for testing in a two-step process. After calculating the median per population of the soil </w:t>
      </w:r>
      <w:r>
        <w:rPr>
          <w:rFonts w:ascii="Arial" w:hAnsi="Arial" w:cs="Arial"/>
          <w:lang w:val="en-GB"/>
        </w:rPr>
        <w:t>trace metal element (</w:t>
      </w:r>
      <w:r w:rsidRPr="000816E0">
        <w:rPr>
          <w:rFonts w:ascii="Arial" w:hAnsi="Arial" w:cs="Arial"/>
          <w:lang w:val="en-GB"/>
        </w:rPr>
        <w:t>TME</w:t>
      </w:r>
      <w:r>
        <w:rPr>
          <w:rFonts w:ascii="Arial" w:hAnsi="Arial" w:cs="Arial"/>
          <w:lang w:val="en-GB"/>
        </w:rPr>
        <w:t>)</w:t>
      </w:r>
      <w:r w:rsidRPr="000816E0">
        <w:rPr>
          <w:rFonts w:ascii="Arial" w:hAnsi="Arial" w:cs="Arial"/>
          <w:lang w:val="en-GB"/>
        </w:rPr>
        <w:t xml:space="preserve"> concentrations we log transformed them and used the standardized values. The first step of </w:t>
      </w:r>
      <w:r w:rsidRPr="000816E0">
        <w:rPr>
          <w:rFonts w:ascii="Arial" w:hAnsi="Arial" w:cs="Arial"/>
          <w:smallCaps/>
          <w:lang w:val="en-GB"/>
        </w:rPr>
        <w:t>Bayenv2</w:t>
      </w:r>
      <w:r w:rsidRPr="000816E0">
        <w:rPr>
          <w:rFonts w:ascii="Arial" w:hAnsi="Arial" w:cs="Arial"/>
          <w:lang w:val="en-GB"/>
        </w:rPr>
        <w:t xml:space="preserve"> is to calculate the variance-covariance matrix that corrects for neutral population structure using presumably neutral four-fold degenerated sites. Second, we extracted the SNPs for all </w:t>
      </w:r>
      <w:r w:rsidRPr="000F0CFD">
        <w:rPr>
          <w:rFonts w:ascii="Arial" w:hAnsi="Arial" w:cs="Arial"/>
          <w:smallCaps/>
          <w:lang w:val="en-GB"/>
        </w:rPr>
        <w:t>DivergenceScan</w:t>
      </w:r>
      <w:r>
        <w:rPr>
          <w:rFonts w:ascii="Arial" w:hAnsi="Arial" w:cs="Arial"/>
          <w:lang w:val="en-GB"/>
        </w:rPr>
        <w:t xml:space="preserve"> </w:t>
      </w:r>
      <w:r w:rsidRPr="000816E0">
        <w:rPr>
          <w:rFonts w:ascii="Arial" w:hAnsi="Arial" w:cs="Arial"/>
          <w:lang w:val="en-GB"/>
        </w:rPr>
        <w:t xml:space="preserve">candidate genes and converted the file format to </w:t>
      </w:r>
      <w:r w:rsidRPr="000816E0">
        <w:rPr>
          <w:rFonts w:ascii="Arial" w:hAnsi="Arial" w:cs="Arial"/>
          <w:smallCaps/>
          <w:lang w:val="en-GB"/>
        </w:rPr>
        <w:t>Bayenv2</w:t>
      </w:r>
      <w:r w:rsidRPr="000816E0">
        <w:rPr>
          <w:rFonts w:ascii="Arial" w:hAnsi="Arial" w:cs="Arial"/>
          <w:lang w:val="en-GB"/>
        </w:rPr>
        <w:t xml:space="preserve"> input format using a custom </w:t>
      </w:r>
      <w:r w:rsidRPr="000816E0">
        <w:rPr>
          <w:rFonts w:ascii="Arial" w:hAnsi="Arial" w:cs="Arial"/>
          <w:smallCaps/>
          <w:lang w:val="en-GB"/>
        </w:rPr>
        <w:t>python3</w:t>
      </w:r>
      <w:r w:rsidRPr="000816E0">
        <w:rPr>
          <w:rFonts w:ascii="Arial" w:hAnsi="Arial" w:cs="Arial"/>
          <w:lang w:val="en-GB"/>
        </w:rPr>
        <w:t xml:space="preserve"> script. The second step of </w:t>
      </w:r>
      <w:r w:rsidRPr="000816E0">
        <w:rPr>
          <w:rFonts w:ascii="Arial" w:hAnsi="Arial" w:cs="Arial"/>
          <w:smallCaps/>
          <w:lang w:val="en-GB"/>
        </w:rPr>
        <w:t>Bayenv2</w:t>
      </w:r>
      <w:r w:rsidRPr="000816E0">
        <w:rPr>
          <w:rFonts w:ascii="Arial" w:hAnsi="Arial" w:cs="Arial"/>
          <w:lang w:val="en-GB"/>
        </w:rPr>
        <w:t xml:space="preserve"> is to calculate the Bayes </w:t>
      </w:r>
      <w:r w:rsidRPr="000816E0">
        <w:rPr>
          <w:rFonts w:ascii="Arial" w:hAnsi="Arial" w:cs="Arial"/>
          <w:lang w:val="en-GB"/>
        </w:rPr>
        <w:lastRenderedPageBreak/>
        <w:t>factor (BF), Spearman’s ρ and Pearson’s correlation coefficient r</w:t>
      </w:r>
      <w:r w:rsidRPr="000816E0">
        <w:rPr>
          <w:rFonts w:ascii="Arial" w:hAnsi="Arial" w:cs="Arial"/>
          <w:vertAlign w:val="subscript"/>
          <w:lang w:val="en-GB"/>
        </w:rPr>
        <w:t>s</w:t>
      </w:r>
      <w:r w:rsidRPr="000816E0">
        <w:rPr>
          <w:rFonts w:ascii="Arial" w:hAnsi="Arial" w:cs="Arial"/>
          <w:lang w:val="en-GB"/>
        </w:rPr>
        <w:t>, which is the actual EAA. We used 100 000 iterations.</w:t>
      </w:r>
    </w:p>
    <w:p w:rsidR="00260DEB" w:rsidRPr="000816E0" w:rsidRDefault="00260DEB" w:rsidP="00015ECF">
      <w:pPr>
        <w:pStyle w:val="indentbody"/>
        <w:spacing w:before="0"/>
        <w:ind w:firstLine="0"/>
        <w:jc w:val="both"/>
        <w:rPr>
          <w:rFonts w:ascii="Arial" w:hAnsi="Arial" w:cs="Arial"/>
          <w:lang w:val="en-GB"/>
        </w:rPr>
      </w:pPr>
      <w:r w:rsidRPr="000816E0">
        <w:rPr>
          <w:rFonts w:ascii="Arial" w:hAnsi="Arial" w:cs="Arial"/>
          <w:lang w:val="en-GB"/>
        </w:rPr>
        <w:t xml:space="preserve">To </w:t>
      </w:r>
      <w:r>
        <w:rPr>
          <w:rFonts w:ascii="Arial" w:hAnsi="Arial" w:cs="Arial"/>
          <w:lang w:val="en-GB"/>
        </w:rPr>
        <w:t>annotate the effects of the found SNPs with</w:t>
      </w:r>
      <w:r w:rsidRPr="00A617AC">
        <w:rPr>
          <w:rFonts w:ascii="Arial" w:hAnsi="Arial" w:cs="Arial"/>
          <w:smallCaps/>
          <w:lang w:val="en-GB"/>
        </w:rPr>
        <w:t xml:space="preserve"> </w:t>
      </w:r>
      <w:r w:rsidRPr="000816E0">
        <w:rPr>
          <w:rFonts w:ascii="Arial" w:hAnsi="Arial" w:cs="Arial"/>
          <w:smallCaps/>
          <w:lang w:val="en-GB"/>
        </w:rPr>
        <w:t xml:space="preserve">SnpEff </w:t>
      </w:r>
      <w:r>
        <w:rPr>
          <w:rFonts w:ascii="Arial" w:hAnsi="Arial" w:cs="Arial"/>
          <w:smallCaps/>
          <w:noProof/>
          <w:lang w:val="en-GB"/>
        </w:rPr>
        <w:t>[33]</w:t>
      </w:r>
      <w:r w:rsidRPr="000816E0">
        <w:rPr>
          <w:rFonts w:ascii="Arial" w:hAnsi="Arial" w:cs="Arial"/>
          <w:lang w:val="en-GB"/>
        </w:rPr>
        <w:t xml:space="preserve">, we added the </w:t>
      </w:r>
      <w:r w:rsidRPr="000816E0">
        <w:rPr>
          <w:rFonts w:ascii="Arial" w:hAnsi="Arial" w:cs="Arial"/>
          <w:i/>
          <w:lang w:val="en-GB"/>
        </w:rPr>
        <w:t>A.</w:t>
      </w:r>
      <w:r>
        <w:rPr>
          <w:rFonts w:ascii="Arial" w:hAnsi="Arial" w:cs="Arial"/>
          <w:i/>
          <w:lang w:val="en-GB"/>
        </w:rPr>
        <w:t> </w:t>
      </w:r>
      <w:r w:rsidRPr="000816E0">
        <w:rPr>
          <w:rFonts w:ascii="Arial" w:hAnsi="Arial" w:cs="Arial"/>
          <w:i/>
          <w:lang w:val="en-GB"/>
        </w:rPr>
        <w:t>lyrata</w:t>
      </w:r>
      <w:r w:rsidRPr="000816E0">
        <w:rPr>
          <w:rFonts w:ascii="Arial" w:hAnsi="Arial" w:cs="Arial"/>
          <w:lang w:val="en-GB"/>
        </w:rPr>
        <w:t xml:space="preserve"> v2.0 anno</w:t>
      </w:r>
      <w:r>
        <w:rPr>
          <w:rFonts w:ascii="Arial" w:hAnsi="Arial" w:cs="Arial"/>
          <w:lang w:val="en-GB"/>
        </w:rPr>
        <w:t>t</w:t>
      </w:r>
      <w:r w:rsidRPr="000816E0">
        <w:rPr>
          <w:rFonts w:ascii="Arial" w:hAnsi="Arial" w:cs="Arial"/>
          <w:lang w:val="en-GB"/>
        </w:rPr>
        <w:t xml:space="preserve">ation to the </w:t>
      </w:r>
      <w:r w:rsidRPr="000816E0">
        <w:rPr>
          <w:rFonts w:ascii="Arial" w:hAnsi="Arial" w:cs="Arial"/>
          <w:smallCaps/>
          <w:lang w:val="en-GB"/>
        </w:rPr>
        <w:t xml:space="preserve">SnpEff </w:t>
      </w:r>
      <w:r w:rsidRPr="000816E0">
        <w:rPr>
          <w:rFonts w:ascii="Arial" w:hAnsi="Arial" w:cs="Arial"/>
          <w:lang w:val="en-GB"/>
        </w:rPr>
        <w:t>database and annotated the correspondin</w:t>
      </w:r>
      <w:r>
        <w:rPr>
          <w:rFonts w:ascii="Arial" w:hAnsi="Arial" w:cs="Arial"/>
          <w:lang w:val="en-GB"/>
        </w:rPr>
        <w:t>g</w:t>
      </w:r>
      <w:r w:rsidRPr="000816E0">
        <w:rPr>
          <w:rFonts w:ascii="Arial" w:hAnsi="Arial" w:cs="Arial"/>
          <w:lang w:val="en-GB"/>
        </w:rPr>
        <w:t xml:space="preserve"> SNPs only (no upstream or downstream). Next, we combined per SNP allele frequency, d</w:t>
      </w:r>
      <w:r w:rsidRPr="000816E0">
        <w:rPr>
          <w:rFonts w:ascii="Arial" w:hAnsi="Arial" w:cs="Arial"/>
          <w:vertAlign w:val="subscript"/>
          <w:lang w:val="en-GB"/>
        </w:rPr>
        <w:t>XY</w:t>
      </w:r>
      <w:r w:rsidRPr="000816E0">
        <w:rPr>
          <w:rFonts w:ascii="Arial" w:hAnsi="Arial" w:cs="Arial"/>
          <w:lang w:val="en-GB"/>
        </w:rPr>
        <w:t xml:space="preserve"> and F</w:t>
      </w:r>
      <w:r w:rsidRPr="000816E0">
        <w:rPr>
          <w:rFonts w:ascii="Arial" w:hAnsi="Arial" w:cs="Arial"/>
          <w:vertAlign w:val="subscript"/>
          <w:lang w:val="en-GB"/>
        </w:rPr>
        <w:t>ST</w:t>
      </w:r>
      <w:r w:rsidRPr="000816E0">
        <w:rPr>
          <w:rFonts w:ascii="Arial" w:hAnsi="Arial" w:cs="Arial"/>
          <w:lang w:val="en-GB"/>
        </w:rPr>
        <w:t xml:space="preserve"> data with the </w:t>
      </w:r>
      <w:r w:rsidRPr="000816E0">
        <w:rPr>
          <w:rFonts w:ascii="Arial" w:hAnsi="Arial" w:cs="Arial"/>
          <w:smallCaps/>
          <w:lang w:val="en-GB"/>
        </w:rPr>
        <w:t>SnpEff</w:t>
      </w:r>
      <w:r w:rsidRPr="000816E0">
        <w:rPr>
          <w:rFonts w:ascii="Arial" w:hAnsi="Arial" w:cs="Arial"/>
          <w:lang w:val="en-GB"/>
        </w:rPr>
        <w:t xml:space="preserve"> annotation and the results from </w:t>
      </w:r>
      <w:r w:rsidRPr="000816E0">
        <w:rPr>
          <w:rFonts w:ascii="Arial" w:hAnsi="Arial" w:cs="Arial"/>
          <w:smallCaps/>
          <w:lang w:val="en-GB"/>
        </w:rPr>
        <w:t>Bayenv2</w:t>
      </w:r>
      <w:r w:rsidRPr="000816E0">
        <w:rPr>
          <w:rFonts w:ascii="Arial" w:hAnsi="Arial" w:cs="Arial"/>
          <w:lang w:val="en-GB"/>
        </w:rPr>
        <w:t xml:space="preserve">. We selected only SNPs that have BF ≥ 100 </w:t>
      </w:r>
      <w:r w:rsidRPr="000816E0">
        <w:rPr>
          <w:rFonts w:ascii="Arial" w:hAnsi="Arial" w:cs="Arial"/>
          <w:lang w:val="en-GB"/>
        </w:rPr>
        <w:fldChar w:fldCharType="begin"/>
      </w:r>
      <w:r w:rsidRPr="000816E0">
        <w:rPr>
          <w:rFonts w:ascii="Arial" w:hAnsi="Arial" w:cs="Arial"/>
          <w:lang w:val="en-GB"/>
        </w:rPr>
        <w:instrText xml:space="preserve"> ADDIN PAPERS2_CITATIONS &lt;citation&gt;&lt;uuid&gt;998FA189-0489-4713-A24E-D34ACFCCD58A&lt;/uuid&gt;&lt;priority&gt;12&lt;/priority&gt;&lt;publications&gt;&lt;publication&gt;&lt;publication_date&gt;99196100001200000000200000&lt;/publication_date&gt;&lt;startpage&gt;470&lt;/startpage&gt;&lt;title&gt;The Theory of Probability&lt;/title&gt;&lt;uuid&gt;D835FD1B-267F-4A07-97FE-FCCA68349F45&lt;/uuid&gt;&lt;subtype&gt;0&lt;/subtype&gt;&lt;publisher&gt;Oxford University Press&lt;/publisher&gt;&lt;version&gt;3rd&lt;/version&gt;&lt;place&gt;Oxford&lt;/place&gt;&lt;type&gt;0&lt;/type&gt;&lt;url&gt;http://books.google.co.uk/books?id=vh9Act9rtzQC&amp;amp;printsec=frontcover&amp;amp;dq=intitle:The+theory+of+probability+inauthor:Jeffreys&amp;amp;hl=&amp;amp;cd=1&amp;amp;source=gbs_api&lt;/url&gt;&lt;authors&gt;&lt;author&gt;&lt;firstName&gt;Harold&lt;/firstName&gt;&lt;lastName&gt;Jeffreys&lt;/lastName&gt;&lt;/author&gt;&lt;/authors&gt;&lt;/publication&gt;&lt;/publications&gt;&lt;cites&gt;&lt;/cites&gt;&lt;/citation&gt;</w:instrText>
      </w:r>
      <w:r w:rsidRPr="000816E0">
        <w:rPr>
          <w:rFonts w:ascii="Arial" w:hAnsi="Arial" w:cs="Arial"/>
          <w:lang w:val="en-GB"/>
        </w:rPr>
        <w:fldChar w:fldCharType="separate"/>
      </w:r>
      <w:r w:rsidRPr="000816E0">
        <w:rPr>
          <w:rFonts w:ascii="Arial" w:hAnsi="Arial" w:cs="Arial"/>
          <w:lang w:val="en-GB"/>
        </w:rPr>
        <w:t>[13]</w:t>
      </w:r>
      <w:r w:rsidRPr="000816E0">
        <w:rPr>
          <w:rFonts w:ascii="Arial" w:hAnsi="Arial" w:cs="Arial"/>
          <w:lang w:val="en-GB"/>
        </w:rPr>
        <w:fldChar w:fldCharType="end"/>
      </w:r>
      <w:r w:rsidRPr="000816E0">
        <w:rPr>
          <w:rFonts w:ascii="Arial" w:hAnsi="Arial" w:cs="Arial"/>
          <w:lang w:val="en-GB"/>
        </w:rPr>
        <w:t xml:space="preserve"> for the selected elements (environmentally associated SNP, EA SNP) and further required that the EA SNP causes a non-synonymous change. We did this per contrast divergence scan candidate gene list and species (four lists).</w:t>
      </w:r>
    </w:p>
    <w:p w:rsidR="00260DEB" w:rsidRDefault="00260DEB" w:rsidP="000862A4">
      <w:pPr>
        <w:pStyle w:val="indentbody"/>
        <w:spacing w:before="0"/>
        <w:ind w:firstLine="0"/>
        <w:rPr>
          <w:rFonts w:ascii="Arial" w:eastAsia="Helvetica" w:hAnsi="Arial" w:cs="Arial"/>
          <w:color w:val="339966"/>
          <w:lang w:val="en-GB"/>
        </w:rPr>
      </w:pPr>
    </w:p>
    <w:p w:rsidR="00260DEB" w:rsidRPr="006554B2" w:rsidRDefault="00260DEB" w:rsidP="00B04119">
      <w:pPr>
        <w:spacing w:before="120" w:after="120" w:line="312" w:lineRule="auto"/>
        <w:jc w:val="both"/>
        <w:rPr>
          <w:rFonts w:ascii="Arial Narrow" w:hAnsi="Arial Narrow" w:cs="Arial"/>
          <w:color w:val="339966"/>
          <w:sz w:val="32"/>
          <w:szCs w:val="32"/>
        </w:rPr>
      </w:pPr>
      <w:r w:rsidRPr="000816E0">
        <w:rPr>
          <w:rFonts w:ascii="Arial" w:hAnsi="Arial" w:cs="Arial"/>
          <w:b/>
          <w:sz w:val="24"/>
          <w:szCs w:val="24"/>
        </w:rPr>
        <w:t xml:space="preserve"> </w:t>
      </w:r>
      <w:r w:rsidRPr="006554B2">
        <w:rPr>
          <w:rFonts w:ascii="Arial Narrow" w:hAnsi="Arial Narrow" w:cs="Arial"/>
          <w:color w:val="339966"/>
          <w:sz w:val="32"/>
          <w:szCs w:val="32"/>
        </w:rPr>
        <w:t>References</w:t>
      </w:r>
    </w:p>
    <w:p w:rsidR="00260DEB" w:rsidRPr="000816E0" w:rsidRDefault="00260DEB" w:rsidP="00015ECF">
      <w:pPr>
        <w:spacing w:after="120" w:line="288" w:lineRule="auto"/>
        <w:jc w:val="both"/>
        <w:rPr>
          <w:rFonts w:ascii="Arial" w:hAnsi="Arial" w:cs="Arial"/>
          <w:b/>
          <w:sz w:val="24"/>
          <w:szCs w:val="24"/>
        </w:rPr>
      </w:pPr>
    </w:p>
    <w:p w:rsidR="00260DEB" w:rsidRPr="001E0F7B" w:rsidRDefault="00260DEB" w:rsidP="001E0F7B">
      <w:pPr>
        <w:pStyle w:val="EndNoteBibliography"/>
        <w:spacing w:after="240"/>
      </w:pPr>
      <w:r w:rsidRPr="001E0F7B">
        <w:t xml:space="preserve">1. Rogstad, S. H. 1992 Saturated NaCl-CTAB Solution as a Means of Field Preservation of Leaves for DNA Analyses. </w:t>
      </w:r>
      <w:r w:rsidRPr="001E0F7B">
        <w:rPr>
          <w:i/>
        </w:rPr>
        <w:t>Taxon</w:t>
      </w:r>
      <w:r w:rsidRPr="001E0F7B">
        <w:t xml:space="preserve"> </w:t>
      </w:r>
      <w:r w:rsidRPr="001E0F7B">
        <w:rPr>
          <w:b/>
        </w:rPr>
        <w:t>41</w:t>
      </w:r>
      <w:r w:rsidRPr="001E0F7B">
        <w:t>, 701-708. (DOI:10.2307/1222395).</w:t>
      </w:r>
    </w:p>
    <w:p w:rsidR="00260DEB" w:rsidRPr="001E0F7B" w:rsidRDefault="00260DEB" w:rsidP="001E0F7B">
      <w:pPr>
        <w:pStyle w:val="EndNoteBibliography"/>
        <w:spacing w:after="240"/>
      </w:pPr>
      <w:r w:rsidRPr="001E0F7B">
        <w:t xml:space="preserve">2. R Development Core Team. 2008 </w:t>
      </w:r>
      <w:r w:rsidRPr="001E0F7B">
        <w:rPr>
          <w:i/>
        </w:rPr>
        <w:t>R: A language and environment for statistical computing.</w:t>
      </w:r>
      <w:r w:rsidRPr="001E0F7B">
        <w:t xml:space="preserve"> Vienne, Austria, R Foundation for Statistical Computing.</w:t>
      </w:r>
    </w:p>
    <w:p w:rsidR="00260DEB" w:rsidRPr="001E0F7B" w:rsidRDefault="00260DEB" w:rsidP="001E0F7B">
      <w:pPr>
        <w:pStyle w:val="EndNoteBibliography"/>
        <w:spacing w:after="240"/>
      </w:pPr>
      <w:r w:rsidRPr="001E0F7B">
        <w:t>3. Hebbali, A. 2018 olsrr: Tools for Building OLS Regression Models. R package version 0.5.0.</w:t>
      </w:r>
    </w:p>
    <w:p w:rsidR="00260DEB" w:rsidRPr="001E0F7B" w:rsidRDefault="00260DEB" w:rsidP="001E0F7B">
      <w:pPr>
        <w:pStyle w:val="EndNoteBibliography"/>
        <w:spacing w:after="240"/>
      </w:pPr>
      <w:r w:rsidRPr="001E0F7B">
        <w:t xml:space="preserve">4. Venables, W. N. &amp; Ripley, B. D. 2002 </w:t>
      </w:r>
      <w:r w:rsidRPr="001E0F7B">
        <w:rPr>
          <w:i/>
        </w:rPr>
        <w:t>Modern Applied Statistics with S</w:t>
      </w:r>
      <w:r w:rsidRPr="001E0F7B">
        <w:t>. Fourth Edition ed. New York, Springer.</w:t>
      </w:r>
    </w:p>
    <w:p w:rsidR="00260DEB" w:rsidRPr="001E0F7B" w:rsidRDefault="00260DEB" w:rsidP="001E0F7B">
      <w:pPr>
        <w:pStyle w:val="EndNoteBibliography"/>
        <w:spacing w:after="240"/>
      </w:pPr>
      <w:r w:rsidRPr="001E0F7B">
        <w:t xml:space="preserve">5. Box, G. E. P. &amp; Cox, D. R. 1964 An Analysis of Transformations. </w:t>
      </w:r>
      <w:r w:rsidRPr="001E0F7B">
        <w:rPr>
          <w:i/>
        </w:rPr>
        <w:t>Journal of the Royal Statistical Society. Series B (Methodological)</w:t>
      </w:r>
      <w:r w:rsidRPr="001E0F7B">
        <w:t xml:space="preserve"> </w:t>
      </w:r>
      <w:r w:rsidRPr="001E0F7B">
        <w:rPr>
          <w:b/>
        </w:rPr>
        <w:t>26</w:t>
      </w:r>
      <w:r w:rsidRPr="001E0F7B">
        <w:t>, 211-252.</w:t>
      </w:r>
    </w:p>
    <w:p w:rsidR="00260DEB" w:rsidRPr="001E0F7B" w:rsidRDefault="00260DEB" w:rsidP="001E0F7B">
      <w:pPr>
        <w:pStyle w:val="EndNoteBibliography"/>
        <w:spacing w:after="240"/>
      </w:pPr>
      <w:r w:rsidRPr="001E0F7B">
        <w:t xml:space="preserve">6. Martin, M. 2011 Cutadapt removes adapter sequences from high-throughput sequencing reads. </w:t>
      </w:r>
      <w:r w:rsidRPr="001E0F7B">
        <w:rPr>
          <w:i/>
        </w:rPr>
        <w:t>2011</w:t>
      </w:r>
      <w:r w:rsidRPr="001E0F7B">
        <w:t xml:space="preserve"> </w:t>
      </w:r>
      <w:r w:rsidRPr="001E0F7B">
        <w:rPr>
          <w:b/>
        </w:rPr>
        <w:t>17</w:t>
      </w:r>
      <w:r w:rsidRPr="001E0F7B">
        <w:t>, 3. (DOI:10.14806/ej.17.1.200).</w:t>
      </w:r>
    </w:p>
    <w:p w:rsidR="00260DEB" w:rsidRPr="001E0F7B" w:rsidRDefault="00260DEB" w:rsidP="001E0F7B">
      <w:pPr>
        <w:pStyle w:val="EndNoteBibliography"/>
        <w:spacing w:after="240"/>
      </w:pPr>
      <w:r w:rsidRPr="001E0F7B">
        <w:t xml:space="preserve">7. Hu, T. T., Pattyn, P., Bakker, E. G., Cao, J., Cheng, J. F., Clark, R. M., Fahlgren, N., Fawcett, J. A., Grimwood, J., Gundlach, H., et al. 2011 The </w:t>
      </w:r>
      <w:r w:rsidRPr="001E0F7B">
        <w:rPr>
          <w:i/>
        </w:rPr>
        <w:t>Arabidopsis lyrata</w:t>
      </w:r>
      <w:r w:rsidRPr="001E0F7B">
        <w:t xml:space="preserve"> genome sequence and the basis of rapid genome size change. </w:t>
      </w:r>
      <w:r w:rsidRPr="001E0F7B">
        <w:rPr>
          <w:i/>
        </w:rPr>
        <w:t>Nat Genet</w:t>
      </w:r>
      <w:r w:rsidRPr="001E0F7B">
        <w:t xml:space="preserve"> </w:t>
      </w:r>
      <w:r w:rsidRPr="001E0F7B">
        <w:rPr>
          <w:b/>
        </w:rPr>
        <w:t>43</w:t>
      </w:r>
      <w:r w:rsidRPr="001E0F7B">
        <w:t>, 476-481. (DOI:10.1038/ng.807).</w:t>
      </w:r>
    </w:p>
    <w:p w:rsidR="00260DEB" w:rsidRPr="001E0F7B" w:rsidRDefault="00260DEB" w:rsidP="001E0F7B">
      <w:pPr>
        <w:pStyle w:val="EndNoteBibliography"/>
        <w:spacing w:after="240"/>
      </w:pPr>
      <w:r w:rsidRPr="001E0F7B">
        <w:t xml:space="preserve">8. Li, H. &amp; Durbin, R. 2010 Fast and accurate long-read alignment with Burrows-Wheeler transform. </w:t>
      </w:r>
      <w:r w:rsidRPr="001E0F7B">
        <w:rPr>
          <w:i/>
        </w:rPr>
        <w:t>Bioinformatics</w:t>
      </w:r>
      <w:r w:rsidRPr="001E0F7B">
        <w:t xml:space="preserve"> </w:t>
      </w:r>
      <w:r w:rsidRPr="001E0F7B">
        <w:rPr>
          <w:b/>
        </w:rPr>
        <w:t>26</w:t>
      </w:r>
      <w:r w:rsidRPr="001E0F7B">
        <w:t>, 589-595. (DOI:10.1093/bioinformatics/btp698).</w:t>
      </w:r>
    </w:p>
    <w:p w:rsidR="00260DEB" w:rsidRPr="001E0F7B" w:rsidRDefault="00260DEB" w:rsidP="001E0F7B">
      <w:pPr>
        <w:pStyle w:val="EndNoteBibliography"/>
        <w:spacing w:after="240"/>
      </w:pPr>
      <w:r w:rsidRPr="001E0F7B">
        <w:t xml:space="preserve">9. Li, H. &amp; Durbin, R. 2009 Fast and accurate short read alignment with Burrows-Wheeler transform. </w:t>
      </w:r>
      <w:r w:rsidRPr="001E0F7B">
        <w:rPr>
          <w:i/>
        </w:rPr>
        <w:t>Bioinformatics</w:t>
      </w:r>
      <w:r w:rsidRPr="001E0F7B">
        <w:t xml:space="preserve"> </w:t>
      </w:r>
      <w:r w:rsidRPr="001E0F7B">
        <w:rPr>
          <w:b/>
        </w:rPr>
        <w:t>25</w:t>
      </w:r>
      <w:r w:rsidRPr="001E0F7B">
        <w:t>, 1754-1760. (DOI:10.1093/bioinformatics/btp324).</w:t>
      </w:r>
    </w:p>
    <w:p w:rsidR="00260DEB" w:rsidRPr="001E0F7B" w:rsidRDefault="00260DEB" w:rsidP="001E0F7B">
      <w:pPr>
        <w:pStyle w:val="EndNoteBibliography"/>
        <w:spacing w:after="240"/>
      </w:pPr>
      <w:r w:rsidRPr="001E0F7B">
        <w:t xml:space="preserve">10. McKenna, A., Hanna, M., Banks, E., Sivachenko, A., Cibulskis, K., Kernytsky, A., Garimella, K., Altshuler, D., Gabriel, S., Daly, M., et al. 2010 The Genome Analysis Toolkit: a MapReduce framework for analyzing next-generation DNA sequencing data. </w:t>
      </w:r>
      <w:r w:rsidRPr="001E0F7B">
        <w:rPr>
          <w:i/>
        </w:rPr>
        <w:t>Genome Res</w:t>
      </w:r>
      <w:r w:rsidRPr="001E0F7B">
        <w:t xml:space="preserve"> </w:t>
      </w:r>
      <w:r w:rsidRPr="001E0F7B">
        <w:rPr>
          <w:b/>
        </w:rPr>
        <w:t>20</w:t>
      </w:r>
      <w:r w:rsidRPr="001E0F7B">
        <w:t>, 1297-1303. (DOI:10.1101/gr.107524.110).</w:t>
      </w:r>
    </w:p>
    <w:p w:rsidR="00260DEB" w:rsidRPr="001E0F7B" w:rsidRDefault="00260DEB" w:rsidP="001E0F7B">
      <w:pPr>
        <w:pStyle w:val="EndNoteBibliography"/>
        <w:spacing w:after="240"/>
      </w:pPr>
      <w:r w:rsidRPr="001E0F7B">
        <w:lastRenderedPageBreak/>
        <w:t xml:space="preserve">11. DePristo, M. A., Banks, E., Poplin, R., Garimella, K. V., Maguire, J. R., Hartl, C., Philippakis, A. A., del Angel, G., Rivas, M. A., Hanna, M., et al. 2011 A framework for variation discovery and genotyping using next-generation DNA sequencing data. </w:t>
      </w:r>
      <w:r w:rsidRPr="001E0F7B">
        <w:rPr>
          <w:i/>
        </w:rPr>
        <w:t>Nat Genet</w:t>
      </w:r>
      <w:r w:rsidRPr="001E0F7B">
        <w:t xml:space="preserve"> </w:t>
      </w:r>
      <w:r w:rsidRPr="001E0F7B">
        <w:rPr>
          <w:b/>
        </w:rPr>
        <w:t>43</w:t>
      </w:r>
      <w:r w:rsidRPr="001E0F7B">
        <w:t>, 491-498. (DOI:10.1038/ng.806).</w:t>
      </w:r>
    </w:p>
    <w:p w:rsidR="00260DEB" w:rsidRPr="001E0F7B" w:rsidRDefault="00260DEB" w:rsidP="001E0F7B">
      <w:pPr>
        <w:pStyle w:val="EndNoteBibliography"/>
        <w:spacing w:after="240"/>
      </w:pPr>
      <w:r w:rsidRPr="001E0F7B">
        <w:t xml:space="preserve">12. Van der Auwera, G. A., Carneiro, M. O., Hartl, C., Poplin, R., Del Angel, G., Levy-Moonshine, A., Jordan, T., Shakir, K., Roazen, D., Thibault, J., et al. 2013 From FastQ data to high confidence variant calls: the Genome Analysis Toolkit best practices pipeline. </w:t>
      </w:r>
      <w:r w:rsidRPr="001E0F7B">
        <w:rPr>
          <w:i/>
        </w:rPr>
        <w:t>Curr Protoc Bioinformatics</w:t>
      </w:r>
      <w:r w:rsidRPr="001E0F7B">
        <w:t xml:space="preserve"> </w:t>
      </w:r>
      <w:r w:rsidRPr="001E0F7B">
        <w:rPr>
          <w:b/>
        </w:rPr>
        <w:t>43</w:t>
      </w:r>
      <w:r w:rsidRPr="001E0F7B">
        <w:t>, 11 10 11-33. (DOI:10.1002/0471250953.bi1110s43).</w:t>
      </w:r>
    </w:p>
    <w:p w:rsidR="00260DEB" w:rsidRPr="001E0F7B" w:rsidRDefault="00260DEB" w:rsidP="001E0F7B">
      <w:pPr>
        <w:pStyle w:val="EndNoteBibliography"/>
        <w:spacing w:after="240"/>
      </w:pPr>
      <w:r w:rsidRPr="001E0F7B">
        <w:t xml:space="preserve">13. Smith, S. D., Kawash, J. K. &amp; Grigoriev, A. 2017 Lightning-fast genome variant detection with GROM. </w:t>
      </w:r>
      <w:r w:rsidRPr="001E0F7B">
        <w:rPr>
          <w:i/>
        </w:rPr>
        <w:t>Gigascience</w:t>
      </w:r>
      <w:r w:rsidRPr="001E0F7B">
        <w:t xml:space="preserve"> </w:t>
      </w:r>
      <w:r w:rsidRPr="001E0F7B">
        <w:rPr>
          <w:b/>
        </w:rPr>
        <w:t>6</w:t>
      </w:r>
      <w:r w:rsidRPr="001E0F7B">
        <w:t>, 1-7. (DOI:10.1093/gigascience/gix091).</w:t>
      </w:r>
    </w:p>
    <w:p w:rsidR="00260DEB" w:rsidRPr="001E0F7B" w:rsidRDefault="00260DEB" w:rsidP="001E0F7B">
      <w:pPr>
        <w:pStyle w:val="EndNoteBibliography"/>
        <w:spacing w:after="240"/>
      </w:pPr>
      <w:r w:rsidRPr="001E0F7B">
        <w:t xml:space="preserve">14. Arnold, B. J., Lahner, B., DaCosta, J. M., Weisman, C. M., Hollister, J. D., Salt, D. E., Bomblies, K. &amp; Yant, L. 2016 Borrowed alleles and convergence in serpentine adaptation. </w:t>
      </w:r>
      <w:r w:rsidRPr="001E0F7B">
        <w:rPr>
          <w:i/>
        </w:rPr>
        <w:t>PNAS</w:t>
      </w:r>
      <w:r w:rsidRPr="001E0F7B">
        <w:t xml:space="preserve"> </w:t>
      </w:r>
      <w:r w:rsidRPr="001E0F7B">
        <w:rPr>
          <w:b/>
        </w:rPr>
        <w:t>113</w:t>
      </w:r>
      <w:r w:rsidRPr="001E0F7B">
        <w:t>, 8320-8325. (DOI:</w:t>
      </w:r>
      <w:r w:rsidRPr="00260DEB">
        <w:t>www.pnas.org/cgi/doi/10.1073/pnas.1600405113</w:t>
      </w:r>
      <w:r w:rsidRPr="001E0F7B">
        <w:t>).</w:t>
      </w:r>
    </w:p>
    <w:p w:rsidR="00260DEB" w:rsidRPr="001E0F7B" w:rsidRDefault="00260DEB" w:rsidP="001E0F7B">
      <w:pPr>
        <w:pStyle w:val="EndNoteBibliography"/>
        <w:spacing w:after="240"/>
      </w:pPr>
      <w:r w:rsidRPr="001E0F7B">
        <w:t xml:space="preserve">15. Yant, L., Hollister, J. D., Wright, K. M., Arnold, B. J., Higgins, J. D., Franklin, F. C. H. &amp; Bomblies, K. 2013 Meiotic adaptation to genome duplication in </w:t>
      </w:r>
      <w:r w:rsidRPr="001E0F7B">
        <w:rPr>
          <w:i/>
        </w:rPr>
        <w:t>Arabidopsis arenosa</w:t>
      </w:r>
      <w:r w:rsidRPr="001E0F7B">
        <w:t xml:space="preserve">. </w:t>
      </w:r>
      <w:r w:rsidRPr="001E0F7B">
        <w:rPr>
          <w:i/>
        </w:rPr>
        <w:t>Curr Biol</w:t>
      </w:r>
      <w:r w:rsidRPr="001E0F7B">
        <w:t xml:space="preserve"> </w:t>
      </w:r>
      <w:r w:rsidRPr="001E0F7B">
        <w:rPr>
          <w:b/>
        </w:rPr>
        <w:t>23</w:t>
      </w:r>
      <w:r w:rsidRPr="001E0F7B">
        <w:t>, 2151-2156. (DOI:10.1016/j.cub.2013.08.059).</w:t>
      </w:r>
    </w:p>
    <w:p w:rsidR="00260DEB" w:rsidRPr="001E0F7B" w:rsidRDefault="00260DEB" w:rsidP="001E0F7B">
      <w:pPr>
        <w:pStyle w:val="EndNoteBibliography"/>
        <w:spacing w:after="240"/>
      </w:pPr>
      <w:r w:rsidRPr="001E0F7B">
        <w:t xml:space="preserve">16. Ross-Ibarra, J., Wright, S. I., Foxe, J. P., Kawabe, A., DeRose-Wilson, L., Gos, G., Charlesworth, D. &amp; Gaut, B. S. 2008 Patterns of polymorphism and demographic history in natural populations of </w:t>
      </w:r>
      <w:r w:rsidRPr="001E0F7B">
        <w:rPr>
          <w:i/>
        </w:rPr>
        <w:t>Arabidopsis lyrata</w:t>
      </w:r>
      <w:r w:rsidRPr="001E0F7B">
        <w:t xml:space="preserve">. </w:t>
      </w:r>
      <w:r w:rsidRPr="001E0F7B">
        <w:rPr>
          <w:i/>
        </w:rPr>
        <w:t>PLoS One</w:t>
      </w:r>
      <w:r w:rsidRPr="001E0F7B">
        <w:t xml:space="preserve"> </w:t>
      </w:r>
      <w:r w:rsidRPr="001E0F7B">
        <w:rPr>
          <w:b/>
        </w:rPr>
        <w:t>3</w:t>
      </w:r>
      <w:r w:rsidRPr="001E0F7B">
        <w:t>, e2411. (DOI:10.1371/journal.pone.0002411).</w:t>
      </w:r>
    </w:p>
    <w:p w:rsidR="00260DEB" w:rsidRPr="001E0F7B" w:rsidRDefault="00260DEB" w:rsidP="001E0F7B">
      <w:pPr>
        <w:pStyle w:val="EndNoteBibliography"/>
        <w:spacing w:after="240"/>
      </w:pPr>
      <w:r w:rsidRPr="001E0F7B">
        <w:t xml:space="preserve">17. Wright, S. 1951 The genetical structure of populations. </w:t>
      </w:r>
      <w:r w:rsidRPr="001E0F7B">
        <w:rPr>
          <w:i/>
        </w:rPr>
        <w:t>Ann Eugen</w:t>
      </w:r>
      <w:r w:rsidRPr="001E0F7B">
        <w:t xml:space="preserve"> </w:t>
      </w:r>
      <w:r w:rsidRPr="001E0F7B">
        <w:rPr>
          <w:b/>
        </w:rPr>
        <w:t>15</w:t>
      </w:r>
      <w:r w:rsidRPr="001E0F7B">
        <w:t>, 323-354.</w:t>
      </w:r>
    </w:p>
    <w:p w:rsidR="00260DEB" w:rsidRPr="001E0F7B" w:rsidRDefault="00260DEB" w:rsidP="001E0F7B">
      <w:pPr>
        <w:pStyle w:val="EndNoteBibliography"/>
        <w:spacing w:after="240"/>
      </w:pPr>
      <w:r w:rsidRPr="001E0F7B">
        <w:t xml:space="preserve">18. Nielsen, R., Hubisz, M. J., Hellmann, I., Torgerson, D., Andres, A. M., Albrechtsen, A., Gutenkunst, R., Adams, M. D., Cargill, M., Boyko, A., et al. 2009 Darwinian and demographic forces affecting human protein coding genes. </w:t>
      </w:r>
      <w:r w:rsidRPr="001E0F7B">
        <w:rPr>
          <w:i/>
        </w:rPr>
        <w:t>Genome Res</w:t>
      </w:r>
      <w:r w:rsidRPr="001E0F7B">
        <w:t xml:space="preserve"> </w:t>
      </w:r>
      <w:r w:rsidRPr="001E0F7B">
        <w:rPr>
          <w:b/>
        </w:rPr>
        <w:t>19</w:t>
      </w:r>
      <w:r w:rsidRPr="001E0F7B">
        <w:t>, 838-849. (DOI:10.1101/gr.088336.108).</w:t>
      </w:r>
    </w:p>
    <w:p w:rsidR="00260DEB" w:rsidRPr="001E0F7B" w:rsidRDefault="00260DEB" w:rsidP="001E0F7B">
      <w:pPr>
        <w:pStyle w:val="EndNoteBibliography"/>
        <w:spacing w:after="240"/>
      </w:pPr>
      <w:r w:rsidRPr="001E0F7B">
        <w:t xml:space="preserve">19. Smith, J. &amp; Kronforst, M. R. 2013 Do Heliconius butterfly species exchange mimicry alleles? </w:t>
      </w:r>
      <w:r w:rsidRPr="001E0F7B">
        <w:rPr>
          <w:i/>
        </w:rPr>
        <w:t>Biol Lett</w:t>
      </w:r>
      <w:r w:rsidRPr="001E0F7B">
        <w:t xml:space="preserve"> </w:t>
      </w:r>
      <w:r w:rsidRPr="001E0F7B">
        <w:rPr>
          <w:b/>
        </w:rPr>
        <w:t>9</w:t>
      </w:r>
      <w:r w:rsidRPr="001E0F7B">
        <w:t>, 20130503. (DOI:10.1098/rsbl.2013.0503).</w:t>
      </w:r>
    </w:p>
    <w:p w:rsidR="00260DEB" w:rsidRPr="001E0F7B" w:rsidRDefault="00260DEB" w:rsidP="001E0F7B">
      <w:pPr>
        <w:pStyle w:val="EndNoteBibliography"/>
        <w:spacing w:after="240"/>
      </w:pPr>
      <w:r w:rsidRPr="001E0F7B">
        <w:t xml:space="preserve">20. Bonhomme, M., Chevalet, C., Servin, B., Boitard, S., Abdallah, J., Blott, S. &amp; SanCristobal, M. 2010 Detecting Selection in Population Trees: The Lewontin and Krakauer Test Extended. </w:t>
      </w:r>
      <w:r w:rsidRPr="001E0F7B">
        <w:rPr>
          <w:i/>
        </w:rPr>
        <w:t>Genetics</w:t>
      </w:r>
      <w:r w:rsidRPr="001E0F7B">
        <w:t xml:space="preserve"> </w:t>
      </w:r>
      <w:r w:rsidRPr="001E0F7B">
        <w:rPr>
          <w:b/>
        </w:rPr>
        <w:t>186</w:t>
      </w:r>
      <w:r w:rsidRPr="001E0F7B">
        <w:t>, 241-262. (DOI:10.1534/genetics.110.117275).</w:t>
      </w:r>
    </w:p>
    <w:p w:rsidR="00260DEB" w:rsidRPr="001E0F7B" w:rsidRDefault="00260DEB" w:rsidP="001E0F7B">
      <w:pPr>
        <w:pStyle w:val="EndNoteBibliography"/>
        <w:spacing w:after="240"/>
      </w:pPr>
      <w:r w:rsidRPr="001E0F7B">
        <w:t xml:space="preserve">21. Teo, Y. Y., Fry, A. E., Bhattacharya, K., Small, K. S., Kwiatkowski, D. P. &amp; Clark, T. G. 2009 Genome-wide comparisons of variation in linkage disequilibrium. </w:t>
      </w:r>
      <w:r w:rsidRPr="001E0F7B">
        <w:rPr>
          <w:i/>
        </w:rPr>
        <w:t>Genome Res</w:t>
      </w:r>
      <w:r w:rsidRPr="001E0F7B">
        <w:t xml:space="preserve"> </w:t>
      </w:r>
      <w:r w:rsidRPr="001E0F7B">
        <w:rPr>
          <w:b/>
        </w:rPr>
        <w:t>19</w:t>
      </w:r>
      <w:r w:rsidRPr="001E0F7B">
        <w:t>, 1849-1860. (DOI:10.1101/gr.092189.109).</w:t>
      </w:r>
    </w:p>
    <w:p w:rsidR="00260DEB" w:rsidRPr="001E0F7B" w:rsidRDefault="00260DEB" w:rsidP="001E0F7B">
      <w:pPr>
        <w:pStyle w:val="EndNoteBibliography"/>
        <w:spacing w:after="240"/>
      </w:pPr>
      <w:r w:rsidRPr="001E0F7B">
        <w:t xml:space="preserve">22. Fariello, M. I., Boitard, S., Naya, H., SanCristobal, M. &amp; Servin, B. 2013 Detecting signatures of selection through haplotype differentiation among hierarchically structured populations. </w:t>
      </w:r>
      <w:r w:rsidRPr="001E0F7B">
        <w:rPr>
          <w:i/>
        </w:rPr>
        <w:t>Genetics</w:t>
      </w:r>
      <w:r w:rsidRPr="001E0F7B">
        <w:t xml:space="preserve"> </w:t>
      </w:r>
      <w:r w:rsidRPr="001E0F7B">
        <w:rPr>
          <w:b/>
        </w:rPr>
        <w:t>193</w:t>
      </w:r>
      <w:r w:rsidRPr="001E0F7B">
        <w:t>, 929-941. (DOI:10.1534/genetics.112.147231).</w:t>
      </w:r>
    </w:p>
    <w:p w:rsidR="00260DEB" w:rsidRPr="001E0F7B" w:rsidRDefault="00260DEB" w:rsidP="001E0F7B">
      <w:pPr>
        <w:pStyle w:val="EndNoteBibliography"/>
        <w:spacing w:after="240"/>
      </w:pPr>
      <w:r w:rsidRPr="001E0F7B">
        <w:t xml:space="preserve">23. Tajima, F. 1989 Statistical Method for Testing the Neutral Mutation Hypothesis by DNA Polymorphism. </w:t>
      </w:r>
      <w:r w:rsidRPr="001E0F7B">
        <w:rPr>
          <w:i/>
        </w:rPr>
        <w:t>Genetics</w:t>
      </w:r>
      <w:r w:rsidRPr="001E0F7B">
        <w:t xml:space="preserve"> </w:t>
      </w:r>
      <w:r w:rsidRPr="001E0F7B">
        <w:rPr>
          <w:b/>
        </w:rPr>
        <w:t>123</w:t>
      </w:r>
      <w:r w:rsidRPr="001E0F7B">
        <w:t>, 585-595.</w:t>
      </w:r>
    </w:p>
    <w:p w:rsidR="00260DEB" w:rsidRPr="001E0F7B" w:rsidRDefault="00260DEB" w:rsidP="001E0F7B">
      <w:pPr>
        <w:pStyle w:val="EndNoteBibliography"/>
        <w:spacing w:after="240"/>
      </w:pPr>
      <w:r w:rsidRPr="001E0F7B">
        <w:lastRenderedPageBreak/>
        <w:t xml:space="preserve">24. Fay, J. C. &amp; Wu, C.-I. 2000 Hitchhiking Under Positive Darwinian Selection. </w:t>
      </w:r>
      <w:r w:rsidRPr="001E0F7B">
        <w:rPr>
          <w:i/>
        </w:rPr>
        <w:t>Genetics</w:t>
      </w:r>
      <w:r w:rsidRPr="001E0F7B">
        <w:t xml:space="preserve"> </w:t>
      </w:r>
      <w:r w:rsidRPr="001E0F7B">
        <w:rPr>
          <w:b/>
        </w:rPr>
        <w:t>155</w:t>
      </w:r>
      <w:r w:rsidRPr="001E0F7B">
        <w:t>, 1405-1413.</w:t>
      </w:r>
    </w:p>
    <w:p w:rsidR="00260DEB" w:rsidRPr="001E0F7B" w:rsidRDefault="00260DEB" w:rsidP="001E0F7B">
      <w:pPr>
        <w:pStyle w:val="EndNoteBibliography"/>
        <w:spacing w:after="240"/>
      </w:pPr>
      <w:r w:rsidRPr="001E0F7B">
        <w:t>25. Oksanen, J., Blanchet, F. G., Friendly, M., Kindt, R., Legendre, P., McGlinn, D., Minchin, P. R., O'Hara, R. B., Simpson, G. L., Solymos, P., et al. 2018 vegan: Community Ecology Package.</w:t>
      </w:r>
    </w:p>
    <w:p w:rsidR="00260DEB" w:rsidRPr="001E0F7B" w:rsidRDefault="00260DEB" w:rsidP="001E0F7B">
      <w:pPr>
        <w:pStyle w:val="EndNoteBibliography"/>
        <w:spacing w:after="240"/>
      </w:pPr>
      <w:r w:rsidRPr="001E0F7B">
        <w:t xml:space="preserve">26. Nielsen, R., Williamson, S., Kim, Y., Hubisz, M. J., Clark, A. G. &amp; Bustamante, C. 2005 Genomic scans for selective sweeps using SNP data. </w:t>
      </w:r>
      <w:r w:rsidRPr="001E0F7B">
        <w:rPr>
          <w:i/>
        </w:rPr>
        <w:t>Genome Research</w:t>
      </w:r>
      <w:r w:rsidRPr="001E0F7B">
        <w:t xml:space="preserve"> </w:t>
      </w:r>
      <w:r w:rsidRPr="001E0F7B">
        <w:rPr>
          <w:b/>
        </w:rPr>
        <w:t>15</w:t>
      </w:r>
      <w:r w:rsidRPr="001E0F7B">
        <w:t>, 1566-1575. (DOI:10.1101/gr.4252305).</w:t>
      </w:r>
    </w:p>
    <w:p w:rsidR="00260DEB" w:rsidRPr="001E0F7B" w:rsidRDefault="00260DEB" w:rsidP="001E0F7B">
      <w:pPr>
        <w:pStyle w:val="EndNoteBibliography"/>
        <w:spacing w:after="240"/>
      </w:pPr>
      <w:r w:rsidRPr="001E0F7B">
        <w:t xml:space="preserve">27. Pavlidis, P., Zivkovic, D., Stamatakis, A. &amp; Alachiotis, N. 2013 SweeD: likelihood-based detection of selective sweeps in thousands of genomes. </w:t>
      </w:r>
      <w:r w:rsidRPr="001E0F7B">
        <w:rPr>
          <w:i/>
        </w:rPr>
        <w:t>Mol Biol Evol</w:t>
      </w:r>
      <w:r w:rsidRPr="001E0F7B">
        <w:t xml:space="preserve"> </w:t>
      </w:r>
      <w:r w:rsidRPr="001E0F7B">
        <w:rPr>
          <w:b/>
        </w:rPr>
        <w:t>30</w:t>
      </w:r>
      <w:r w:rsidRPr="001E0F7B">
        <w:t>, 2224-2234. (DOI:10.1093/molbev/mst112).</w:t>
      </w:r>
    </w:p>
    <w:p w:rsidR="00260DEB" w:rsidRPr="001E0F7B" w:rsidRDefault="00260DEB" w:rsidP="001E0F7B">
      <w:pPr>
        <w:pStyle w:val="EndNoteBibliography"/>
        <w:spacing w:after="240"/>
      </w:pPr>
      <w:r w:rsidRPr="001E0F7B">
        <w:t xml:space="preserve">28. Lawrence, M., Huber, W., Pages, H., Aboyoun, P., Carlson, M., Gentleman, R., Morgan, M. T. &amp; Carey, V. J. 2013 Software for computing and annotating genomic ranges. </w:t>
      </w:r>
      <w:r w:rsidRPr="001E0F7B">
        <w:rPr>
          <w:i/>
        </w:rPr>
        <w:t>PLoS Comput Biol</w:t>
      </w:r>
      <w:r w:rsidRPr="001E0F7B">
        <w:t xml:space="preserve"> </w:t>
      </w:r>
      <w:r w:rsidRPr="001E0F7B">
        <w:rPr>
          <w:b/>
        </w:rPr>
        <w:t>9</w:t>
      </w:r>
      <w:r w:rsidRPr="001E0F7B">
        <w:t>, e1003118. (DOI:10.1371/journal.pcbi.1003118).</w:t>
      </w:r>
    </w:p>
    <w:p w:rsidR="00260DEB" w:rsidRPr="001E0F7B" w:rsidRDefault="00260DEB" w:rsidP="001E0F7B">
      <w:pPr>
        <w:pStyle w:val="EndNoteBibliography"/>
        <w:spacing w:after="240"/>
      </w:pPr>
      <w:r w:rsidRPr="001E0F7B">
        <w:t xml:space="preserve">29. Emms, D. M. &amp; Kelly, S. 2015 OrthoFinder: solving fundamental biases in whole genome comparisons dramatically improves orthogroup inference accuracy. </w:t>
      </w:r>
      <w:r w:rsidRPr="001E0F7B">
        <w:rPr>
          <w:i/>
        </w:rPr>
        <w:t>Genome Biol</w:t>
      </w:r>
      <w:r w:rsidRPr="001E0F7B">
        <w:t xml:space="preserve"> </w:t>
      </w:r>
      <w:r w:rsidRPr="001E0F7B">
        <w:rPr>
          <w:b/>
        </w:rPr>
        <w:t>16</w:t>
      </w:r>
      <w:r w:rsidRPr="001E0F7B">
        <w:t>, 157. (DOI:10.1186/s13059-015-0721-2).</w:t>
      </w:r>
    </w:p>
    <w:p w:rsidR="00260DEB" w:rsidRPr="001E0F7B" w:rsidRDefault="00260DEB" w:rsidP="001E0F7B">
      <w:pPr>
        <w:pStyle w:val="EndNoteBibliography"/>
        <w:spacing w:after="240"/>
      </w:pPr>
      <w:r w:rsidRPr="001E0F7B">
        <w:t xml:space="preserve">30. Rawat, V., Abdelsamad, A., Pietzenuk, B., Seymour, D. K., Koenig, D., Weigel, D., Pecinka, A. &amp; Schneeberger, K. 2015 Improving the Annotation of </w:t>
      </w:r>
      <w:r w:rsidRPr="001E0F7B">
        <w:rPr>
          <w:i/>
        </w:rPr>
        <w:t>Arabidopsis lyrata</w:t>
      </w:r>
      <w:r w:rsidRPr="001E0F7B">
        <w:t xml:space="preserve"> Using RNA-Seq Data. </w:t>
      </w:r>
      <w:r w:rsidRPr="001E0F7B">
        <w:rPr>
          <w:i/>
        </w:rPr>
        <w:t>PLoS One</w:t>
      </w:r>
      <w:r w:rsidRPr="001E0F7B">
        <w:t xml:space="preserve"> </w:t>
      </w:r>
      <w:r w:rsidRPr="001E0F7B">
        <w:rPr>
          <w:b/>
        </w:rPr>
        <w:t>10</w:t>
      </w:r>
      <w:r w:rsidRPr="001E0F7B">
        <w:t>, e0137391. (DOI:10.1371/journal.pone.0137391).</w:t>
      </w:r>
    </w:p>
    <w:p w:rsidR="00260DEB" w:rsidRPr="001E0F7B" w:rsidRDefault="00260DEB" w:rsidP="001E0F7B">
      <w:pPr>
        <w:pStyle w:val="EndNoteBibliography"/>
        <w:spacing w:after="240"/>
      </w:pPr>
      <w:r w:rsidRPr="001E0F7B">
        <w:t xml:space="preserve">31. Goodstein, D. M., Shu, S., Howson, R., Neupane, R., Hayes, R. D., Fazo, J., Mitros, T., Dirks, W., Hellsten, U., Putnam, N., et al. 2012 Phytozome: a comparative platform for green plant genomics. </w:t>
      </w:r>
      <w:r w:rsidRPr="001E0F7B">
        <w:rPr>
          <w:i/>
        </w:rPr>
        <w:t>Nucleic Acids Res</w:t>
      </w:r>
      <w:r w:rsidRPr="001E0F7B">
        <w:t xml:space="preserve"> </w:t>
      </w:r>
      <w:r w:rsidRPr="001E0F7B">
        <w:rPr>
          <w:b/>
        </w:rPr>
        <w:t>40</w:t>
      </w:r>
      <w:r w:rsidRPr="001E0F7B">
        <w:t>, D1178-1186. (DOI:10.1093/nar/gkr944).</w:t>
      </w:r>
    </w:p>
    <w:p w:rsidR="00260DEB" w:rsidRPr="001E0F7B" w:rsidRDefault="00260DEB" w:rsidP="001E0F7B">
      <w:pPr>
        <w:pStyle w:val="EndNoteBibliography"/>
        <w:spacing w:after="240"/>
      </w:pPr>
      <w:r w:rsidRPr="001E0F7B">
        <w:t xml:space="preserve">32. Altschul, S. F. 1990 Basic Local Alignment Search Tool. </w:t>
      </w:r>
      <w:r w:rsidRPr="001E0F7B">
        <w:rPr>
          <w:i/>
        </w:rPr>
        <w:t>J. Mol. Biol.</w:t>
      </w:r>
      <w:r w:rsidRPr="001E0F7B">
        <w:t xml:space="preserve"> </w:t>
      </w:r>
      <w:r w:rsidRPr="001E0F7B">
        <w:rPr>
          <w:b/>
        </w:rPr>
        <w:t>215</w:t>
      </w:r>
      <w:r w:rsidRPr="001E0F7B">
        <w:t>, 403-410. (DOI:0022-2836/90/190403-08).</w:t>
      </w:r>
    </w:p>
    <w:p w:rsidR="00260DEB" w:rsidRPr="001E0F7B" w:rsidRDefault="00260DEB" w:rsidP="001E0F7B">
      <w:pPr>
        <w:pStyle w:val="EndNoteBibliography"/>
        <w:spacing w:after="240"/>
      </w:pPr>
      <w:r w:rsidRPr="001E0F7B">
        <w:t xml:space="preserve">33. Cingolani, P., Platts, A., Wang le, L., Coon, M., Nguyen, T., Wang, L., Land, S. J., Lu, X. &amp; Ruden, D. M. 2012 A program for annotating and predicting the effects of single nucleotide polymorphisms, SnpEff: SNPs in the genome of </w:t>
      </w:r>
      <w:r w:rsidRPr="001E0F7B">
        <w:rPr>
          <w:i/>
        </w:rPr>
        <w:t>Drosophila melanogaster</w:t>
      </w:r>
      <w:r w:rsidRPr="001E0F7B">
        <w:t xml:space="preserve"> strain w1118; iso-2; iso-3. </w:t>
      </w:r>
      <w:r w:rsidRPr="001E0F7B">
        <w:rPr>
          <w:i/>
        </w:rPr>
        <w:t>Fly (Austin)</w:t>
      </w:r>
      <w:r w:rsidRPr="001E0F7B">
        <w:t xml:space="preserve"> </w:t>
      </w:r>
      <w:r w:rsidRPr="001E0F7B">
        <w:rPr>
          <w:b/>
        </w:rPr>
        <w:t>6</w:t>
      </w:r>
      <w:r w:rsidRPr="001E0F7B">
        <w:t>, 80-92. (DOI:10.4161/fly.19695).</w:t>
      </w:r>
    </w:p>
    <w:p w:rsidR="00260DEB" w:rsidRPr="001E0F7B" w:rsidRDefault="00260DEB" w:rsidP="001E0F7B">
      <w:pPr>
        <w:pStyle w:val="EndNoteBibliography"/>
        <w:spacing w:after="240"/>
      </w:pPr>
      <w:r w:rsidRPr="001E0F7B">
        <w:t xml:space="preserve">34. Quinlan, A. R. &amp; Hall, I. M. 2010 BEDTools: a flexible suite of utilities for comparing genomic features. </w:t>
      </w:r>
      <w:r w:rsidRPr="001E0F7B">
        <w:rPr>
          <w:i/>
        </w:rPr>
        <w:t>Bioinformatics</w:t>
      </w:r>
      <w:r w:rsidRPr="001E0F7B">
        <w:t xml:space="preserve"> </w:t>
      </w:r>
      <w:r w:rsidRPr="001E0F7B">
        <w:rPr>
          <w:b/>
        </w:rPr>
        <w:t>26</w:t>
      </w:r>
      <w:r w:rsidRPr="001E0F7B">
        <w:t>, 841-842. (DOI:10.1093/bioinformatics/btq033).</w:t>
      </w:r>
    </w:p>
    <w:p w:rsidR="00260DEB" w:rsidRPr="001E0F7B" w:rsidRDefault="00260DEB" w:rsidP="001E0F7B">
      <w:pPr>
        <w:pStyle w:val="EndNoteBibliography"/>
        <w:spacing w:after="240"/>
      </w:pPr>
      <w:r w:rsidRPr="001E0F7B">
        <w:t>35. Dowle, M. &amp; Srinivasan, A. 2017 data.table: Extension of `data.frame`.</w:t>
      </w:r>
    </w:p>
    <w:p w:rsidR="00260DEB" w:rsidRPr="001E0F7B" w:rsidRDefault="00260DEB" w:rsidP="001E0F7B">
      <w:pPr>
        <w:pStyle w:val="EndNoteBibliography"/>
        <w:spacing w:after="240"/>
      </w:pPr>
      <w:r w:rsidRPr="001E0F7B">
        <w:t xml:space="preserve">36. Briskine, R. V., Paape, T., Shimizu-Inatsugi, R., Nishiyama, T., Akama, S., Sese, J. &amp; Shimizu, K. K. 2017 Genome assembly and annotation of </w:t>
      </w:r>
      <w:r w:rsidRPr="001E0F7B">
        <w:rPr>
          <w:i/>
        </w:rPr>
        <w:t>Arabidopsis halleri</w:t>
      </w:r>
      <w:r w:rsidRPr="001E0F7B">
        <w:t xml:space="preserve">, a model for heavy metal hyperaccumulation and evolutionary ecology. </w:t>
      </w:r>
      <w:r w:rsidRPr="001E0F7B">
        <w:rPr>
          <w:i/>
        </w:rPr>
        <w:t>Mol Ecol Resour</w:t>
      </w:r>
      <w:r w:rsidRPr="001E0F7B">
        <w:t xml:space="preserve"> </w:t>
      </w:r>
      <w:r w:rsidRPr="001E0F7B">
        <w:rPr>
          <w:b/>
        </w:rPr>
        <w:t>17</w:t>
      </w:r>
      <w:r w:rsidRPr="001E0F7B">
        <w:t>, 1025-1036. (DOI:10.1111/1755-0998.12604).</w:t>
      </w:r>
    </w:p>
    <w:p w:rsidR="00260DEB" w:rsidRPr="001E0F7B" w:rsidRDefault="00260DEB" w:rsidP="001E0F7B">
      <w:pPr>
        <w:pStyle w:val="EndNoteBibliography"/>
        <w:spacing w:after="240"/>
      </w:pPr>
      <w:r w:rsidRPr="001E0F7B">
        <w:t xml:space="preserve">37. Oliveros, J. C. 2007-2015 Venny. An interactive tool for comparing lists with Venn´s diagrams. </w:t>
      </w:r>
      <w:r w:rsidRPr="00260DEB">
        <w:t>http://bioinfogp.cnb.csic.es/tools/venny/index.html</w:t>
      </w:r>
      <w:r w:rsidRPr="001E0F7B">
        <w:t>.</w:t>
      </w:r>
    </w:p>
    <w:p w:rsidR="00260DEB" w:rsidRPr="001E0F7B" w:rsidRDefault="00260DEB" w:rsidP="001E0F7B">
      <w:pPr>
        <w:pStyle w:val="EndNoteBibliography"/>
        <w:spacing w:after="240"/>
      </w:pPr>
      <w:r w:rsidRPr="001E0F7B">
        <w:lastRenderedPageBreak/>
        <w:t xml:space="preserve">38. Bindea, G., Mlecnik, B., Hackl, H., Charoentong, P., Tosolini, M., Kirilovsky, A., Fridman, W. H., Pages, F., Trajanoski, Z. &amp; Galon, J. 2009 ClueGO: a Cytoscape plug-in to decipher functionally grouped gene ontology and pathway annotation networks. </w:t>
      </w:r>
      <w:r w:rsidRPr="001E0F7B">
        <w:rPr>
          <w:i/>
        </w:rPr>
        <w:t>Bioinformatics</w:t>
      </w:r>
      <w:r w:rsidRPr="001E0F7B">
        <w:t xml:space="preserve"> </w:t>
      </w:r>
      <w:r w:rsidRPr="001E0F7B">
        <w:rPr>
          <w:b/>
        </w:rPr>
        <w:t>25</w:t>
      </w:r>
      <w:r w:rsidRPr="001E0F7B">
        <w:t>, 1091-1093. (DOI:10.1093/bioinformatics/btp101).</w:t>
      </w:r>
    </w:p>
    <w:p w:rsidR="00260DEB" w:rsidRPr="001E0F7B" w:rsidRDefault="00260DEB" w:rsidP="001E0F7B">
      <w:pPr>
        <w:pStyle w:val="EndNoteBibliography"/>
        <w:spacing w:after="240"/>
      </w:pPr>
      <w:r w:rsidRPr="001E0F7B">
        <w:t xml:space="preserve">39. Shannon, P., Markiel, A., Ozier, O., Baliga, N. S., Wang, J. T., Ramage, D., Amin, N., Schwikowski, B. &amp; Ideker, T. 2003 Cytoscape: A Software Environment for Integrated Models of Biomolecular Interaction Networks. </w:t>
      </w:r>
      <w:r w:rsidRPr="001E0F7B">
        <w:rPr>
          <w:i/>
        </w:rPr>
        <w:t>Genome Research</w:t>
      </w:r>
      <w:r w:rsidRPr="001E0F7B">
        <w:t xml:space="preserve"> </w:t>
      </w:r>
      <w:r w:rsidRPr="001E0F7B">
        <w:rPr>
          <w:b/>
        </w:rPr>
        <w:t>13</w:t>
      </w:r>
      <w:r w:rsidRPr="001E0F7B">
        <w:t>, 2498-2504.</w:t>
      </w:r>
    </w:p>
    <w:p w:rsidR="00260DEB" w:rsidRPr="001E0F7B" w:rsidRDefault="00260DEB" w:rsidP="001E0F7B">
      <w:pPr>
        <w:pStyle w:val="EndNoteBibliography"/>
        <w:spacing w:after="240"/>
      </w:pPr>
      <w:r w:rsidRPr="001E0F7B">
        <w:t xml:space="preserve">40. Quinlan, A. R. 2014 BEDTools: The Swiss-Army Tool for Genome Feature Analysis. </w:t>
      </w:r>
      <w:r w:rsidRPr="001E0F7B">
        <w:rPr>
          <w:i/>
        </w:rPr>
        <w:t>Curr Protoc Bioinformatics</w:t>
      </w:r>
      <w:r w:rsidRPr="001E0F7B">
        <w:t xml:space="preserve"> </w:t>
      </w:r>
      <w:r w:rsidRPr="001E0F7B">
        <w:rPr>
          <w:b/>
        </w:rPr>
        <w:t>47</w:t>
      </w:r>
      <w:r w:rsidRPr="001E0F7B">
        <w:t>, 11 12 11-34. (DOI:10.1002/0471250953.bi1112s47).</w:t>
      </w:r>
    </w:p>
    <w:p w:rsidR="00260DEB" w:rsidRPr="001E0F7B" w:rsidRDefault="00260DEB" w:rsidP="001E0F7B">
      <w:pPr>
        <w:pStyle w:val="EndNoteBibliography"/>
      </w:pPr>
      <w:r w:rsidRPr="001E0F7B">
        <w:t xml:space="preserve">41. Gunther, T. &amp; Coop, G. 2013 Robust identification of local adaptation from allele frequencies. </w:t>
      </w:r>
      <w:r w:rsidRPr="001E0F7B">
        <w:rPr>
          <w:i/>
        </w:rPr>
        <w:t>Genetics</w:t>
      </w:r>
      <w:r w:rsidRPr="001E0F7B">
        <w:t xml:space="preserve"> </w:t>
      </w:r>
      <w:r w:rsidRPr="001E0F7B">
        <w:rPr>
          <w:b/>
        </w:rPr>
        <w:t>195</w:t>
      </w:r>
      <w:r w:rsidRPr="001E0F7B">
        <w:t>, 205-220. (DOI:10.1534/genetics.113.152462).</w:t>
      </w:r>
    </w:p>
    <w:p w:rsidR="00260DEB" w:rsidRPr="00AA705E" w:rsidRDefault="00260DEB" w:rsidP="000862A4">
      <w:pPr>
        <w:spacing w:after="120" w:line="288" w:lineRule="auto"/>
        <w:rPr>
          <w:rFonts w:ascii="Arial" w:hAnsi="Arial" w:cs="Arial"/>
          <w:sz w:val="24"/>
          <w:szCs w:val="24"/>
        </w:rPr>
      </w:pPr>
    </w:p>
    <w:p w:rsidR="00F35118" w:rsidRDefault="00F35118"/>
    <w:sectPr w:rsidR="00F35118" w:rsidSect="00022561">
      <w:foot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970" w:rsidRDefault="00384970">
      <w:pPr>
        <w:spacing w:after="0" w:line="240" w:lineRule="auto"/>
      </w:pPr>
      <w:r>
        <w:separator/>
      </w:r>
    </w:p>
  </w:endnote>
  <w:endnote w:type="continuationSeparator" w:id="0">
    <w:p w:rsidR="00384970" w:rsidRDefault="0038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0779"/>
      <w:docPartObj>
        <w:docPartGallery w:val="Page Numbers (Bottom of Page)"/>
        <w:docPartUnique/>
      </w:docPartObj>
    </w:sdtPr>
    <w:sdtEndPr>
      <w:rPr>
        <w:noProof/>
      </w:rPr>
    </w:sdtEndPr>
    <w:sdtContent>
      <w:p w:rsidR="00632BAF" w:rsidRDefault="00260DE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32BAF" w:rsidRDefault="0038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970" w:rsidRDefault="00384970">
      <w:pPr>
        <w:spacing w:after="0" w:line="240" w:lineRule="auto"/>
      </w:pPr>
      <w:r>
        <w:separator/>
      </w:r>
    </w:p>
  </w:footnote>
  <w:footnote w:type="continuationSeparator" w:id="0">
    <w:p w:rsidR="00384970" w:rsidRDefault="00384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60DEB"/>
    <w:rsid w:val="00022561"/>
    <w:rsid w:val="00260DEB"/>
    <w:rsid w:val="00384970"/>
    <w:rsid w:val="00F3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CD372"/>
  <w15:docId w15:val="{E74F951B-07A6-5649-A711-5F19C79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DE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0D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260DEB"/>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260DEB"/>
    <w:rPr>
      <w:sz w:val="16"/>
      <w:szCs w:val="16"/>
    </w:rPr>
  </w:style>
  <w:style w:type="paragraph" w:styleId="BalloonText">
    <w:name w:val="Balloon Text"/>
    <w:basedOn w:val="Normal"/>
    <w:link w:val="BalloonTextChar"/>
    <w:uiPriority w:val="99"/>
    <w:semiHidden/>
    <w:unhideWhenUsed/>
    <w:rsid w:val="00260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EB"/>
    <w:rPr>
      <w:rFonts w:ascii="Segoe UI" w:hAnsi="Segoe UI" w:cs="Segoe UI"/>
      <w:sz w:val="18"/>
      <w:szCs w:val="18"/>
      <w:lang w:val="en-GB"/>
    </w:rPr>
  </w:style>
  <w:style w:type="paragraph" w:customStyle="1" w:styleId="indentbody">
    <w:name w:val="indent_body"/>
    <w:qFormat/>
    <w:rsid w:val="00260DEB"/>
    <w:pPr>
      <w:pBdr>
        <w:top w:val="nil"/>
        <w:left w:val="nil"/>
        <w:bottom w:val="nil"/>
        <w:right w:val="nil"/>
        <w:between w:val="nil"/>
        <w:bar w:val="nil"/>
      </w:pBdr>
      <w:spacing w:before="120" w:after="120" w:line="288" w:lineRule="auto"/>
      <w:ind w:firstLine="567"/>
    </w:pPr>
    <w:rPr>
      <w:rFonts w:ascii="Helvetica" w:eastAsia="Arial Unicode MS" w:hAnsi="Helvetica" w:cs="Arial Unicode MS"/>
      <w:color w:val="000000"/>
      <w:sz w:val="24"/>
      <w:szCs w:val="24"/>
      <w:bdr w:val="nil"/>
      <w:lang w:eastAsia="de-DE"/>
    </w:rPr>
  </w:style>
  <w:style w:type="paragraph" w:styleId="CommentSubject">
    <w:name w:val="annotation subject"/>
    <w:basedOn w:val="CommentText"/>
    <w:next w:val="CommentText"/>
    <w:link w:val="CommentSubjectChar"/>
    <w:uiPriority w:val="99"/>
    <w:semiHidden/>
    <w:unhideWhenUsed/>
    <w:rsid w:val="00260D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b/>
      <w:bCs/>
      <w:lang w:val="en-GB"/>
    </w:rPr>
  </w:style>
  <w:style w:type="character" w:customStyle="1" w:styleId="CommentSubjectChar">
    <w:name w:val="Comment Subject Char"/>
    <w:basedOn w:val="CommentTextChar"/>
    <w:link w:val="CommentSubject"/>
    <w:uiPriority w:val="99"/>
    <w:semiHidden/>
    <w:rsid w:val="00260DEB"/>
    <w:rPr>
      <w:rFonts w:ascii="Times New Roman" w:eastAsia="Arial Unicode MS" w:hAnsi="Times New Roman" w:cs="Times New Roman"/>
      <w:b/>
      <w:bCs/>
      <w:sz w:val="20"/>
      <w:szCs w:val="20"/>
      <w:bdr w:val="nil"/>
      <w:lang w:val="en-GB"/>
    </w:rPr>
  </w:style>
  <w:style w:type="paragraph" w:styleId="Header">
    <w:name w:val="header"/>
    <w:basedOn w:val="Normal"/>
    <w:link w:val="HeaderChar"/>
    <w:uiPriority w:val="99"/>
    <w:unhideWhenUsed/>
    <w:rsid w:val="00260D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0DEB"/>
    <w:rPr>
      <w:lang w:val="en-GB"/>
    </w:rPr>
  </w:style>
  <w:style w:type="paragraph" w:styleId="Footer">
    <w:name w:val="footer"/>
    <w:basedOn w:val="Normal"/>
    <w:link w:val="FooterChar"/>
    <w:uiPriority w:val="99"/>
    <w:unhideWhenUsed/>
    <w:rsid w:val="00260D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DEB"/>
    <w:rPr>
      <w:lang w:val="en-GB"/>
    </w:rPr>
  </w:style>
  <w:style w:type="paragraph" w:customStyle="1" w:styleId="Body">
    <w:name w:val="Body"/>
    <w:rsid w:val="00260DEB"/>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de-DE"/>
    </w:rPr>
  </w:style>
  <w:style w:type="character" w:styleId="Hyperlink">
    <w:name w:val="Hyperlink"/>
    <w:rsid w:val="00260DEB"/>
    <w:rPr>
      <w:u w:val="single"/>
    </w:rPr>
  </w:style>
  <w:style w:type="character" w:customStyle="1" w:styleId="Hyperlink0">
    <w:name w:val="Hyperlink.0"/>
    <w:basedOn w:val="Hyperlink"/>
    <w:rsid w:val="00260DEB"/>
    <w:rPr>
      <w:u w:val="single"/>
    </w:rPr>
  </w:style>
  <w:style w:type="paragraph" w:customStyle="1" w:styleId="Default">
    <w:name w:val="Default"/>
    <w:rsid w:val="00260DE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customStyle="1" w:styleId="None">
    <w:name w:val="None"/>
    <w:rsid w:val="00260DEB"/>
  </w:style>
  <w:style w:type="character" w:customStyle="1" w:styleId="Hyperlink1">
    <w:name w:val="Hyperlink.1"/>
    <w:basedOn w:val="None"/>
    <w:rsid w:val="00260DEB"/>
    <w:rPr>
      <w:color w:val="0000EE"/>
      <w:u w:val="single"/>
    </w:rPr>
  </w:style>
  <w:style w:type="paragraph" w:customStyle="1" w:styleId="EndNoteBibliographyTitle">
    <w:name w:val="EndNote Bibliography Title"/>
    <w:basedOn w:val="Normal"/>
    <w:link w:val="EndNoteBibliographyTitleChar"/>
    <w:rsid w:val="00260DEB"/>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260DEB"/>
    <w:rPr>
      <w:rFonts w:ascii="Arial" w:hAnsi="Arial" w:cs="Arial"/>
      <w:noProof/>
    </w:rPr>
  </w:style>
  <w:style w:type="paragraph" w:customStyle="1" w:styleId="EndNoteBibliography">
    <w:name w:val="EndNote Bibliography"/>
    <w:basedOn w:val="Normal"/>
    <w:link w:val="EndNoteBibliographyChar"/>
    <w:rsid w:val="00260DEB"/>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260DEB"/>
    <w:rPr>
      <w:rFonts w:ascii="Arial" w:hAnsi="Arial" w:cs="Arial"/>
      <w:noProof/>
    </w:rPr>
  </w:style>
  <w:style w:type="paragraph" w:styleId="NormalWeb">
    <w:name w:val="Normal (Web)"/>
    <w:basedOn w:val="Normal"/>
    <w:uiPriority w:val="99"/>
    <w:unhideWhenUsed/>
    <w:rsid w:val="00260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Levi Yant</cp:lastModifiedBy>
  <cp:revision>2</cp:revision>
  <dcterms:created xsi:type="dcterms:W3CDTF">2018-10-19T14:15:00Z</dcterms:created>
  <dcterms:modified xsi:type="dcterms:W3CDTF">2018-10-21T14:55:00Z</dcterms:modified>
</cp:coreProperties>
</file>