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C2B" w:rsidRPr="00E02C2B" w:rsidRDefault="00E02C2B" w:rsidP="00E02C2B">
      <w:pPr>
        <w:rPr>
          <w:b/>
          <w:szCs w:val="24"/>
          <w:lang w:val="en-US" w:eastAsia="en-US"/>
        </w:rPr>
      </w:pPr>
      <w:r w:rsidRPr="00E02C2B">
        <w:rPr>
          <w:rFonts w:ascii="Arial" w:hAnsi="Arial" w:cs="Arial"/>
          <w:b/>
          <w:color w:val="000000"/>
          <w:szCs w:val="24"/>
          <w:lang w:val="en-US" w:eastAsia="en-US"/>
        </w:rPr>
        <w:t>Appendix B:</w:t>
      </w:r>
      <w:r>
        <w:rPr>
          <w:rFonts w:ascii="Arial" w:hAnsi="Arial" w:cs="Arial"/>
          <w:b/>
          <w:color w:val="000000"/>
          <w:szCs w:val="24"/>
          <w:lang w:val="en-US" w:eastAsia="en-US"/>
        </w:rPr>
        <w:t xml:space="preserve"> Epidemiological Modelling Tool</w:t>
      </w:r>
    </w:p>
    <w:p w:rsidR="00E02C2B" w:rsidRPr="008D7A68" w:rsidRDefault="00E02C2B" w:rsidP="00E02C2B">
      <w:pPr>
        <w:rPr>
          <w:szCs w:val="24"/>
          <w:lang w:val="en-US" w:eastAsia="en-US"/>
        </w:rPr>
      </w:pPr>
    </w:p>
    <w:p w:rsidR="00E02C2B" w:rsidRPr="008D7A68" w:rsidRDefault="00E02C2B" w:rsidP="00E02C2B">
      <w:pPr>
        <w:rPr>
          <w:szCs w:val="24"/>
          <w:lang w:val="en-US" w:eastAsia="en-US"/>
        </w:rPr>
      </w:pPr>
      <w:r w:rsidRPr="008D7A68">
        <w:rPr>
          <w:rFonts w:ascii="Arial" w:hAnsi="Arial" w:cs="Arial"/>
          <w:color w:val="000000"/>
          <w:sz w:val="22"/>
          <w:szCs w:val="22"/>
          <w:lang w:val="en-US" w:eastAsia="en-US"/>
        </w:rPr>
        <w:t>Disease Spread Model:</w:t>
      </w:r>
    </w:p>
    <w:p w:rsidR="00E02C2B" w:rsidRPr="008D7A68" w:rsidRDefault="00E02C2B" w:rsidP="00E02C2B">
      <w:pPr>
        <w:rPr>
          <w:szCs w:val="24"/>
          <w:lang w:val="en-US" w:eastAsia="en-US"/>
        </w:rPr>
      </w:pPr>
    </w:p>
    <w:p w:rsidR="00E02C2B" w:rsidRPr="008D7A68" w:rsidRDefault="00E02C2B" w:rsidP="00E02C2B">
      <w:pPr>
        <w:rPr>
          <w:szCs w:val="24"/>
          <w:lang w:val="en-US" w:eastAsia="en-US"/>
        </w:rPr>
      </w:pPr>
      <w:r w:rsidRPr="008D7A68">
        <w:rPr>
          <w:rFonts w:ascii="Arial" w:hAnsi="Arial" w:cs="Arial"/>
          <w:color w:val="000000"/>
          <w:sz w:val="20"/>
          <w:lang w:val="en-US" w:eastAsia="en-US"/>
        </w:rPr>
        <w:t xml:space="preserve">To model disease spread in Oregon, we expanded upon a pre-existing modelling framework originally developed to simulate the spread of </w:t>
      </w:r>
      <w:r w:rsidRPr="008D7A68">
        <w:rPr>
          <w:rFonts w:ascii="Arial" w:hAnsi="Arial" w:cs="Arial"/>
          <w:i/>
          <w:iCs/>
          <w:color w:val="000000"/>
          <w:sz w:val="20"/>
          <w:lang w:val="en-US" w:eastAsia="en-US"/>
        </w:rPr>
        <w:t xml:space="preserve">P. </w:t>
      </w:r>
      <w:proofErr w:type="spellStart"/>
      <w:r w:rsidRPr="008D7A68">
        <w:rPr>
          <w:rFonts w:ascii="Arial" w:hAnsi="Arial" w:cs="Arial"/>
          <w:i/>
          <w:iCs/>
          <w:color w:val="000000"/>
          <w:sz w:val="20"/>
          <w:lang w:val="en-US" w:eastAsia="en-US"/>
        </w:rPr>
        <w:t>ramorum</w:t>
      </w:r>
      <w:proofErr w:type="spellEnd"/>
      <w:r w:rsidRPr="008D7A68">
        <w:rPr>
          <w:rFonts w:ascii="Arial" w:hAnsi="Arial" w:cs="Arial"/>
          <w:color w:val="000000"/>
          <w:sz w:val="20"/>
          <w:lang w:val="en-US" w:eastAsia="en-US"/>
        </w:rPr>
        <w:t xml:space="preserve"> in California [1-3]. While most epidemiological processes are the same in these two regions, key differences exist. In California, disease spread is predominantly influenced by two high-competency host trees: California bay laurel (</w:t>
      </w:r>
      <w:proofErr w:type="spellStart"/>
      <w:r w:rsidRPr="008D7A68">
        <w:rPr>
          <w:rFonts w:ascii="Arial" w:hAnsi="Arial" w:cs="Arial"/>
          <w:i/>
          <w:iCs/>
          <w:color w:val="000000"/>
          <w:sz w:val="20"/>
          <w:lang w:val="en-US" w:eastAsia="en-US"/>
        </w:rPr>
        <w:t>Umbellularia</w:t>
      </w:r>
      <w:proofErr w:type="spellEnd"/>
      <w:r w:rsidRPr="008D7A68">
        <w:rPr>
          <w:rFonts w:ascii="Arial" w:hAnsi="Arial" w:cs="Arial"/>
          <w:i/>
          <w:iCs/>
          <w:color w:val="000000"/>
          <w:sz w:val="20"/>
          <w:lang w:val="en-US" w:eastAsia="en-US"/>
        </w:rPr>
        <w:t xml:space="preserve"> </w:t>
      </w:r>
      <w:proofErr w:type="spellStart"/>
      <w:r w:rsidRPr="008D7A68">
        <w:rPr>
          <w:rFonts w:ascii="Arial" w:hAnsi="Arial" w:cs="Arial"/>
          <w:i/>
          <w:iCs/>
          <w:color w:val="000000"/>
          <w:sz w:val="20"/>
          <w:lang w:val="en-US" w:eastAsia="en-US"/>
        </w:rPr>
        <w:t>californica</w:t>
      </w:r>
      <w:proofErr w:type="spellEnd"/>
      <w:r w:rsidRPr="008D7A68">
        <w:rPr>
          <w:rFonts w:ascii="Arial" w:hAnsi="Arial" w:cs="Arial"/>
          <w:color w:val="000000"/>
          <w:sz w:val="20"/>
          <w:lang w:val="en-US" w:eastAsia="en-US"/>
        </w:rPr>
        <w:t>) and tanoak (</w:t>
      </w:r>
      <w:proofErr w:type="spellStart"/>
      <w:r w:rsidRPr="008D7A68">
        <w:rPr>
          <w:rFonts w:ascii="Arial" w:hAnsi="Arial" w:cs="Arial"/>
          <w:i/>
          <w:iCs/>
          <w:color w:val="000000"/>
          <w:sz w:val="20"/>
          <w:lang w:val="en-US" w:eastAsia="en-US"/>
        </w:rPr>
        <w:t>Notholithocarpus</w:t>
      </w:r>
      <w:proofErr w:type="spellEnd"/>
      <w:r w:rsidRPr="008D7A68">
        <w:rPr>
          <w:rFonts w:ascii="Arial" w:hAnsi="Arial" w:cs="Arial"/>
          <w:i/>
          <w:iCs/>
          <w:color w:val="000000"/>
          <w:sz w:val="20"/>
          <w:lang w:val="en-US" w:eastAsia="en-US"/>
        </w:rPr>
        <w:t xml:space="preserve"> </w:t>
      </w:r>
      <w:proofErr w:type="spellStart"/>
      <w:r w:rsidRPr="008D7A68">
        <w:rPr>
          <w:rFonts w:ascii="Arial" w:hAnsi="Arial" w:cs="Arial"/>
          <w:i/>
          <w:iCs/>
          <w:color w:val="000000"/>
          <w:sz w:val="20"/>
          <w:lang w:val="en-US" w:eastAsia="en-US"/>
        </w:rPr>
        <w:t>densiflorus</w:t>
      </w:r>
      <w:proofErr w:type="spellEnd"/>
      <w:r w:rsidRPr="008D7A68">
        <w:rPr>
          <w:rFonts w:ascii="Arial" w:hAnsi="Arial" w:cs="Arial"/>
          <w:color w:val="000000"/>
          <w:sz w:val="20"/>
          <w:lang w:val="en-US" w:eastAsia="en-US"/>
        </w:rPr>
        <w:t xml:space="preserve">). For unknown reasons, California bay laurel is found to be a low-competency host in Oregon which does not contribute significantly to disease spread [4-6]. Therefore, we amended the original multi-host framework to reflect a single-host system driven by tanoak. Evidence also suggests that </w:t>
      </w:r>
      <w:r w:rsidRPr="008D7A68">
        <w:rPr>
          <w:rFonts w:ascii="Arial" w:hAnsi="Arial" w:cs="Arial"/>
          <w:i/>
          <w:iCs/>
          <w:color w:val="000000"/>
          <w:sz w:val="20"/>
          <w:lang w:val="en-US" w:eastAsia="en-US"/>
        </w:rPr>
        <w:t xml:space="preserve">P. </w:t>
      </w:r>
      <w:proofErr w:type="spellStart"/>
      <w:r w:rsidRPr="008D7A68">
        <w:rPr>
          <w:rFonts w:ascii="Arial" w:hAnsi="Arial" w:cs="Arial"/>
          <w:i/>
          <w:iCs/>
          <w:color w:val="000000"/>
          <w:sz w:val="20"/>
          <w:lang w:val="en-US" w:eastAsia="en-US"/>
        </w:rPr>
        <w:t>ramorum</w:t>
      </w:r>
      <w:proofErr w:type="spellEnd"/>
      <w:r w:rsidRPr="008D7A68">
        <w:rPr>
          <w:rFonts w:ascii="Arial" w:hAnsi="Arial" w:cs="Arial"/>
          <w:color w:val="000000"/>
          <w:sz w:val="20"/>
          <w:lang w:val="en-US" w:eastAsia="en-US"/>
        </w:rPr>
        <w:t xml:space="preserve"> is able to produce spores year-round in Oregon, likely due to wetter climatic conditions. Therefore, we removed the seasonality component which prevented spread during winter months in the California models. </w:t>
      </w:r>
    </w:p>
    <w:p w:rsidR="00E02C2B" w:rsidRPr="008D7A68" w:rsidRDefault="00E02C2B" w:rsidP="00E02C2B">
      <w:pPr>
        <w:rPr>
          <w:szCs w:val="24"/>
          <w:lang w:val="en-US" w:eastAsia="en-US"/>
        </w:rPr>
      </w:pPr>
    </w:p>
    <w:p w:rsidR="00E02C2B" w:rsidRPr="008D7A68" w:rsidRDefault="00E02C2B" w:rsidP="00E02C2B">
      <w:pPr>
        <w:rPr>
          <w:szCs w:val="24"/>
          <w:lang w:val="en-US" w:eastAsia="en-US"/>
        </w:rPr>
      </w:pPr>
      <w:r w:rsidRPr="008D7A68">
        <w:rPr>
          <w:rFonts w:ascii="Arial" w:hAnsi="Arial" w:cs="Arial"/>
          <w:color w:val="000000"/>
          <w:sz w:val="20"/>
          <w:lang w:val="en-US" w:eastAsia="en-US"/>
        </w:rPr>
        <w:t xml:space="preserve">The intensive management in Oregon presents a challenge for model parameterization and validation because it obscures natural patterns of disease transmission [5]. Due to this limitation, the model was parameterized based on natural spread conditions in Northern California following the Markov chain Monte Carlo (MCMC) process described in [2]. While there are some differences in epidemiology, this area is a tanoak-heavy ecosystem and we felt it provided a reasonable approximation for this case study. Prior to the workshop, we performed a qualitative analysis as described in [2], where we compared model outputs to: 1) known infection locations in Oregon, and 2) to a map of </w:t>
      </w:r>
      <w:r w:rsidRPr="008D7A68">
        <w:rPr>
          <w:rFonts w:ascii="Arial" w:hAnsi="Arial" w:cs="Arial"/>
          <w:i/>
          <w:iCs/>
          <w:color w:val="000000"/>
          <w:sz w:val="20"/>
          <w:lang w:val="en-US" w:eastAsia="en-US"/>
        </w:rPr>
        <w:t xml:space="preserve">P. </w:t>
      </w:r>
      <w:proofErr w:type="spellStart"/>
      <w:r w:rsidRPr="008D7A68">
        <w:rPr>
          <w:rFonts w:ascii="Arial" w:hAnsi="Arial" w:cs="Arial"/>
          <w:i/>
          <w:iCs/>
          <w:color w:val="000000"/>
          <w:sz w:val="20"/>
          <w:lang w:val="en-US" w:eastAsia="en-US"/>
        </w:rPr>
        <w:t>ramorum</w:t>
      </w:r>
      <w:proofErr w:type="spellEnd"/>
      <w:r w:rsidRPr="008D7A68">
        <w:rPr>
          <w:rFonts w:ascii="Arial" w:hAnsi="Arial" w:cs="Arial"/>
          <w:color w:val="000000"/>
          <w:sz w:val="20"/>
          <w:lang w:val="en-US" w:eastAsia="en-US"/>
        </w:rPr>
        <w:t xml:space="preserve"> risk [7]. We found there was good visual correspondence between model outputs, the risk map, and known infection locations, and felt this was suitable for this stage of model development. We are currently pursuing more intensive quantitative validations which take into account the Oregon’s extensive treatments. </w:t>
      </w:r>
    </w:p>
    <w:p w:rsidR="00E02C2B" w:rsidRPr="008D7A68" w:rsidRDefault="00E02C2B" w:rsidP="00E02C2B">
      <w:pPr>
        <w:rPr>
          <w:szCs w:val="24"/>
          <w:lang w:val="en-US" w:eastAsia="en-US"/>
        </w:rPr>
      </w:pPr>
    </w:p>
    <w:p w:rsidR="00E02C2B" w:rsidRPr="008D7A68" w:rsidRDefault="00E02C2B" w:rsidP="00E02C2B">
      <w:pPr>
        <w:rPr>
          <w:szCs w:val="24"/>
          <w:lang w:val="en-US" w:eastAsia="en-US"/>
        </w:rPr>
      </w:pPr>
      <w:r w:rsidRPr="008D7A68">
        <w:rPr>
          <w:rFonts w:ascii="Arial" w:hAnsi="Arial" w:cs="Arial"/>
          <w:i/>
          <w:iCs/>
          <w:color w:val="000000"/>
          <w:sz w:val="20"/>
          <w:lang w:val="en-US" w:eastAsia="en-US"/>
        </w:rPr>
        <w:t>Data Requirements</w:t>
      </w:r>
    </w:p>
    <w:p w:rsidR="00E02C2B" w:rsidRPr="008D7A68" w:rsidRDefault="00E02C2B" w:rsidP="00E02C2B">
      <w:pPr>
        <w:rPr>
          <w:szCs w:val="24"/>
          <w:lang w:val="en-US" w:eastAsia="en-US"/>
        </w:rPr>
      </w:pPr>
      <w:r w:rsidRPr="008D7A68">
        <w:rPr>
          <w:rFonts w:ascii="Arial" w:hAnsi="Arial" w:cs="Arial"/>
          <w:color w:val="000000"/>
          <w:sz w:val="20"/>
          <w:lang w:val="en-US" w:eastAsia="en-US"/>
        </w:rPr>
        <w:t>This geospatial model requires raster inputs of host density, weekly weather conditions, and initial infection locations. Host density data for the main host, tanoak, was derived from detailed raster structure maps from the Landscape Ecology, Modeling, Mapping and Analysis (LEMMA) [8] project webpage (</w:t>
      </w:r>
      <w:hyperlink r:id="rId4" w:history="1">
        <w:r w:rsidRPr="008D7A68">
          <w:rPr>
            <w:rFonts w:ascii="Arial" w:hAnsi="Arial" w:cs="Arial"/>
            <w:color w:val="1155CC"/>
            <w:sz w:val="20"/>
            <w:u w:val="single"/>
            <w:lang w:val="en-US" w:eastAsia="en-US"/>
          </w:rPr>
          <w:t>https://lemma.forestry.oregonstate.edu/</w:t>
        </w:r>
      </w:hyperlink>
      <w:r w:rsidRPr="008D7A68">
        <w:rPr>
          <w:rFonts w:ascii="Arial" w:hAnsi="Arial" w:cs="Arial"/>
          <w:color w:val="000000"/>
          <w:sz w:val="20"/>
          <w:lang w:val="en-US" w:eastAsia="en-US"/>
        </w:rPr>
        <w:t>) using the density calculation presented in [1]. Daily values of precipitation, minimum temperature and maximum temperature were obtained as raster data from the PRISM Climate Group [9] webpage (</w:t>
      </w:r>
      <w:hyperlink r:id="rId5" w:history="1">
        <w:r w:rsidRPr="008D7A68">
          <w:rPr>
            <w:rFonts w:ascii="Arial" w:hAnsi="Arial" w:cs="Arial"/>
            <w:color w:val="1155CC"/>
            <w:sz w:val="20"/>
            <w:u w:val="single"/>
            <w:lang w:val="en-US" w:eastAsia="en-US"/>
          </w:rPr>
          <w:t>http://www.prism.oregonstate.edu/</w:t>
        </w:r>
      </w:hyperlink>
      <w:r w:rsidRPr="008D7A68">
        <w:rPr>
          <w:rFonts w:ascii="Arial" w:hAnsi="Arial" w:cs="Arial"/>
          <w:color w:val="000000"/>
          <w:sz w:val="20"/>
          <w:lang w:val="en-US" w:eastAsia="en-US"/>
        </w:rPr>
        <w:t xml:space="preserve">). Minimum and maximum temperature were converted to a measure of average temperature. These data were aggregated to a weekly </w:t>
      </w:r>
      <w:proofErr w:type="spellStart"/>
      <w:r w:rsidRPr="008D7A68">
        <w:rPr>
          <w:rFonts w:ascii="Arial" w:hAnsi="Arial" w:cs="Arial"/>
          <w:color w:val="000000"/>
          <w:sz w:val="20"/>
          <w:lang w:val="en-US" w:eastAsia="en-US"/>
        </w:rPr>
        <w:t>timestep</w:t>
      </w:r>
      <w:proofErr w:type="spellEnd"/>
      <w:r w:rsidRPr="008D7A68">
        <w:rPr>
          <w:rFonts w:ascii="Arial" w:hAnsi="Arial" w:cs="Arial"/>
          <w:color w:val="000000"/>
          <w:sz w:val="20"/>
          <w:lang w:val="en-US" w:eastAsia="en-US"/>
        </w:rPr>
        <w:t xml:space="preserve">, and converted to an index of weather suitability for disease spread based on laboratory studies as reported in [1-2]. Infection locations were acquired from the Oregon Department of Forestry’s annual survey program for 2001 through 2017. These point locations were converted to raster data representing number of infected host trees per pixel. </w:t>
      </w:r>
    </w:p>
    <w:p w:rsidR="00E02C2B" w:rsidRPr="008D7A68" w:rsidRDefault="00E02C2B" w:rsidP="00E02C2B">
      <w:pPr>
        <w:rPr>
          <w:szCs w:val="24"/>
          <w:lang w:val="en-US" w:eastAsia="en-US"/>
        </w:rPr>
      </w:pPr>
    </w:p>
    <w:p w:rsidR="00E02C2B" w:rsidRPr="008D7A68" w:rsidRDefault="00E02C2B" w:rsidP="00E02C2B">
      <w:pPr>
        <w:rPr>
          <w:szCs w:val="24"/>
          <w:lang w:val="en-US" w:eastAsia="en-US"/>
        </w:rPr>
      </w:pPr>
      <w:r w:rsidRPr="008D7A68">
        <w:rPr>
          <w:rFonts w:ascii="Arial" w:hAnsi="Arial" w:cs="Arial"/>
          <w:i/>
          <w:iCs/>
          <w:color w:val="000000"/>
          <w:sz w:val="20"/>
          <w:lang w:val="en-US" w:eastAsia="en-US"/>
        </w:rPr>
        <w:t>Model Processes</w:t>
      </w:r>
    </w:p>
    <w:p w:rsidR="00E02C2B" w:rsidRPr="008D7A68" w:rsidRDefault="00E02C2B" w:rsidP="00E02C2B">
      <w:pPr>
        <w:rPr>
          <w:szCs w:val="24"/>
          <w:lang w:val="en-US" w:eastAsia="en-US"/>
        </w:rPr>
      </w:pPr>
      <w:r w:rsidRPr="008D7A68">
        <w:rPr>
          <w:rFonts w:ascii="Arial" w:hAnsi="Arial" w:cs="Arial"/>
          <w:color w:val="000000"/>
          <w:sz w:val="20"/>
          <w:lang w:val="en-US" w:eastAsia="en-US"/>
        </w:rPr>
        <w:t>The model is a spatially-explicit susceptible-infected (SI) model consisting of three stochastic processes: sporulation, spore dispersal, and spore establishment. The amount of spores produced by an infected host is sampled each week from a Poisson distribution as described in [2]. This spore-rate corresponds to the maximum number of new infections that could be produced from an infectious host</w:t>
      </w:r>
      <w:r>
        <w:rPr>
          <w:rFonts w:ascii="Arial" w:hAnsi="Arial" w:cs="Arial"/>
          <w:color w:val="000000"/>
          <w:sz w:val="20"/>
          <w:lang w:val="en-US" w:eastAsia="en-US"/>
        </w:rPr>
        <w:t xml:space="preserve"> per week</w:t>
      </w:r>
      <w:r w:rsidRPr="008D7A68">
        <w:rPr>
          <w:rFonts w:ascii="Arial" w:hAnsi="Arial" w:cs="Arial"/>
          <w:color w:val="000000"/>
          <w:sz w:val="20"/>
          <w:lang w:val="en-US" w:eastAsia="en-US"/>
        </w:rPr>
        <w:t xml:space="preserve">, and is moderated by the weather conditions during that week. </w:t>
      </w:r>
    </w:p>
    <w:p w:rsidR="00E02C2B" w:rsidRPr="008D7A68" w:rsidRDefault="00E02C2B" w:rsidP="00E02C2B">
      <w:pPr>
        <w:rPr>
          <w:szCs w:val="24"/>
          <w:lang w:val="en-US" w:eastAsia="en-US"/>
        </w:rPr>
      </w:pPr>
    </w:p>
    <w:p w:rsidR="00E02C2B" w:rsidRPr="008D7A68" w:rsidRDefault="00E02C2B" w:rsidP="00E02C2B">
      <w:pPr>
        <w:rPr>
          <w:szCs w:val="24"/>
          <w:lang w:val="en-US" w:eastAsia="en-US"/>
        </w:rPr>
      </w:pPr>
      <w:r w:rsidRPr="008D7A68">
        <w:rPr>
          <w:rFonts w:ascii="Arial" w:hAnsi="Arial" w:cs="Arial"/>
          <w:color w:val="000000"/>
          <w:sz w:val="20"/>
          <w:lang w:val="en-US" w:eastAsia="en-US"/>
        </w:rPr>
        <w:t xml:space="preserve">Spore dispersal is controlled by a particle-emission anisotropic process as described in [1]. The direction of dispersal is sampled from a Von Mises circular probability distribution. The predominant wind direction for this study area is north, which was used to parameterize the angular distribution for the Von Mises distribution. The dispersal distance was sampled from a Cauchy probability distribution parameterized with values from [2]. Given the comparatively small study area, we did not include the long-distance component of the dispersal kernel (which accounts for human-mediated spread on a regional scale). </w:t>
      </w:r>
    </w:p>
    <w:p w:rsidR="00E02C2B" w:rsidRPr="008D7A68" w:rsidRDefault="00E02C2B" w:rsidP="00E02C2B">
      <w:pPr>
        <w:rPr>
          <w:szCs w:val="24"/>
          <w:lang w:val="en-US" w:eastAsia="en-US"/>
        </w:rPr>
      </w:pPr>
    </w:p>
    <w:p w:rsidR="00E02C2B" w:rsidRPr="008D7A68" w:rsidRDefault="00E02C2B" w:rsidP="00E02C2B">
      <w:pPr>
        <w:rPr>
          <w:szCs w:val="24"/>
          <w:lang w:val="en-US" w:eastAsia="en-US"/>
        </w:rPr>
      </w:pPr>
      <w:r w:rsidRPr="008D7A68">
        <w:rPr>
          <w:rFonts w:ascii="Arial" w:hAnsi="Arial" w:cs="Arial"/>
          <w:color w:val="000000"/>
          <w:sz w:val="20"/>
          <w:lang w:val="en-US" w:eastAsia="en-US"/>
        </w:rPr>
        <w:t xml:space="preserve">Spore establishment is governed by a stochastic process which probabilistically challenges the cell based on the amount of susceptible host species and weekly weather conditions as described in [1]. If the value of hosts and weather suitability is higher than a randomly sampled number, one new </w:t>
      </w:r>
      <w:r w:rsidRPr="008D7A68">
        <w:rPr>
          <w:rFonts w:ascii="Arial" w:hAnsi="Arial" w:cs="Arial"/>
          <w:color w:val="000000"/>
          <w:sz w:val="20"/>
          <w:lang w:val="en-US" w:eastAsia="en-US"/>
        </w:rPr>
        <w:lastRenderedPageBreak/>
        <w:t xml:space="preserve">infection will occur in that pixel. Infections can occur both in new cells, and within a cell that the spore originated. </w:t>
      </w:r>
    </w:p>
    <w:p w:rsidR="00E02C2B" w:rsidRPr="008D7A68" w:rsidRDefault="00E02C2B" w:rsidP="00E02C2B">
      <w:pPr>
        <w:rPr>
          <w:szCs w:val="24"/>
          <w:lang w:val="en-US" w:eastAsia="en-US"/>
        </w:rPr>
      </w:pPr>
    </w:p>
    <w:p w:rsidR="00E02C2B" w:rsidRPr="008D7A68" w:rsidRDefault="00E02C2B" w:rsidP="00E02C2B">
      <w:pPr>
        <w:rPr>
          <w:szCs w:val="24"/>
          <w:lang w:val="en-US" w:eastAsia="en-US"/>
        </w:rPr>
      </w:pPr>
      <w:r w:rsidRPr="008D7A68">
        <w:rPr>
          <w:rFonts w:ascii="Arial" w:hAnsi="Arial" w:cs="Arial"/>
          <w:i/>
          <w:iCs/>
          <w:color w:val="000000"/>
          <w:sz w:val="20"/>
          <w:lang w:val="en-US" w:eastAsia="en-US"/>
        </w:rPr>
        <w:t>Case Study</w:t>
      </w:r>
    </w:p>
    <w:p w:rsidR="00E02C2B" w:rsidRPr="008D7A68" w:rsidRDefault="00E02C2B" w:rsidP="00E02C2B">
      <w:pPr>
        <w:rPr>
          <w:szCs w:val="24"/>
          <w:lang w:val="en-US" w:eastAsia="en-US"/>
        </w:rPr>
      </w:pPr>
      <w:r w:rsidRPr="008D7A68">
        <w:rPr>
          <w:rFonts w:ascii="Arial" w:hAnsi="Arial" w:cs="Arial"/>
          <w:color w:val="000000"/>
          <w:sz w:val="20"/>
          <w:lang w:val="en-US" w:eastAsia="en-US"/>
        </w:rPr>
        <w:t>The disease simulation was run in a 12x8 km area surrounding Gold Beach, Oregon, where the recent EU1</w:t>
      </w:r>
      <w:r>
        <w:rPr>
          <w:rFonts w:ascii="Arial" w:hAnsi="Arial" w:cs="Arial"/>
          <w:color w:val="000000"/>
          <w:sz w:val="20"/>
          <w:lang w:val="en-US" w:eastAsia="en-US"/>
        </w:rPr>
        <w:t xml:space="preserve"> introduction occurred</w:t>
      </w:r>
      <w:r w:rsidRPr="008D7A68">
        <w:rPr>
          <w:rFonts w:ascii="Arial" w:hAnsi="Arial" w:cs="Arial"/>
          <w:color w:val="000000"/>
          <w:sz w:val="20"/>
          <w:lang w:val="en-US" w:eastAsia="en-US"/>
        </w:rPr>
        <w:t xml:space="preserve">. Model resolution was 100m. The model was run at a weekly </w:t>
      </w:r>
      <w:proofErr w:type="spellStart"/>
      <w:r w:rsidRPr="008D7A68">
        <w:rPr>
          <w:rFonts w:ascii="Arial" w:hAnsi="Arial" w:cs="Arial"/>
          <w:color w:val="000000"/>
          <w:sz w:val="20"/>
          <w:lang w:val="en-US" w:eastAsia="en-US"/>
        </w:rPr>
        <w:t>timestep</w:t>
      </w:r>
      <w:proofErr w:type="spellEnd"/>
      <w:r w:rsidRPr="008D7A68">
        <w:rPr>
          <w:rFonts w:ascii="Arial" w:hAnsi="Arial" w:cs="Arial"/>
          <w:color w:val="000000"/>
          <w:sz w:val="20"/>
          <w:lang w:val="en-US" w:eastAsia="en-US"/>
        </w:rPr>
        <w:t xml:space="preserve"> for a period of 5 years, from 2016 to 2021, and from 2017 to 2022. </w:t>
      </w:r>
    </w:p>
    <w:p w:rsidR="00E02C2B" w:rsidRPr="008D7A68" w:rsidRDefault="00E02C2B" w:rsidP="00E02C2B">
      <w:pPr>
        <w:rPr>
          <w:szCs w:val="24"/>
          <w:lang w:val="en-US" w:eastAsia="en-US"/>
        </w:rPr>
      </w:pPr>
    </w:p>
    <w:p w:rsidR="00E02C2B" w:rsidRPr="008D7A68" w:rsidRDefault="00E02C2B" w:rsidP="00E02C2B">
      <w:pPr>
        <w:rPr>
          <w:szCs w:val="24"/>
          <w:lang w:val="en-US" w:eastAsia="en-US"/>
        </w:rPr>
      </w:pPr>
      <w:r w:rsidRPr="008D7A68">
        <w:rPr>
          <w:rFonts w:ascii="Arial" w:hAnsi="Arial" w:cs="Arial"/>
          <w:i/>
          <w:iCs/>
          <w:color w:val="000000"/>
          <w:sz w:val="20"/>
          <w:lang w:val="en-US" w:eastAsia="en-US"/>
        </w:rPr>
        <w:t>Source Code</w:t>
      </w:r>
    </w:p>
    <w:p w:rsidR="00E02C2B" w:rsidRPr="008D7A68" w:rsidRDefault="00E02C2B" w:rsidP="00E02C2B">
      <w:pPr>
        <w:rPr>
          <w:szCs w:val="24"/>
          <w:lang w:val="en-US" w:eastAsia="en-US"/>
        </w:rPr>
      </w:pPr>
      <w:r w:rsidRPr="008D7A68">
        <w:rPr>
          <w:rFonts w:ascii="Arial" w:hAnsi="Arial" w:cs="Arial"/>
          <w:color w:val="000000"/>
          <w:sz w:val="20"/>
          <w:lang w:val="en-US" w:eastAsia="en-US"/>
        </w:rPr>
        <w:t xml:space="preserve">This sudden oak death disease spread model is available as a GRASS GIS add-on module [10] (see user documentation: </w:t>
      </w:r>
      <w:hyperlink r:id="rId6" w:history="1">
        <w:r w:rsidRPr="008D7A68">
          <w:rPr>
            <w:rFonts w:ascii="Arial" w:hAnsi="Arial" w:cs="Arial"/>
            <w:color w:val="1155CC"/>
            <w:sz w:val="20"/>
            <w:u w:val="single"/>
            <w:lang w:val="en-US" w:eastAsia="en-US"/>
          </w:rPr>
          <w:t>https://grass.osgeo.org/grass74/manuals/addons/r.spread.sod.html</w:t>
        </w:r>
      </w:hyperlink>
      <w:r w:rsidRPr="008D7A68">
        <w:rPr>
          <w:rFonts w:ascii="Arial" w:hAnsi="Arial" w:cs="Arial"/>
          <w:color w:val="000000"/>
          <w:sz w:val="20"/>
          <w:lang w:val="en-US" w:eastAsia="en-US"/>
        </w:rPr>
        <w:t xml:space="preserve">). </w:t>
      </w:r>
    </w:p>
    <w:p w:rsidR="00E02C2B" w:rsidRDefault="00E02C2B" w:rsidP="00E02C2B">
      <w:pPr>
        <w:rPr>
          <w:rFonts w:ascii="Palatino-Roman" w:hAnsi="Palatino-Roman"/>
          <w:sz w:val="20"/>
        </w:rPr>
      </w:pPr>
    </w:p>
    <w:p w:rsidR="00E02C2B" w:rsidRPr="008D7A68" w:rsidRDefault="00E02C2B" w:rsidP="00E02C2B">
      <w:pPr>
        <w:rPr>
          <w:szCs w:val="24"/>
          <w:lang w:val="en-US" w:eastAsia="en-US"/>
        </w:rPr>
      </w:pPr>
      <w:r w:rsidRPr="008D7A68">
        <w:rPr>
          <w:rFonts w:ascii="Arial" w:hAnsi="Arial" w:cs="Arial"/>
          <w:color w:val="000000"/>
          <w:sz w:val="22"/>
          <w:szCs w:val="22"/>
          <w:lang w:val="en-US" w:eastAsia="en-US"/>
        </w:rPr>
        <w:t>Tangible Landscape System:</w:t>
      </w:r>
    </w:p>
    <w:p w:rsidR="00E02C2B" w:rsidRPr="008D7A68" w:rsidRDefault="00E02C2B" w:rsidP="00E02C2B">
      <w:pPr>
        <w:rPr>
          <w:szCs w:val="24"/>
          <w:lang w:val="en-US" w:eastAsia="en-US"/>
        </w:rPr>
      </w:pPr>
    </w:p>
    <w:p w:rsidR="00E02C2B" w:rsidRPr="008D7A68" w:rsidRDefault="00E02C2B" w:rsidP="00E02C2B">
      <w:pPr>
        <w:rPr>
          <w:szCs w:val="24"/>
          <w:lang w:val="en-US" w:eastAsia="en-US"/>
        </w:rPr>
      </w:pPr>
      <w:r w:rsidRPr="008D7A68">
        <w:rPr>
          <w:rFonts w:ascii="Arial" w:hAnsi="Arial" w:cs="Arial"/>
          <w:i/>
          <w:iCs/>
          <w:color w:val="000000"/>
          <w:sz w:val="20"/>
          <w:lang w:val="en-US" w:eastAsia="en-US"/>
        </w:rPr>
        <w:t>Description of Interface</w:t>
      </w:r>
    </w:p>
    <w:p w:rsidR="00E02C2B" w:rsidRPr="008D7A68" w:rsidRDefault="00E02C2B" w:rsidP="00E02C2B">
      <w:pPr>
        <w:rPr>
          <w:szCs w:val="24"/>
          <w:lang w:val="en-US" w:eastAsia="en-US"/>
        </w:rPr>
      </w:pPr>
      <w:r w:rsidRPr="008D7A68">
        <w:rPr>
          <w:rFonts w:ascii="Arial" w:hAnsi="Arial" w:cs="Arial"/>
          <w:color w:val="000000"/>
          <w:sz w:val="20"/>
          <w:lang w:val="en-US" w:eastAsia="en-US"/>
        </w:rPr>
        <w:t xml:space="preserve">Tangible Landscape is a tangible user interface (TUI) which allows users to intuitively guide a geospatial model through a series of physical actions [11]. The system consists of a scanner, a projector, a computer with GRASS GIS software, a physical landscape terrain model, and USB-enabled buttons (Figs. B1 and B2). Tangible Landscape can be used for modelling many geospatial processes, but here we </w:t>
      </w:r>
      <w:r>
        <w:rPr>
          <w:rFonts w:ascii="Arial" w:hAnsi="Arial" w:cs="Arial"/>
          <w:color w:val="000000"/>
          <w:sz w:val="20"/>
          <w:lang w:val="en-US" w:eastAsia="en-US"/>
        </w:rPr>
        <w:t xml:space="preserve">used </w:t>
      </w:r>
      <w:r w:rsidRPr="008D7A68">
        <w:rPr>
          <w:rFonts w:ascii="Arial" w:hAnsi="Arial" w:cs="Arial"/>
          <w:color w:val="000000"/>
          <w:sz w:val="20"/>
          <w:lang w:val="en-US" w:eastAsia="en-US"/>
        </w:rPr>
        <w:t xml:space="preserve">a customized set up specifically for pest and pathogen modelling [11]. Geospatial data layers, including aerial imagery, roads, property boundaries, infection locations, and host data are projected onto the physical landscape model to provide context. Users place felt markers on the landscape to represent management (e.g., culling hosts). These markers are detected by a scanner and converted to GIS polygons, which are then used to alter the host data used in the disease spread model. Disease spread is calculated using this new host input, and spread locations are projected back into the terrain model to give users a sense of how the proposed management scenario alters landscape-scale disease spread. Using the two USB-enabled buttons, users can switch back and forth between an animation of a single stochastic model iteration and a probability surface showing likelihood of infection within 10 model runs, giving users both a sense of how the disease may progress across the landscape and the stochastic uncertainty of that outcome. </w:t>
      </w:r>
    </w:p>
    <w:p w:rsidR="00E02C2B" w:rsidRPr="008D7A68" w:rsidRDefault="00E02C2B" w:rsidP="00E02C2B">
      <w:pPr>
        <w:rPr>
          <w:szCs w:val="24"/>
          <w:lang w:val="en-US" w:eastAsia="en-US"/>
        </w:rPr>
      </w:pPr>
    </w:p>
    <w:p w:rsidR="00E02C2B" w:rsidRPr="008D7A68" w:rsidRDefault="00E02C2B" w:rsidP="00E02C2B">
      <w:pPr>
        <w:rPr>
          <w:szCs w:val="24"/>
          <w:lang w:val="en-US" w:eastAsia="en-US"/>
        </w:rPr>
      </w:pPr>
      <w:r w:rsidRPr="008D7A68">
        <w:rPr>
          <w:rFonts w:ascii="Arial" w:hAnsi="Arial" w:cs="Arial"/>
          <w:i/>
          <w:iCs/>
          <w:color w:val="000000"/>
          <w:sz w:val="20"/>
          <w:lang w:val="en-US" w:eastAsia="en-US"/>
        </w:rPr>
        <w:t>Dashboards</w:t>
      </w:r>
    </w:p>
    <w:p w:rsidR="00E02C2B" w:rsidRPr="008D7A68" w:rsidRDefault="00E02C2B" w:rsidP="00E02C2B">
      <w:pPr>
        <w:rPr>
          <w:szCs w:val="24"/>
          <w:lang w:val="en-US" w:eastAsia="en-US"/>
        </w:rPr>
      </w:pPr>
      <w:r w:rsidRPr="008D7A68">
        <w:rPr>
          <w:rFonts w:ascii="Arial" w:hAnsi="Arial" w:cs="Arial"/>
          <w:color w:val="000000"/>
          <w:sz w:val="20"/>
          <w:lang w:val="en-US" w:eastAsia="en-US"/>
        </w:rPr>
        <w:t xml:space="preserve">Tangible Landscape is linked with two interactive dashboards to aid in designing and comparing management strategies. As </w:t>
      </w:r>
      <w:proofErr w:type="gramStart"/>
      <w:r w:rsidRPr="008D7A68">
        <w:rPr>
          <w:rFonts w:ascii="Arial" w:hAnsi="Arial" w:cs="Arial"/>
          <w:color w:val="000000"/>
          <w:sz w:val="20"/>
          <w:lang w:val="en-US" w:eastAsia="en-US"/>
        </w:rPr>
        <w:t>users</w:t>
      </w:r>
      <w:proofErr w:type="gramEnd"/>
      <w:r w:rsidRPr="008D7A68">
        <w:rPr>
          <w:rFonts w:ascii="Arial" w:hAnsi="Arial" w:cs="Arial"/>
          <w:color w:val="000000"/>
          <w:sz w:val="20"/>
          <w:lang w:val="en-US" w:eastAsia="en-US"/>
        </w:rPr>
        <w:t xml:space="preserve"> designate management locations, information about the area and cost of management is displayed next to the physical landscape to help guide scenario development (see steering dashboard, Fig. B2). Data from each scenario are stored in a web-based dashboard that allows users to compare dozens of scenarios simultaneously (see summary dashboard, Figs. B2 and B3). Scenarios are tracked by the name of the user who designated management locations, allowing people to track their individual model runs and </w:t>
      </w:r>
      <w:r>
        <w:rPr>
          <w:rFonts w:ascii="Arial" w:hAnsi="Arial" w:cs="Arial"/>
          <w:color w:val="000000"/>
          <w:sz w:val="20"/>
          <w:lang w:val="en-US" w:eastAsia="en-US"/>
        </w:rPr>
        <w:t>compare their results to others</w:t>
      </w:r>
      <w:r w:rsidRPr="008D7A68">
        <w:rPr>
          <w:rFonts w:ascii="Arial" w:hAnsi="Arial" w:cs="Arial"/>
          <w:color w:val="000000"/>
          <w:sz w:val="20"/>
          <w:lang w:val="en-US" w:eastAsia="en-US"/>
        </w:rPr>
        <w:t xml:space="preserve">. Metrics in the web-based dashboard include number of infected trees, number of infected hectares, money spent, area treated, and price per protected tree. </w:t>
      </w:r>
    </w:p>
    <w:p w:rsidR="00E02C2B" w:rsidRPr="008D7A68" w:rsidRDefault="00E02C2B" w:rsidP="00E02C2B">
      <w:pPr>
        <w:rPr>
          <w:szCs w:val="24"/>
          <w:lang w:val="en-US" w:eastAsia="en-US"/>
        </w:rPr>
      </w:pPr>
    </w:p>
    <w:p w:rsidR="00E02C2B" w:rsidRPr="008D7A68" w:rsidRDefault="00E02C2B" w:rsidP="00E02C2B">
      <w:pPr>
        <w:rPr>
          <w:szCs w:val="24"/>
          <w:lang w:val="en-US" w:eastAsia="en-US"/>
        </w:rPr>
      </w:pPr>
      <w:r w:rsidRPr="008D7A68">
        <w:rPr>
          <w:rFonts w:ascii="Arial" w:hAnsi="Arial" w:cs="Arial"/>
          <w:i/>
          <w:iCs/>
          <w:color w:val="000000"/>
          <w:sz w:val="20"/>
          <w:lang w:val="en-US" w:eastAsia="en-US"/>
        </w:rPr>
        <w:t>Equipment and Code</w:t>
      </w:r>
    </w:p>
    <w:p w:rsidR="00E02C2B" w:rsidRPr="008D7A68" w:rsidRDefault="00E02C2B" w:rsidP="00E02C2B">
      <w:pPr>
        <w:rPr>
          <w:szCs w:val="24"/>
          <w:lang w:val="en-US" w:eastAsia="en-US"/>
        </w:rPr>
      </w:pPr>
      <w:r w:rsidRPr="008D7A68">
        <w:rPr>
          <w:rFonts w:ascii="Arial" w:hAnsi="Arial" w:cs="Arial"/>
          <w:color w:val="000000"/>
          <w:sz w:val="20"/>
          <w:lang w:val="en-US" w:eastAsia="en-US"/>
        </w:rPr>
        <w:t xml:space="preserve">All equipment and code for Tangible Landscape is open-source and runs with GRASS GIS platform [10]. For more information about Tangible Landscape, see </w:t>
      </w:r>
      <w:hyperlink r:id="rId7" w:history="1">
        <w:r w:rsidRPr="008D7A68">
          <w:rPr>
            <w:rFonts w:ascii="Arial" w:hAnsi="Arial" w:cs="Arial"/>
            <w:color w:val="1155CC"/>
            <w:sz w:val="20"/>
            <w:u w:val="single"/>
            <w:lang w:val="en-US" w:eastAsia="en-US"/>
          </w:rPr>
          <w:t>https://tangible-landscape.github.io/</w:t>
        </w:r>
      </w:hyperlink>
      <w:r w:rsidRPr="008D7A68">
        <w:rPr>
          <w:rFonts w:ascii="Arial" w:hAnsi="Arial" w:cs="Arial"/>
          <w:color w:val="000000"/>
          <w:sz w:val="20"/>
          <w:lang w:val="en-US" w:eastAsia="en-US"/>
        </w:rPr>
        <w:t xml:space="preserve"> or Tangible Modeling with Open Source GIS: Second Edition [11]. </w:t>
      </w:r>
    </w:p>
    <w:p w:rsidR="00E02C2B" w:rsidRDefault="00E02C2B" w:rsidP="00E02C2B">
      <w:pPr>
        <w:rPr>
          <w:rFonts w:ascii="Palatino-Roman" w:hAnsi="Palatino-Roman"/>
          <w:sz w:val="20"/>
        </w:rPr>
      </w:pPr>
    </w:p>
    <w:p w:rsidR="00E02C2B" w:rsidRDefault="00E02C2B" w:rsidP="00E02C2B">
      <w:pPr>
        <w:rPr>
          <w:rFonts w:ascii="Palatino-Roman" w:hAnsi="Palatino-Roman"/>
          <w:sz w:val="20"/>
        </w:rPr>
      </w:pPr>
      <w:r>
        <w:rPr>
          <w:rFonts w:ascii="Arial" w:hAnsi="Arial" w:cs="Arial"/>
          <w:noProof/>
          <w:color w:val="000000"/>
          <w:shd w:val="clear" w:color="auto" w:fill="FFFFFF"/>
        </w:rPr>
        <w:lastRenderedPageBreak/>
        <w:drawing>
          <wp:inline distT="0" distB="0" distL="0" distR="0" wp14:anchorId="5AB20236" wp14:editId="7A0BC335">
            <wp:extent cx="2610485" cy="2469515"/>
            <wp:effectExtent l="0" t="0" r="0" b="6985"/>
            <wp:docPr id="6" name="Picture 6" descr="https://lh6.googleusercontent.com/vqa6ZJ3GtwNYZ3T0TIakq8rM8zRwrhWd3f-ab1NEE3HGgm-bE584yJ9pMJXncEGovzkcQtWLd8uro9dDelYZT06zZILMKK73odMzYzbdPylNcgEBE-szFDdHSTvm9nhvC9ChSX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vqa6ZJ3GtwNYZ3T0TIakq8rM8zRwrhWd3f-ab1NEE3HGgm-bE584yJ9pMJXncEGovzkcQtWLd8uro9dDelYZT06zZILMKK73odMzYzbdPylNcgEBE-szFDdHSTvm9nhvC9ChSX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485" cy="2469515"/>
                    </a:xfrm>
                    <a:prstGeom prst="rect">
                      <a:avLst/>
                    </a:prstGeom>
                    <a:noFill/>
                    <a:ln>
                      <a:noFill/>
                    </a:ln>
                  </pic:spPr>
                </pic:pic>
              </a:graphicData>
            </a:graphic>
          </wp:inline>
        </w:drawing>
      </w:r>
    </w:p>
    <w:p w:rsidR="00E02C2B" w:rsidRDefault="00E02C2B" w:rsidP="00E02C2B">
      <w:pPr>
        <w:rPr>
          <w:rFonts w:ascii="Arial" w:hAnsi="Arial" w:cs="Arial"/>
          <w:color w:val="000000"/>
          <w:sz w:val="20"/>
          <w:shd w:val="clear" w:color="auto" w:fill="FFFFFF"/>
        </w:rPr>
      </w:pPr>
      <w:r>
        <w:rPr>
          <w:rFonts w:ascii="Arial" w:hAnsi="Arial" w:cs="Arial"/>
          <w:color w:val="000000"/>
          <w:sz w:val="20"/>
          <w:shd w:val="clear" w:color="auto" w:fill="FFFFFF"/>
        </w:rPr>
        <w:t>Figure B1. Schema of Tangible Landscape design. Credit: Brendan Harmon</w:t>
      </w:r>
    </w:p>
    <w:p w:rsidR="00E02C2B" w:rsidRDefault="00E02C2B" w:rsidP="00E02C2B">
      <w:pPr>
        <w:rPr>
          <w:rFonts w:ascii="Arial" w:hAnsi="Arial" w:cs="Arial"/>
          <w:color w:val="000000"/>
          <w:sz w:val="20"/>
          <w:shd w:val="clear" w:color="auto" w:fill="FFFFFF"/>
        </w:rPr>
      </w:pPr>
    </w:p>
    <w:p w:rsidR="00E02C2B" w:rsidRDefault="00E02C2B" w:rsidP="00E02C2B">
      <w:pPr>
        <w:rPr>
          <w:rFonts w:ascii="Arial" w:hAnsi="Arial" w:cs="Arial"/>
          <w:color w:val="000000"/>
          <w:sz w:val="20"/>
          <w:shd w:val="clear" w:color="auto" w:fill="FFFFFF"/>
        </w:rPr>
      </w:pPr>
    </w:p>
    <w:p w:rsidR="00E02C2B" w:rsidRDefault="00E02C2B" w:rsidP="00E02C2B">
      <w:pPr>
        <w:rPr>
          <w:rFonts w:ascii="Palatino-Roman" w:hAnsi="Palatino-Roman"/>
          <w:sz w:val="20"/>
        </w:rPr>
      </w:pPr>
      <w:r>
        <w:rPr>
          <w:rFonts w:ascii="Arial" w:hAnsi="Arial" w:cs="Arial"/>
          <w:noProof/>
          <w:color w:val="000000"/>
          <w:sz w:val="20"/>
          <w:shd w:val="clear" w:color="auto" w:fill="FFFFFF"/>
        </w:rPr>
        <w:drawing>
          <wp:inline distT="0" distB="0" distL="0" distR="0" wp14:anchorId="304CB02E" wp14:editId="090FAC28">
            <wp:extent cx="3931285" cy="3321685"/>
            <wp:effectExtent l="0" t="0" r="0" b="0"/>
            <wp:docPr id="7" name="Picture 7" descr="https://lh5.googleusercontent.com/eKYGLkP2Xj9ClIr_lWwrCFkD7p4jYW1aphK_G_qvX7ks5fO82ffpeKg6Vg4k0wlctQ9f0asXsEl9TGD_Y-m8FH8TuhVGn_SxtaxahJn7UHTQcUI_JyTg22sADyPNf23JSRRs1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KYGLkP2Xj9ClIr_lWwrCFkD7p4jYW1aphK_G_qvX7ks5fO82ffpeKg6Vg4k0wlctQ9f0asXsEl9TGD_Y-m8FH8TuhVGn_SxtaxahJn7UHTQcUI_JyTg22sADyPNf23JSRRs1L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1285" cy="3321685"/>
                    </a:xfrm>
                    <a:prstGeom prst="rect">
                      <a:avLst/>
                    </a:prstGeom>
                    <a:noFill/>
                    <a:ln>
                      <a:noFill/>
                    </a:ln>
                  </pic:spPr>
                </pic:pic>
              </a:graphicData>
            </a:graphic>
          </wp:inline>
        </w:drawing>
      </w:r>
    </w:p>
    <w:p w:rsidR="00E02C2B" w:rsidRDefault="00E02C2B" w:rsidP="00E02C2B">
      <w:pPr>
        <w:rPr>
          <w:rFonts w:ascii="Arial" w:hAnsi="Arial" w:cs="Arial"/>
          <w:color w:val="000000"/>
          <w:sz w:val="20"/>
        </w:rPr>
      </w:pPr>
      <w:r>
        <w:rPr>
          <w:rFonts w:ascii="Arial" w:hAnsi="Arial" w:cs="Arial"/>
          <w:color w:val="000000"/>
          <w:sz w:val="20"/>
        </w:rPr>
        <w:t xml:space="preserve">Figure B2. Example of Tangible Landscape setup. Credit: Anna </w:t>
      </w:r>
      <w:proofErr w:type="spellStart"/>
      <w:r>
        <w:rPr>
          <w:rFonts w:ascii="Arial" w:hAnsi="Arial" w:cs="Arial"/>
          <w:color w:val="000000"/>
          <w:sz w:val="20"/>
        </w:rPr>
        <w:t>Petrasova</w:t>
      </w:r>
      <w:proofErr w:type="spellEnd"/>
    </w:p>
    <w:p w:rsidR="00E02C2B" w:rsidRDefault="00E02C2B" w:rsidP="00E02C2B">
      <w:pPr>
        <w:rPr>
          <w:rFonts w:ascii="Arial" w:hAnsi="Arial" w:cs="Arial"/>
          <w:color w:val="000000"/>
          <w:sz w:val="20"/>
        </w:rPr>
      </w:pPr>
    </w:p>
    <w:p w:rsidR="00E02C2B" w:rsidRDefault="00E02C2B" w:rsidP="00E02C2B">
      <w:pPr>
        <w:rPr>
          <w:rFonts w:ascii="Palatino-Roman" w:hAnsi="Palatino-Roman"/>
          <w:sz w:val="20"/>
        </w:rPr>
      </w:pPr>
      <w:r>
        <w:rPr>
          <w:rFonts w:ascii="Arial" w:hAnsi="Arial" w:cs="Arial"/>
          <w:noProof/>
          <w:color w:val="000000"/>
          <w:sz w:val="20"/>
        </w:rPr>
        <w:lastRenderedPageBreak/>
        <w:drawing>
          <wp:inline distT="0" distB="0" distL="0" distR="0" wp14:anchorId="394C2D09" wp14:editId="3A687615">
            <wp:extent cx="5627370" cy="2782570"/>
            <wp:effectExtent l="0" t="0" r="0" b="0"/>
            <wp:docPr id="8" name="Picture 8" descr="https://lh3.googleusercontent.com/xBer_8PO6dX-yrsJrZoxAEkxKIDHOXRst0Cr3ua27SWMHTCnt2fxd3ZMu1r0jjfUSop0CSyVe4QZ67gRoDAYlRGZZJbUJSr0FYuLHb59qizDb3qSw-WVp9JIMHSZ75bfD8rtNV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xBer_8PO6dX-yrsJrZoxAEkxKIDHOXRst0Cr3ua27SWMHTCnt2fxd3ZMu1r0jjfUSop0CSyVe4QZ67gRoDAYlRGZZJbUJSr0FYuLHb59qizDb3qSw-WVp9JIMHSZ75bfD8rtNV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7370" cy="2782570"/>
                    </a:xfrm>
                    <a:prstGeom prst="rect">
                      <a:avLst/>
                    </a:prstGeom>
                    <a:noFill/>
                    <a:ln>
                      <a:noFill/>
                    </a:ln>
                  </pic:spPr>
                </pic:pic>
              </a:graphicData>
            </a:graphic>
          </wp:inline>
        </w:drawing>
      </w:r>
    </w:p>
    <w:p w:rsidR="00E02C2B" w:rsidRDefault="00E02C2B" w:rsidP="00E02C2B">
      <w:pPr>
        <w:rPr>
          <w:rFonts w:ascii="Palatino-Roman" w:hAnsi="Palatino-Roman"/>
          <w:sz w:val="20"/>
        </w:rPr>
      </w:pPr>
    </w:p>
    <w:p w:rsidR="00E02C2B" w:rsidRDefault="00E02C2B" w:rsidP="00E02C2B">
      <w:pPr>
        <w:rPr>
          <w:rFonts w:ascii="Arial" w:hAnsi="Arial" w:cs="Arial"/>
          <w:color w:val="000000"/>
          <w:sz w:val="20"/>
        </w:rPr>
      </w:pPr>
      <w:r>
        <w:rPr>
          <w:rFonts w:ascii="Arial" w:hAnsi="Arial" w:cs="Arial"/>
          <w:color w:val="000000"/>
          <w:sz w:val="20"/>
        </w:rPr>
        <w:t xml:space="preserve">Figure B3: Example of web-based dashboard output. The bar graph and line graphs represent number of infected trees and money spent in each scenario, respectively. The bar </w:t>
      </w:r>
      <w:proofErr w:type="spellStart"/>
      <w:r>
        <w:rPr>
          <w:rFonts w:ascii="Arial" w:hAnsi="Arial" w:cs="Arial"/>
          <w:color w:val="000000"/>
          <w:sz w:val="20"/>
        </w:rPr>
        <w:t>color</w:t>
      </w:r>
      <w:proofErr w:type="spellEnd"/>
      <w:r>
        <w:rPr>
          <w:rFonts w:ascii="Arial" w:hAnsi="Arial" w:cs="Arial"/>
          <w:color w:val="000000"/>
          <w:sz w:val="20"/>
        </w:rPr>
        <w:t xml:space="preserve"> represent which stakeholder designed each scenario. Credit: Makiko </w:t>
      </w:r>
      <w:proofErr w:type="spellStart"/>
      <w:r>
        <w:rPr>
          <w:rFonts w:ascii="Arial" w:hAnsi="Arial" w:cs="Arial"/>
          <w:color w:val="000000"/>
          <w:sz w:val="20"/>
        </w:rPr>
        <w:t>Shukunobe</w:t>
      </w:r>
      <w:proofErr w:type="spellEnd"/>
    </w:p>
    <w:p w:rsidR="00E02C2B" w:rsidRDefault="00E02C2B" w:rsidP="00E02C2B">
      <w:pPr>
        <w:rPr>
          <w:rFonts w:ascii="Arial" w:hAnsi="Arial" w:cs="Arial"/>
          <w:color w:val="000000"/>
          <w:sz w:val="20"/>
        </w:rPr>
      </w:pPr>
      <w:bookmarkStart w:id="0" w:name="_GoBack"/>
      <w:bookmarkEnd w:id="0"/>
    </w:p>
    <w:p w:rsidR="00E02C2B" w:rsidRDefault="00E02C2B" w:rsidP="00E02C2B">
      <w:pPr>
        <w:rPr>
          <w:rFonts w:ascii="Arial" w:hAnsi="Arial" w:cs="Arial"/>
          <w:color w:val="000000"/>
          <w:sz w:val="20"/>
        </w:rPr>
      </w:pPr>
    </w:p>
    <w:p w:rsidR="00E02C2B" w:rsidRPr="003736C5" w:rsidRDefault="00E02C2B" w:rsidP="00E02C2B">
      <w:pPr>
        <w:rPr>
          <w:szCs w:val="24"/>
          <w:lang w:val="en-US" w:eastAsia="en-US"/>
        </w:rPr>
      </w:pPr>
      <w:r w:rsidRPr="003736C5">
        <w:rPr>
          <w:rFonts w:ascii="Arial" w:hAnsi="Arial" w:cs="Arial"/>
          <w:color w:val="000000"/>
          <w:sz w:val="20"/>
          <w:lang w:val="en-US" w:eastAsia="en-US"/>
        </w:rPr>
        <w:t>REFERENCES</w:t>
      </w:r>
    </w:p>
    <w:p w:rsidR="00E02C2B" w:rsidRPr="003736C5" w:rsidRDefault="00E02C2B" w:rsidP="00E02C2B">
      <w:pPr>
        <w:rPr>
          <w:szCs w:val="24"/>
          <w:lang w:val="en-US" w:eastAsia="en-US"/>
        </w:rPr>
      </w:pPr>
    </w:p>
    <w:p w:rsidR="00E02C2B" w:rsidRPr="003736C5" w:rsidRDefault="00E02C2B" w:rsidP="00E02C2B">
      <w:pPr>
        <w:rPr>
          <w:szCs w:val="24"/>
          <w:lang w:val="en-US" w:eastAsia="en-US"/>
        </w:rPr>
      </w:pPr>
      <w:proofErr w:type="gramStart"/>
      <w:r w:rsidRPr="003736C5">
        <w:rPr>
          <w:rFonts w:ascii="Arial" w:hAnsi="Arial" w:cs="Arial"/>
          <w:color w:val="222222"/>
          <w:sz w:val="20"/>
          <w:shd w:val="clear" w:color="auto" w:fill="FFFFFF"/>
          <w:lang w:val="en-US" w:eastAsia="en-US"/>
        </w:rPr>
        <w:t>1  </w:t>
      </w:r>
      <w:proofErr w:type="spellStart"/>
      <w:r w:rsidRPr="003736C5">
        <w:rPr>
          <w:rFonts w:ascii="Arial" w:hAnsi="Arial" w:cs="Arial"/>
          <w:color w:val="222222"/>
          <w:sz w:val="20"/>
          <w:shd w:val="clear" w:color="auto" w:fill="FFFFFF"/>
          <w:lang w:val="en-US" w:eastAsia="en-US"/>
        </w:rPr>
        <w:t>Tonini</w:t>
      </w:r>
      <w:proofErr w:type="spellEnd"/>
      <w:proofErr w:type="gramEnd"/>
      <w:r w:rsidRPr="003736C5">
        <w:rPr>
          <w:rFonts w:ascii="Arial" w:hAnsi="Arial" w:cs="Arial"/>
          <w:color w:val="222222"/>
          <w:sz w:val="20"/>
          <w:shd w:val="clear" w:color="auto" w:fill="FFFFFF"/>
          <w:lang w:val="en-US" w:eastAsia="en-US"/>
        </w:rPr>
        <w:t xml:space="preserve"> F, Shoemaker D, </w:t>
      </w:r>
      <w:proofErr w:type="spellStart"/>
      <w:r w:rsidRPr="003736C5">
        <w:rPr>
          <w:rFonts w:ascii="Arial" w:hAnsi="Arial" w:cs="Arial"/>
          <w:color w:val="222222"/>
          <w:sz w:val="20"/>
          <w:shd w:val="clear" w:color="auto" w:fill="FFFFFF"/>
          <w:lang w:val="en-US" w:eastAsia="en-US"/>
        </w:rPr>
        <w:t>Petrasova</w:t>
      </w:r>
      <w:proofErr w:type="spellEnd"/>
      <w:r w:rsidRPr="003736C5">
        <w:rPr>
          <w:rFonts w:ascii="Arial" w:hAnsi="Arial" w:cs="Arial"/>
          <w:color w:val="222222"/>
          <w:sz w:val="20"/>
          <w:shd w:val="clear" w:color="auto" w:fill="FFFFFF"/>
          <w:lang w:val="en-US" w:eastAsia="en-US"/>
        </w:rPr>
        <w:t xml:space="preserve"> A, Harmon B, </w:t>
      </w:r>
      <w:proofErr w:type="spellStart"/>
      <w:r w:rsidRPr="003736C5">
        <w:rPr>
          <w:rFonts w:ascii="Arial" w:hAnsi="Arial" w:cs="Arial"/>
          <w:color w:val="222222"/>
          <w:sz w:val="20"/>
          <w:shd w:val="clear" w:color="auto" w:fill="FFFFFF"/>
          <w:lang w:val="en-US" w:eastAsia="en-US"/>
        </w:rPr>
        <w:t>Petras</w:t>
      </w:r>
      <w:proofErr w:type="spellEnd"/>
      <w:r w:rsidRPr="003736C5">
        <w:rPr>
          <w:rFonts w:ascii="Arial" w:hAnsi="Arial" w:cs="Arial"/>
          <w:color w:val="222222"/>
          <w:sz w:val="20"/>
          <w:shd w:val="clear" w:color="auto" w:fill="FFFFFF"/>
          <w:lang w:val="en-US" w:eastAsia="en-US"/>
        </w:rPr>
        <w:t xml:space="preserve"> V, Cobb RC, </w:t>
      </w:r>
      <w:proofErr w:type="spellStart"/>
      <w:r w:rsidRPr="003736C5">
        <w:rPr>
          <w:rFonts w:ascii="Arial" w:hAnsi="Arial" w:cs="Arial"/>
          <w:color w:val="222222"/>
          <w:sz w:val="20"/>
          <w:shd w:val="clear" w:color="auto" w:fill="FFFFFF"/>
          <w:lang w:val="en-US" w:eastAsia="en-US"/>
        </w:rPr>
        <w:t>Mitasova</w:t>
      </w:r>
      <w:proofErr w:type="spellEnd"/>
      <w:r w:rsidRPr="003736C5">
        <w:rPr>
          <w:rFonts w:ascii="Arial" w:hAnsi="Arial" w:cs="Arial"/>
          <w:color w:val="222222"/>
          <w:sz w:val="20"/>
          <w:shd w:val="clear" w:color="auto" w:fill="FFFFFF"/>
          <w:lang w:val="en-US" w:eastAsia="en-US"/>
        </w:rPr>
        <w:t xml:space="preserve"> H, Meentemeyer RK. Tangible geospatial modeling for collaborative solutions to invasive species management. Environmental Modelling &amp; Software. 2017 Jun </w:t>
      </w:r>
      <w:proofErr w:type="gramStart"/>
      <w:r w:rsidRPr="003736C5">
        <w:rPr>
          <w:rFonts w:ascii="Arial" w:hAnsi="Arial" w:cs="Arial"/>
          <w:color w:val="222222"/>
          <w:sz w:val="20"/>
          <w:shd w:val="clear" w:color="auto" w:fill="FFFFFF"/>
          <w:lang w:val="en-US" w:eastAsia="en-US"/>
        </w:rPr>
        <w:t>1;92:176</w:t>
      </w:r>
      <w:proofErr w:type="gramEnd"/>
      <w:r w:rsidRPr="003736C5">
        <w:rPr>
          <w:rFonts w:ascii="Arial" w:hAnsi="Arial" w:cs="Arial"/>
          <w:color w:val="222222"/>
          <w:sz w:val="20"/>
          <w:shd w:val="clear" w:color="auto" w:fill="FFFFFF"/>
          <w:lang w:val="en-US" w:eastAsia="en-US"/>
        </w:rPr>
        <w:t>-88. (</w:t>
      </w:r>
      <w:proofErr w:type="spellStart"/>
      <w:r w:rsidRPr="003736C5">
        <w:rPr>
          <w:rFonts w:ascii="Arial" w:hAnsi="Arial" w:cs="Arial"/>
          <w:color w:val="222222"/>
          <w:sz w:val="20"/>
          <w:shd w:val="clear" w:color="auto" w:fill="FFFFFF"/>
          <w:lang w:val="en-US" w:eastAsia="en-US"/>
        </w:rPr>
        <w:t>doi</w:t>
      </w:r>
      <w:proofErr w:type="spellEnd"/>
      <w:r w:rsidRPr="003736C5">
        <w:rPr>
          <w:rFonts w:ascii="Arial" w:hAnsi="Arial" w:cs="Arial"/>
          <w:color w:val="222222"/>
          <w:sz w:val="20"/>
          <w:shd w:val="clear" w:color="auto" w:fill="FFFFFF"/>
          <w:lang w:val="en-US" w:eastAsia="en-US"/>
        </w:rPr>
        <w:t>: 10.1016/j.envsoft.2017.02.020)</w:t>
      </w:r>
    </w:p>
    <w:p w:rsidR="00E02C2B" w:rsidRPr="003736C5" w:rsidRDefault="00E02C2B" w:rsidP="00E02C2B">
      <w:pPr>
        <w:rPr>
          <w:szCs w:val="24"/>
          <w:lang w:val="en-US" w:eastAsia="en-US"/>
        </w:rPr>
      </w:pPr>
    </w:p>
    <w:p w:rsidR="00E02C2B" w:rsidRPr="003736C5" w:rsidRDefault="00E02C2B" w:rsidP="00E02C2B">
      <w:pPr>
        <w:rPr>
          <w:szCs w:val="24"/>
          <w:lang w:val="en-US" w:eastAsia="en-US"/>
        </w:rPr>
      </w:pPr>
      <w:proofErr w:type="gramStart"/>
      <w:r w:rsidRPr="003736C5">
        <w:rPr>
          <w:rFonts w:ascii="Arial" w:hAnsi="Arial" w:cs="Arial"/>
          <w:color w:val="222222"/>
          <w:sz w:val="20"/>
          <w:shd w:val="clear" w:color="auto" w:fill="FFFFFF"/>
          <w:lang w:val="en-US" w:eastAsia="en-US"/>
        </w:rPr>
        <w:t>2  Meentemeyer</w:t>
      </w:r>
      <w:proofErr w:type="gramEnd"/>
      <w:r w:rsidRPr="003736C5">
        <w:rPr>
          <w:rFonts w:ascii="Arial" w:hAnsi="Arial" w:cs="Arial"/>
          <w:color w:val="222222"/>
          <w:sz w:val="20"/>
          <w:shd w:val="clear" w:color="auto" w:fill="FFFFFF"/>
          <w:lang w:val="en-US" w:eastAsia="en-US"/>
        </w:rPr>
        <w:t xml:space="preserve"> RK, </w:t>
      </w:r>
      <w:proofErr w:type="spellStart"/>
      <w:r w:rsidRPr="003736C5">
        <w:rPr>
          <w:rFonts w:ascii="Arial" w:hAnsi="Arial" w:cs="Arial"/>
          <w:color w:val="222222"/>
          <w:sz w:val="20"/>
          <w:shd w:val="clear" w:color="auto" w:fill="FFFFFF"/>
          <w:lang w:val="en-US" w:eastAsia="en-US"/>
        </w:rPr>
        <w:t>Cunniffe</w:t>
      </w:r>
      <w:proofErr w:type="spellEnd"/>
      <w:r w:rsidRPr="003736C5">
        <w:rPr>
          <w:rFonts w:ascii="Arial" w:hAnsi="Arial" w:cs="Arial"/>
          <w:color w:val="222222"/>
          <w:sz w:val="20"/>
          <w:shd w:val="clear" w:color="auto" w:fill="FFFFFF"/>
          <w:lang w:val="en-US" w:eastAsia="en-US"/>
        </w:rPr>
        <w:t xml:space="preserve"> NJ, Cook AR, Filipe JA, Hunter RD, Rizzo DM, Gilligan CA. Epidemiological modeling of invasion in heterogeneous landscapes: spread of sudden oak death in California (1990–2030). Ecosphere. 2011 Feb 1;2(2):1-24. (</w:t>
      </w:r>
      <w:proofErr w:type="spellStart"/>
      <w:r w:rsidRPr="003736C5">
        <w:rPr>
          <w:rFonts w:ascii="Arial" w:hAnsi="Arial" w:cs="Arial"/>
          <w:color w:val="222222"/>
          <w:sz w:val="20"/>
          <w:shd w:val="clear" w:color="auto" w:fill="FFFFFF"/>
          <w:lang w:val="en-US" w:eastAsia="en-US"/>
        </w:rPr>
        <w:t>doi</w:t>
      </w:r>
      <w:proofErr w:type="spellEnd"/>
      <w:r w:rsidRPr="003736C5">
        <w:rPr>
          <w:rFonts w:ascii="Arial" w:hAnsi="Arial" w:cs="Arial"/>
          <w:color w:val="222222"/>
          <w:sz w:val="20"/>
          <w:shd w:val="clear" w:color="auto" w:fill="FFFFFF"/>
          <w:lang w:val="en-US" w:eastAsia="en-US"/>
        </w:rPr>
        <w:t>: 10.1890/es10-00192.1)</w:t>
      </w:r>
    </w:p>
    <w:p w:rsidR="00E02C2B" w:rsidRPr="003736C5" w:rsidRDefault="00E02C2B" w:rsidP="00E02C2B">
      <w:pPr>
        <w:rPr>
          <w:szCs w:val="24"/>
          <w:lang w:val="en-US" w:eastAsia="en-US"/>
        </w:rPr>
      </w:pPr>
    </w:p>
    <w:p w:rsidR="00E02C2B" w:rsidRPr="003736C5" w:rsidRDefault="00E02C2B" w:rsidP="00E02C2B">
      <w:pPr>
        <w:rPr>
          <w:szCs w:val="24"/>
          <w:lang w:val="en-US" w:eastAsia="en-US"/>
        </w:rPr>
      </w:pPr>
      <w:proofErr w:type="gramStart"/>
      <w:r w:rsidRPr="003736C5">
        <w:rPr>
          <w:rFonts w:ascii="Arial" w:hAnsi="Arial" w:cs="Arial"/>
          <w:color w:val="222222"/>
          <w:sz w:val="20"/>
          <w:shd w:val="clear" w:color="auto" w:fill="FFFFFF"/>
          <w:lang w:val="en-US" w:eastAsia="en-US"/>
        </w:rPr>
        <w:t>3  </w:t>
      </w:r>
      <w:proofErr w:type="spellStart"/>
      <w:r w:rsidRPr="003736C5">
        <w:rPr>
          <w:rFonts w:ascii="Arial" w:hAnsi="Arial" w:cs="Arial"/>
          <w:color w:val="222222"/>
          <w:sz w:val="20"/>
          <w:shd w:val="clear" w:color="auto" w:fill="FFFFFF"/>
          <w:lang w:val="en-US" w:eastAsia="en-US"/>
        </w:rPr>
        <w:t>Cunniffe</w:t>
      </w:r>
      <w:proofErr w:type="spellEnd"/>
      <w:proofErr w:type="gramEnd"/>
      <w:r w:rsidRPr="003736C5">
        <w:rPr>
          <w:rFonts w:ascii="Arial" w:hAnsi="Arial" w:cs="Arial"/>
          <w:color w:val="222222"/>
          <w:sz w:val="20"/>
          <w:shd w:val="clear" w:color="auto" w:fill="FFFFFF"/>
          <w:lang w:val="en-US" w:eastAsia="en-US"/>
        </w:rPr>
        <w:t xml:space="preserve"> NJ, Cobb RC, Meentemeyer RK, Rizzo DM, Gilligan CA. Modeling when, where, and how to manage a forest epidemic, motivated by sudden oak death in California. Proceedings of the National Academy of Sciences. 2016 May 17;113(20):5640-5. (</w:t>
      </w:r>
      <w:proofErr w:type="spellStart"/>
      <w:r w:rsidRPr="003736C5">
        <w:rPr>
          <w:rFonts w:ascii="Arial" w:hAnsi="Arial" w:cs="Arial"/>
          <w:color w:val="222222"/>
          <w:sz w:val="20"/>
          <w:shd w:val="clear" w:color="auto" w:fill="FFFFFF"/>
          <w:lang w:val="en-US" w:eastAsia="en-US"/>
        </w:rPr>
        <w:t>doi</w:t>
      </w:r>
      <w:proofErr w:type="spellEnd"/>
      <w:r w:rsidRPr="003736C5">
        <w:rPr>
          <w:rFonts w:ascii="Arial" w:hAnsi="Arial" w:cs="Arial"/>
          <w:color w:val="222222"/>
          <w:sz w:val="20"/>
          <w:shd w:val="clear" w:color="auto" w:fill="FFFFFF"/>
          <w:lang w:val="en-US" w:eastAsia="en-US"/>
        </w:rPr>
        <w:t>: 10.1073/pnas.1602153113)</w:t>
      </w:r>
    </w:p>
    <w:p w:rsidR="00E02C2B" w:rsidRPr="003736C5" w:rsidRDefault="00E02C2B" w:rsidP="00E02C2B">
      <w:pPr>
        <w:rPr>
          <w:szCs w:val="24"/>
          <w:lang w:val="en-US" w:eastAsia="en-US"/>
        </w:rPr>
      </w:pPr>
    </w:p>
    <w:p w:rsidR="00E02C2B" w:rsidRPr="003736C5" w:rsidRDefault="00E02C2B" w:rsidP="00E02C2B">
      <w:pPr>
        <w:rPr>
          <w:szCs w:val="24"/>
          <w:lang w:val="en-US" w:eastAsia="en-US"/>
        </w:rPr>
      </w:pPr>
      <w:proofErr w:type="gramStart"/>
      <w:r w:rsidRPr="003736C5">
        <w:rPr>
          <w:rFonts w:ascii="Arial" w:hAnsi="Arial" w:cs="Arial"/>
          <w:color w:val="222222"/>
          <w:sz w:val="20"/>
          <w:shd w:val="clear" w:color="auto" w:fill="FFFFFF"/>
          <w:lang w:val="en-US" w:eastAsia="en-US"/>
        </w:rPr>
        <w:t>4  Rizzo</w:t>
      </w:r>
      <w:proofErr w:type="gramEnd"/>
      <w:r w:rsidRPr="003736C5">
        <w:rPr>
          <w:rFonts w:ascii="Arial" w:hAnsi="Arial" w:cs="Arial"/>
          <w:color w:val="222222"/>
          <w:sz w:val="20"/>
          <w:shd w:val="clear" w:color="auto" w:fill="FFFFFF"/>
          <w:lang w:val="en-US" w:eastAsia="en-US"/>
        </w:rPr>
        <w:t xml:space="preserve"> DM, </w:t>
      </w:r>
      <w:proofErr w:type="spellStart"/>
      <w:r w:rsidRPr="003736C5">
        <w:rPr>
          <w:rFonts w:ascii="Arial" w:hAnsi="Arial" w:cs="Arial"/>
          <w:color w:val="222222"/>
          <w:sz w:val="20"/>
          <w:shd w:val="clear" w:color="auto" w:fill="FFFFFF"/>
          <w:lang w:val="en-US" w:eastAsia="en-US"/>
        </w:rPr>
        <w:t>Garbelotto</w:t>
      </w:r>
      <w:proofErr w:type="spellEnd"/>
      <w:r w:rsidRPr="003736C5">
        <w:rPr>
          <w:rFonts w:ascii="Arial" w:hAnsi="Arial" w:cs="Arial"/>
          <w:color w:val="222222"/>
          <w:sz w:val="20"/>
          <w:shd w:val="clear" w:color="auto" w:fill="FFFFFF"/>
          <w:lang w:val="en-US" w:eastAsia="en-US"/>
        </w:rPr>
        <w:t xml:space="preserve"> M, Hansen EM. </w:t>
      </w:r>
      <w:proofErr w:type="spellStart"/>
      <w:r w:rsidRPr="003736C5">
        <w:rPr>
          <w:rFonts w:ascii="Arial" w:hAnsi="Arial" w:cs="Arial"/>
          <w:color w:val="222222"/>
          <w:sz w:val="20"/>
          <w:shd w:val="clear" w:color="auto" w:fill="FFFFFF"/>
          <w:lang w:val="en-US" w:eastAsia="en-US"/>
        </w:rPr>
        <w:t>Phytophthora</w:t>
      </w:r>
      <w:proofErr w:type="spellEnd"/>
      <w:r w:rsidRPr="003736C5">
        <w:rPr>
          <w:rFonts w:ascii="Arial" w:hAnsi="Arial" w:cs="Arial"/>
          <w:color w:val="222222"/>
          <w:sz w:val="20"/>
          <w:shd w:val="clear" w:color="auto" w:fill="FFFFFF"/>
          <w:lang w:val="en-US" w:eastAsia="en-US"/>
        </w:rPr>
        <w:t xml:space="preserve"> </w:t>
      </w:r>
      <w:proofErr w:type="spellStart"/>
      <w:r w:rsidRPr="003736C5">
        <w:rPr>
          <w:rFonts w:ascii="Arial" w:hAnsi="Arial" w:cs="Arial"/>
          <w:color w:val="222222"/>
          <w:sz w:val="20"/>
          <w:shd w:val="clear" w:color="auto" w:fill="FFFFFF"/>
          <w:lang w:val="en-US" w:eastAsia="en-US"/>
        </w:rPr>
        <w:t>ramorum</w:t>
      </w:r>
      <w:proofErr w:type="spellEnd"/>
      <w:r w:rsidRPr="003736C5">
        <w:rPr>
          <w:rFonts w:ascii="Arial" w:hAnsi="Arial" w:cs="Arial"/>
          <w:color w:val="222222"/>
          <w:sz w:val="20"/>
          <w:shd w:val="clear" w:color="auto" w:fill="FFFFFF"/>
          <w:lang w:val="en-US" w:eastAsia="en-US"/>
        </w:rPr>
        <w:t xml:space="preserve">: integrative research and management of an emerging pathogen in California and Oregon forests. </w:t>
      </w:r>
      <w:proofErr w:type="spellStart"/>
      <w:r w:rsidRPr="003736C5">
        <w:rPr>
          <w:rFonts w:ascii="Arial" w:hAnsi="Arial" w:cs="Arial"/>
          <w:color w:val="222222"/>
          <w:sz w:val="20"/>
          <w:shd w:val="clear" w:color="auto" w:fill="FFFFFF"/>
          <w:lang w:val="en-US" w:eastAsia="en-US"/>
        </w:rPr>
        <w:t>Annu</w:t>
      </w:r>
      <w:proofErr w:type="spellEnd"/>
      <w:r w:rsidRPr="003736C5">
        <w:rPr>
          <w:rFonts w:ascii="Arial" w:hAnsi="Arial" w:cs="Arial"/>
          <w:color w:val="222222"/>
          <w:sz w:val="20"/>
          <w:shd w:val="clear" w:color="auto" w:fill="FFFFFF"/>
          <w:lang w:val="en-US" w:eastAsia="en-US"/>
        </w:rPr>
        <w:t xml:space="preserve">. Rev. </w:t>
      </w:r>
      <w:proofErr w:type="spellStart"/>
      <w:proofErr w:type="gramStart"/>
      <w:r w:rsidRPr="003736C5">
        <w:rPr>
          <w:rFonts w:ascii="Arial" w:hAnsi="Arial" w:cs="Arial"/>
          <w:color w:val="222222"/>
          <w:sz w:val="20"/>
          <w:shd w:val="clear" w:color="auto" w:fill="FFFFFF"/>
          <w:lang w:val="en-US" w:eastAsia="en-US"/>
        </w:rPr>
        <w:t>Phytopathol</w:t>
      </w:r>
      <w:proofErr w:type="spellEnd"/>
      <w:r w:rsidRPr="003736C5">
        <w:rPr>
          <w:rFonts w:ascii="Arial" w:hAnsi="Arial" w:cs="Arial"/>
          <w:color w:val="222222"/>
          <w:sz w:val="20"/>
          <w:shd w:val="clear" w:color="auto" w:fill="FFFFFF"/>
          <w:lang w:val="en-US" w:eastAsia="en-US"/>
        </w:rPr>
        <w:t>..</w:t>
      </w:r>
      <w:proofErr w:type="gramEnd"/>
      <w:r w:rsidRPr="003736C5">
        <w:rPr>
          <w:rFonts w:ascii="Arial" w:hAnsi="Arial" w:cs="Arial"/>
          <w:color w:val="222222"/>
          <w:sz w:val="20"/>
          <w:shd w:val="clear" w:color="auto" w:fill="FFFFFF"/>
          <w:lang w:val="en-US" w:eastAsia="en-US"/>
        </w:rPr>
        <w:t xml:space="preserve"> 2005 Jul </w:t>
      </w:r>
      <w:proofErr w:type="gramStart"/>
      <w:r w:rsidRPr="003736C5">
        <w:rPr>
          <w:rFonts w:ascii="Arial" w:hAnsi="Arial" w:cs="Arial"/>
          <w:color w:val="222222"/>
          <w:sz w:val="20"/>
          <w:shd w:val="clear" w:color="auto" w:fill="FFFFFF"/>
          <w:lang w:val="en-US" w:eastAsia="en-US"/>
        </w:rPr>
        <w:t>28;43:309</w:t>
      </w:r>
      <w:proofErr w:type="gramEnd"/>
      <w:r w:rsidRPr="003736C5">
        <w:rPr>
          <w:rFonts w:ascii="Arial" w:hAnsi="Arial" w:cs="Arial"/>
          <w:color w:val="222222"/>
          <w:sz w:val="20"/>
          <w:shd w:val="clear" w:color="auto" w:fill="FFFFFF"/>
          <w:lang w:val="en-US" w:eastAsia="en-US"/>
        </w:rPr>
        <w:t>-35. (</w:t>
      </w:r>
      <w:proofErr w:type="spellStart"/>
      <w:r w:rsidRPr="003736C5">
        <w:rPr>
          <w:rFonts w:ascii="Arial" w:hAnsi="Arial" w:cs="Arial"/>
          <w:color w:val="222222"/>
          <w:sz w:val="20"/>
          <w:shd w:val="clear" w:color="auto" w:fill="FFFFFF"/>
          <w:lang w:val="en-US" w:eastAsia="en-US"/>
        </w:rPr>
        <w:t>doi</w:t>
      </w:r>
      <w:proofErr w:type="spellEnd"/>
      <w:r w:rsidRPr="003736C5">
        <w:rPr>
          <w:rFonts w:ascii="Arial" w:hAnsi="Arial" w:cs="Arial"/>
          <w:color w:val="222222"/>
          <w:sz w:val="20"/>
          <w:shd w:val="clear" w:color="auto" w:fill="FFFFFF"/>
          <w:lang w:val="en-US" w:eastAsia="en-US"/>
        </w:rPr>
        <w:t>: 10.1146/annurev.phyto.42.040803.140418)</w:t>
      </w:r>
    </w:p>
    <w:p w:rsidR="00E02C2B" w:rsidRPr="003736C5" w:rsidRDefault="00E02C2B" w:rsidP="00E02C2B">
      <w:pPr>
        <w:rPr>
          <w:szCs w:val="24"/>
          <w:lang w:val="en-US" w:eastAsia="en-US"/>
        </w:rPr>
      </w:pPr>
    </w:p>
    <w:p w:rsidR="00E02C2B" w:rsidRPr="003736C5" w:rsidRDefault="00E02C2B" w:rsidP="00E02C2B">
      <w:pPr>
        <w:rPr>
          <w:szCs w:val="24"/>
          <w:lang w:val="en-US" w:eastAsia="en-US"/>
        </w:rPr>
      </w:pPr>
      <w:proofErr w:type="gramStart"/>
      <w:r w:rsidRPr="003736C5">
        <w:rPr>
          <w:rFonts w:ascii="Arial" w:hAnsi="Arial" w:cs="Arial"/>
          <w:color w:val="222222"/>
          <w:sz w:val="20"/>
          <w:shd w:val="clear" w:color="auto" w:fill="FFFFFF"/>
          <w:lang w:val="en-US" w:eastAsia="en-US"/>
        </w:rPr>
        <w:t>5  Hansen</w:t>
      </w:r>
      <w:proofErr w:type="gramEnd"/>
      <w:r w:rsidRPr="003736C5">
        <w:rPr>
          <w:rFonts w:ascii="Arial" w:hAnsi="Arial" w:cs="Arial"/>
          <w:color w:val="222222"/>
          <w:sz w:val="20"/>
          <w:shd w:val="clear" w:color="auto" w:fill="FFFFFF"/>
          <w:lang w:val="en-US" w:eastAsia="en-US"/>
        </w:rPr>
        <w:t xml:space="preserve"> EM, </w:t>
      </w:r>
      <w:proofErr w:type="spellStart"/>
      <w:r w:rsidRPr="003736C5">
        <w:rPr>
          <w:rFonts w:ascii="Arial" w:hAnsi="Arial" w:cs="Arial"/>
          <w:color w:val="222222"/>
          <w:sz w:val="20"/>
          <w:shd w:val="clear" w:color="auto" w:fill="FFFFFF"/>
          <w:lang w:val="en-US" w:eastAsia="en-US"/>
        </w:rPr>
        <w:t>Kanaskie</w:t>
      </w:r>
      <w:proofErr w:type="spellEnd"/>
      <w:r w:rsidRPr="003736C5">
        <w:rPr>
          <w:rFonts w:ascii="Arial" w:hAnsi="Arial" w:cs="Arial"/>
          <w:color w:val="222222"/>
          <w:sz w:val="20"/>
          <w:shd w:val="clear" w:color="auto" w:fill="FFFFFF"/>
          <w:lang w:val="en-US" w:eastAsia="en-US"/>
        </w:rPr>
        <w:t xml:space="preserve"> A, Prospero S, McWilliams M, </w:t>
      </w:r>
      <w:proofErr w:type="spellStart"/>
      <w:r w:rsidRPr="003736C5">
        <w:rPr>
          <w:rFonts w:ascii="Arial" w:hAnsi="Arial" w:cs="Arial"/>
          <w:color w:val="222222"/>
          <w:sz w:val="20"/>
          <w:shd w:val="clear" w:color="auto" w:fill="FFFFFF"/>
          <w:lang w:val="en-US" w:eastAsia="en-US"/>
        </w:rPr>
        <w:t>Goheen</w:t>
      </w:r>
      <w:proofErr w:type="spellEnd"/>
      <w:r w:rsidRPr="003736C5">
        <w:rPr>
          <w:rFonts w:ascii="Arial" w:hAnsi="Arial" w:cs="Arial"/>
          <w:color w:val="222222"/>
          <w:sz w:val="20"/>
          <w:shd w:val="clear" w:color="auto" w:fill="FFFFFF"/>
          <w:lang w:val="en-US" w:eastAsia="en-US"/>
        </w:rPr>
        <w:t xml:space="preserve"> EM, </w:t>
      </w:r>
      <w:proofErr w:type="spellStart"/>
      <w:r w:rsidRPr="003736C5">
        <w:rPr>
          <w:rFonts w:ascii="Arial" w:hAnsi="Arial" w:cs="Arial"/>
          <w:color w:val="222222"/>
          <w:sz w:val="20"/>
          <w:shd w:val="clear" w:color="auto" w:fill="FFFFFF"/>
          <w:lang w:val="en-US" w:eastAsia="en-US"/>
        </w:rPr>
        <w:t>Osterbauer</w:t>
      </w:r>
      <w:proofErr w:type="spellEnd"/>
      <w:r w:rsidRPr="003736C5">
        <w:rPr>
          <w:rFonts w:ascii="Arial" w:hAnsi="Arial" w:cs="Arial"/>
          <w:color w:val="222222"/>
          <w:sz w:val="20"/>
          <w:shd w:val="clear" w:color="auto" w:fill="FFFFFF"/>
          <w:lang w:val="en-US" w:eastAsia="en-US"/>
        </w:rPr>
        <w:t xml:space="preserve"> N, </w:t>
      </w:r>
      <w:proofErr w:type="spellStart"/>
      <w:r w:rsidRPr="003736C5">
        <w:rPr>
          <w:rFonts w:ascii="Arial" w:hAnsi="Arial" w:cs="Arial"/>
          <w:color w:val="222222"/>
          <w:sz w:val="20"/>
          <w:shd w:val="clear" w:color="auto" w:fill="FFFFFF"/>
          <w:lang w:val="en-US" w:eastAsia="en-US"/>
        </w:rPr>
        <w:t>Reeser</w:t>
      </w:r>
      <w:proofErr w:type="spellEnd"/>
      <w:r w:rsidRPr="003736C5">
        <w:rPr>
          <w:rFonts w:ascii="Arial" w:hAnsi="Arial" w:cs="Arial"/>
          <w:color w:val="222222"/>
          <w:sz w:val="20"/>
          <w:shd w:val="clear" w:color="auto" w:fill="FFFFFF"/>
          <w:lang w:val="en-US" w:eastAsia="en-US"/>
        </w:rPr>
        <w:t xml:space="preserve"> P, Sutton W. Epidemiology of </w:t>
      </w:r>
      <w:proofErr w:type="spellStart"/>
      <w:r w:rsidRPr="003736C5">
        <w:rPr>
          <w:rFonts w:ascii="Arial" w:hAnsi="Arial" w:cs="Arial"/>
          <w:color w:val="222222"/>
          <w:sz w:val="20"/>
          <w:shd w:val="clear" w:color="auto" w:fill="FFFFFF"/>
          <w:lang w:val="en-US" w:eastAsia="en-US"/>
        </w:rPr>
        <w:t>Phytophthora</w:t>
      </w:r>
      <w:proofErr w:type="spellEnd"/>
      <w:r w:rsidRPr="003736C5">
        <w:rPr>
          <w:rFonts w:ascii="Arial" w:hAnsi="Arial" w:cs="Arial"/>
          <w:color w:val="222222"/>
          <w:sz w:val="20"/>
          <w:shd w:val="clear" w:color="auto" w:fill="FFFFFF"/>
          <w:lang w:val="en-US" w:eastAsia="en-US"/>
        </w:rPr>
        <w:t xml:space="preserve"> </w:t>
      </w:r>
      <w:proofErr w:type="spellStart"/>
      <w:r w:rsidRPr="003736C5">
        <w:rPr>
          <w:rFonts w:ascii="Arial" w:hAnsi="Arial" w:cs="Arial"/>
          <w:color w:val="222222"/>
          <w:sz w:val="20"/>
          <w:shd w:val="clear" w:color="auto" w:fill="FFFFFF"/>
          <w:lang w:val="en-US" w:eastAsia="en-US"/>
        </w:rPr>
        <w:t>ramorum</w:t>
      </w:r>
      <w:proofErr w:type="spellEnd"/>
      <w:r w:rsidRPr="003736C5">
        <w:rPr>
          <w:rFonts w:ascii="Arial" w:hAnsi="Arial" w:cs="Arial"/>
          <w:color w:val="222222"/>
          <w:sz w:val="20"/>
          <w:shd w:val="clear" w:color="auto" w:fill="FFFFFF"/>
          <w:lang w:val="en-US" w:eastAsia="en-US"/>
        </w:rPr>
        <w:t xml:space="preserve"> in Oregon tanoak forests. Canadian Journal of Forest Research. 2008 Apr 24;38(5):1133-43. (</w:t>
      </w:r>
      <w:proofErr w:type="spellStart"/>
      <w:r w:rsidRPr="003736C5">
        <w:rPr>
          <w:rFonts w:ascii="Arial" w:hAnsi="Arial" w:cs="Arial"/>
          <w:color w:val="222222"/>
          <w:sz w:val="20"/>
          <w:shd w:val="clear" w:color="auto" w:fill="FFFFFF"/>
          <w:lang w:val="en-US" w:eastAsia="en-US"/>
        </w:rPr>
        <w:t>doi</w:t>
      </w:r>
      <w:proofErr w:type="spellEnd"/>
      <w:r w:rsidRPr="003736C5">
        <w:rPr>
          <w:rFonts w:ascii="Arial" w:hAnsi="Arial" w:cs="Arial"/>
          <w:color w:val="222222"/>
          <w:sz w:val="20"/>
          <w:shd w:val="clear" w:color="auto" w:fill="FFFFFF"/>
          <w:lang w:val="en-US" w:eastAsia="en-US"/>
        </w:rPr>
        <w:t>: 10.1139/x07-217)</w:t>
      </w:r>
    </w:p>
    <w:p w:rsidR="00E02C2B" w:rsidRPr="003736C5" w:rsidRDefault="00E02C2B" w:rsidP="00E02C2B">
      <w:pPr>
        <w:rPr>
          <w:szCs w:val="24"/>
          <w:lang w:val="en-US" w:eastAsia="en-US"/>
        </w:rPr>
      </w:pPr>
    </w:p>
    <w:p w:rsidR="00E02C2B" w:rsidRPr="003736C5" w:rsidRDefault="00E02C2B" w:rsidP="00E02C2B">
      <w:pPr>
        <w:rPr>
          <w:szCs w:val="24"/>
          <w:lang w:val="en-US" w:eastAsia="en-US"/>
        </w:rPr>
      </w:pPr>
      <w:proofErr w:type="gramStart"/>
      <w:r w:rsidRPr="003736C5">
        <w:rPr>
          <w:rFonts w:ascii="Arial" w:hAnsi="Arial" w:cs="Arial"/>
          <w:color w:val="222222"/>
          <w:sz w:val="20"/>
          <w:shd w:val="clear" w:color="auto" w:fill="FFFFFF"/>
          <w:lang w:val="en-US" w:eastAsia="en-US"/>
        </w:rPr>
        <w:t>6  Peterson</w:t>
      </w:r>
      <w:proofErr w:type="gramEnd"/>
      <w:r w:rsidRPr="003736C5">
        <w:rPr>
          <w:rFonts w:ascii="Arial" w:hAnsi="Arial" w:cs="Arial"/>
          <w:color w:val="222222"/>
          <w:sz w:val="20"/>
          <w:shd w:val="clear" w:color="auto" w:fill="FFFFFF"/>
          <w:lang w:val="en-US" w:eastAsia="en-US"/>
        </w:rPr>
        <w:t xml:space="preserve"> EK, Hansen EM, </w:t>
      </w:r>
      <w:proofErr w:type="spellStart"/>
      <w:r w:rsidRPr="003736C5">
        <w:rPr>
          <w:rFonts w:ascii="Arial" w:hAnsi="Arial" w:cs="Arial"/>
          <w:color w:val="222222"/>
          <w:sz w:val="20"/>
          <w:shd w:val="clear" w:color="auto" w:fill="FFFFFF"/>
          <w:lang w:val="en-US" w:eastAsia="en-US"/>
        </w:rPr>
        <w:t>Kanaskie</w:t>
      </w:r>
      <w:proofErr w:type="spellEnd"/>
      <w:r w:rsidRPr="003736C5">
        <w:rPr>
          <w:rFonts w:ascii="Arial" w:hAnsi="Arial" w:cs="Arial"/>
          <w:color w:val="222222"/>
          <w:sz w:val="20"/>
          <w:shd w:val="clear" w:color="auto" w:fill="FFFFFF"/>
          <w:lang w:val="en-US" w:eastAsia="en-US"/>
        </w:rPr>
        <w:t xml:space="preserve"> A. Temporal epidemiology of sudden oak death in Oregon. Phytopathology. 2015 Jul 6;105(7):937-46. (doi:10.1094/phyto-12-14-0348-fi)</w:t>
      </w:r>
    </w:p>
    <w:p w:rsidR="00E02C2B" w:rsidRPr="003736C5" w:rsidRDefault="00E02C2B" w:rsidP="00E02C2B">
      <w:pPr>
        <w:rPr>
          <w:szCs w:val="24"/>
          <w:lang w:val="en-US" w:eastAsia="en-US"/>
        </w:rPr>
      </w:pPr>
    </w:p>
    <w:p w:rsidR="00E02C2B" w:rsidRPr="003736C5" w:rsidRDefault="00E02C2B" w:rsidP="00E02C2B">
      <w:pPr>
        <w:rPr>
          <w:szCs w:val="24"/>
          <w:lang w:val="en-US" w:eastAsia="en-US"/>
        </w:rPr>
      </w:pPr>
      <w:proofErr w:type="gramStart"/>
      <w:r w:rsidRPr="003736C5">
        <w:rPr>
          <w:rFonts w:ascii="Arial" w:hAnsi="Arial" w:cs="Arial"/>
          <w:color w:val="222222"/>
          <w:sz w:val="20"/>
          <w:shd w:val="clear" w:color="auto" w:fill="FFFFFF"/>
          <w:lang w:val="en-US" w:eastAsia="en-US"/>
        </w:rPr>
        <w:t>7  </w:t>
      </w:r>
      <w:proofErr w:type="spellStart"/>
      <w:r w:rsidRPr="003736C5">
        <w:rPr>
          <w:rFonts w:ascii="Arial" w:hAnsi="Arial" w:cs="Arial"/>
          <w:color w:val="222222"/>
          <w:sz w:val="20"/>
          <w:shd w:val="clear" w:color="auto" w:fill="FFFFFF"/>
          <w:lang w:val="en-US" w:eastAsia="en-US"/>
        </w:rPr>
        <w:t>Václavík</w:t>
      </w:r>
      <w:proofErr w:type="spellEnd"/>
      <w:proofErr w:type="gramEnd"/>
      <w:r w:rsidRPr="003736C5">
        <w:rPr>
          <w:rFonts w:ascii="Arial" w:hAnsi="Arial" w:cs="Arial"/>
          <w:color w:val="222222"/>
          <w:sz w:val="20"/>
          <w:shd w:val="clear" w:color="auto" w:fill="FFFFFF"/>
          <w:lang w:val="en-US" w:eastAsia="en-US"/>
        </w:rPr>
        <w:t xml:space="preserve"> T, </w:t>
      </w:r>
      <w:proofErr w:type="spellStart"/>
      <w:r w:rsidRPr="003736C5">
        <w:rPr>
          <w:rFonts w:ascii="Arial" w:hAnsi="Arial" w:cs="Arial"/>
          <w:color w:val="222222"/>
          <w:sz w:val="20"/>
          <w:shd w:val="clear" w:color="auto" w:fill="FFFFFF"/>
          <w:lang w:val="en-US" w:eastAsia="en-US"/>
        </w:rPr>
        <w:t>Kanaskie</w:t>
      </w:r>
      <w:proofErr w:type="spellEnd"/>
      <w:r w:rsidRPr="003736C5">
        <w:rPr>
          <w:rFonts w:ascii="Arial" w:hAnsi="Arial" w:cs="Arial"/>
          <w:color w:val="222222"/>
          <w:sz w:val="20"/>
          <w:shd w:val="clear" w:color="auto" w:fill="FFFFFF"/>
          <w:lang w:val="en-US" w:eastAsia="en-US"/>
        </w:rPr>
        <w:t xml:space="preserve"> A, Hansen EM, </w:t>
      </w:r>
      <w:proofErr w:type="spellStart"/>
      <w:r w:rsidRPr="003736C5">
        <w:rPr>
          <w:rFonts w:ascii="Arial" w:hAnsi="Arial" w:cs="Arial"/>
          <w:color w:val="222222"/>
          <w:sz w:val="20"/>
          <w:shd w:val="clear" w:color="auto" w:fill="FFFFFF"/>
          <w:lang w:val="en-US" w:eastAsia="en-US"/>
        </w:rPr>
        <w:t>Ohmann</w:t>
      </w:r>
      <w:proofErr w:type="spellEnd"/>
      <w:r w:rsidRPr="003736C5">
        <w:rPr>
          <w:rFonts w:ascii="Arial" w:hAnsi="Arial" w:cs="Arial"/>
          <w:color w:val="222222"/>
          <w:sz w:val="20"/>
          <w:shd w:val="clear" w:color="auto" w:fill="FFFFFF"/>
          <w:lang w:val="en-US" w:eastAsia="en-US"/>
        </w:rPr>
        <w:t xml:space="preserve"> JL, Meentemeyer RK. Predicting potential and actual distribution of sudden oak death in Oregon: prioritizing landscape contexts for early detection and eradication of disease outbreaks. Forest Ecology and Management. 2010 Aug 15;260(6):1026-35. (</w:t>
      </w:r>
      <w:proofErr w:type="spellStart"/>
      <w:r w:rsidRPr="003736C5">
        <w:rPr>
          <w:rFonts w:ascii="Arial" w:hAnsi="Arial" w:cs="Arial"/>
          <w:color w:val="222222"/>
          <w:sz w:val="20"/>
          <w:shd w:val="clear" w:color="auto" w:fill="FFFFFF"/>
          <w:lang w:val="en-US" w:eastAsia="en-US"/>
        </w:rPr>
        <w:t>doi</w:t>
      </w:r>
      <w:proofErr w:type="spellEnd"/>
      <w:r w:rsidRPr="003736C5">
        <w:rPr>
          <w:rFonts w:ascii="Arial" w:hAnsi="Arial" w:cs="Arial"/>
          <w:color w:val="222222"/>
          <w:sz w:val="20"/>
          <w:shd w:val="clear" w:color="auto" w:fill="FFFFFF"/>
          <w:lang w:val="en-US" w:eastAsia="en-US"/>
        </w:rPr>
        <w:t>: 10.1016/j.foreco.2010.06.026)</w:t>
      </w:r>
    </w:p>
    <w:p w:rsidR="00E02C2B" w:rsidRPr="003736C5" w:rsidRDefault="00E02C2B" w:rsidP="00E02C2B">
      <w:pPr>
        <w:rPr>
          <w:szCs w:val="24"/>
          <w:lang w:val="en-US" w:eastAsia="en-US"/>
        </w:rPr>
      </w:pPr>
    </w:p>
    <w:p w:rsidR="00E02C2B" w:rsidRPr="003736C5" w:rsidRDefault="00E02C2B" w:rsidP="00E02C2B">
      <w:pPr>
        <w:rPr>
          <w:szCs w:val="24"/>
          <w:lang w:val="en-US" w:eastAsia="en-US"/>
        </w:rPr>
      </w:pPr>
      <w:r w:rsidRPr="003736C5">
        <w:rPr>
          <w:rFonts w:ascii="Arial" w:hAnsi="Arial" w:cs="Arial"/>
          <w:color w:val="000000"/>
          <w:sz w:val="20"/>
          <w:shd w:val="clear" w:color="auto" w:fill="FFFFFF"/>
          <w:lang w:val="en-US" w:eastAsia="en-US"/>
        </w:rPr>
        <w:t xml:space="preserve">8 </w:t>
      </w:r>
      <w:proofErr w:type="spellStart"/>
      <w:r w:rsidRPr="003736C5">
        <w:rPr>
          <w:rFonts w:ascii="Arial" w:hAnsi="Arial" w:cs="Arial"/>
          <w:color w:val="000000"/>
          <w:sz w:val="20"/>
          <w:shd w:val="clear" w:color="auto" w:fill="FFFFFF"/>
          <w:lang w:val="en-US" w:eastAsia="en-US"/>
        </w:rPr>
        <w:t>Ohmann</w:t>
      </w:r>
      <w:proofErr w:type="spellEnd"/>
      <w:r w:rsidRPr="003736C5">
        <w:rPr>
          <w:rFonts w:ascii="Arial" w:hAnsi="Arial" w:cs="Arial"/>
          <w:color w:val="000000"/>
          <w:sz w:val="20"/>
          <w:shd w:val="clear" w:color="auto" w:fill="FFFFFF"/>
          <w:lang w:val="en-US" w:eastAsia="en-US"/>
        </w:rPr>
        <w:t xml:space="preserve"> JL, Gregory MJ. Predictive mapping of forest composition and structure with direct gradient analysis and nearest-neighbor imputation in coastal Oregon, USA. Canadian Journal of Forest Research. 2002 Apr 1;32(4):725-41. (</w:t>
      </w:r>
      <w:proofErr w:type="spellStart"/>
      <w:r w:rsidRPr="003736C5">
        <w:rPr>
          <w:rFonts w:ascii="Arial" w:hAnsi="Arial" w:cs="Arial"/>
          <w:color w:val="000000"/>
          <w:sz w:val="20"/>
          <w:shd w:val="clear" w:color="auto" w:fill="FFFFFF"/>
          <w:lang w:val="en-US" w:eastAsia="en-US"/>
        </w:rPr>
        <w:t>doi</w:t>
      </w:r>
      <w:proofErr w:type="spellEnd"/>
      <w:r w:rsidRPr="003736C5">
        <w:rPr>
          <w:rFonts w:ascii="Arial" w:hAnsi="Arial" w:cs="Arial"/>
          <w:color w:val="000000"/>
          <w:sz w:val="20"/>
          <w:shd w:val="clear" w:color="auto" w:fill="FFFFFF"/>
          <w:lang w:val="en-US" w:eastAsia="en-US"/>
        </w:rPr>
        <w:t>: 10.1139/x02-011)</w:t>
      </w:r>
    </w:p>
    <w:p w:rsidR="00E02C2B" w:rsidRPr="003736C5" w:rsidRDefault="00E02C2B" w:rsidP="00E02C2B">
      <w:pPr>
        <w:rPr>
          <w:szCs w:val="24"/>
          <w:lang w:val="en-US" w:eastAsia="en-US"/>
        </w:rPr>
      </w:pPr>
    </w:p>
    <w:p w:rsidR="00E02C2B" w:rsidRPr="003736C5" w:rsidRDefault="00E02C2B" w:rsidP="00E02C2B">
      <w:pPr>
        <w:rPr>
          <w:szCs w:val="24"/>
          <w:lang w:val="en-US" w:eastAsia="en-US"/>
        </w:rPr>
      </w:pPr>
      <w:r w:rsidRPr="003736C5">
        <w:rPr>
          <w:rFonts w:ascii="Arial" w:hAnsi="Arial" w:cs="Arial"/>
          <w:color w:val="000000"/>
          <w:sz w:val="20"/>
          <w:lang w:val="en-US" w:eastAsia="en-US"/>
        </w:rPr>
        <w:t xml:space="preserve">9  PRISM Climate Group, Oregon State University, </w:t>
      </w:r>
      <w:hyperlink r:id="rId11" w:history="1">
        <w:r w:rsidRPr="003736C5">
          <w:rPr>
            <w:rFonts w:ascii="Arial" w:hAnsi="Arial" w:cs="Arial"/>
            <w:color w:val="1155CC"/>
            <w:sz w:val="20"/>
            <w:u w:val="single"/>
            <w:lang w:val="en-US" w:eastAsia="en-US"/>
          </w:rPr>
          <w:t>http://prism.oregonstate.edu</w:t>
        </w:r>
      </w:hyperlink>
      <w:r w:rsidRPr="003736C5">
        <w:rPr>
          <w:rFonts w:ascii="Arial" w:hAnsi="Arial" w:cs="Arial"/>
          <w:color w:val="000000"/>
          <w:sz w:val="20"/>
          <w:lang w:val="en-US" w:eastAsia="en-US"/>
        </w:rPr>
        <w:t>, created 4 Feb 2004</w:t>
      </w:r>
    </w:p>
    <w:p w:rsidR="00E02C2B" w:rsidRPr="003736C5" w:rsidRDefault="00E02C2B" w:rsidP="00E02C2B">
      <w:pPr>
        <w:rPr>
          <w:szCs w:val="24"/>
          <w:lang w:val="en-US" w:eastAsia="en-US"/>
        </w:rPr>
      </w:pPr>
    </w:p>
    <w:p w:rsidR="00E02C2B" w:rsidRPr="003736C5" w:rsidRDefault="00E02C2B" w:rsidP="00E02C2B">
      <w:pPr>
        <w:rPr>
          <w:szCs w:val="24"/>
          <w:lang w:val="en-US" w:eastAsia="en-US"/>
        </w:rPr>
      </w:pPr>
      <w:proofErr w:type="gramStart"/>
      <w:r w:rsidRPr="003736C5">
        <w:rPr>
          <w:rFonts w:ascii="Arial" w:hAnsi="Arial" w:cs="Arial"/>
          <w:color w:val="222222"/>
          <w:sz w:val="20"/>
          <w:shd w:val="clear" w:color="auto" w:fill="FFFFFF"/>
          <w:lang w:val="en-US" w:eastAsia="en-US"/>
        </w:rPr>
        <w:t xml:space="preserve">10 </w:t>
      </w:r>
      <w:r w:rsidRPr="003736C5">
        <w:rPr>
          <w:rFonts w:ascii="Arial" w:hAnsi="Arial" w:cs="Arial"/>
          <w:color w:val="000000"/>
          <w:sz w:val="20"/>
          <w:shd w:val="clear" w:color="auto" w:fill="FFFFFF"/>
          <w:lang w:val="en-US" w:eastAsia="en-US"/>
        </w:rPr>
        <w:t> GRASS</w:t>
      </w:r>
      <w:proofErr w:type="gramEnd"/>
      <w:r w:rsidRPr="003736C5">
        <w:rPr>
          <w:rFonts w:ascii="Arial" w:hAnsi="Arial" w:cs="Arial"/>
          <w:color w:val="000000"/>
          <w:sz w:val="20"/>
          <w:shd w:val="clear" w:color="auto" w:fill="FFFFFF"/>
          <w:lang w:val="en-US" w:eastAsia="en-US"/>
        </w:rPr>
        <w:t xml:space="preserve"> Development Team, 2018. Geographic Resources Analysis Support System (GRASS) Software, Version 7.4. Open Source Geospatial Foundation. </w:t>
      </w:r>
      <w:hyperlink r:id="rId12" w:history="1">
        <w:r w:rsidRPr="003736C5">
          <w:rPr>
            <w:rFonts w:ascii="Arial" w:hAnsi="Arial" w:cs="Arial"/>
            <w:color w:val="000000"/>
            <w:sz w:val="20"/>
            <w:u w:val="single"/>
            <w:shd w:val="clear" w:color="auto" w:fill="FFFFFF"/>
            <w:lang w:val="en-US" w:eastAsia="en-US"/>
          </w:rPr>
          <w:t>http://grass.osgeo.org</w:t>
        </w:r>
      </w:hyperlink>
    </w:p>
    <w:p w:rsidR="00E02C2B" w:rsidRDefault="00E02C2B" w:rsidP="00E02C2B">
      <w:pPr>
        <w:rPr>
          <w:rFonts w:ascii="Arial" w:hAnsi="Arial" w:cs="Arial"/>
          <w:color w:val="222222"/>
          <w:sz w:val="20"/>
          <w:shd w:val="clear" w:color="auto" w:fill="FFFFFF"/>
          <w:lang w:val="en-US" w:eastAsia="en-US"/>
        </w:rPr>
      </w:pPr>
      <w:r w:rsidRPr="003736C5">
        <w:rPr>
          <w:szCs w:val="24"/>
          <w:lang w:val="en-US" w:eastAsia="en-US"/>
        </w:rPr>
        <w:br/>
      </w:r>
      <w:proofErr w:type="gramStart"/>
      <w:r w:rsidRPr="003736C5">
        <w:rPr>
          <w:rFonts w:ascii="Arial" w:hAnsi="Arial" w:cs="Arial"/>
          <w:color w:val="000000"/>
          <w:sz w:val="20"/>
          <w:lang w:val="en-US" w:eastAsia="en-US"/>
        </w:rPr>
        <w:t>11  </w:t>
      </w:r>
      <w:proofErr w:type="spellStart"/>
      <w:r w:rsidRPr="003736C5">
        <w:rPr>
          <w:rFonts w:ascii="Arial" w:hAnsi="Arial" w:cs="Arial"/>
          <w:color w:val="222222"/>
          <w:sz w:val="20"/>
          <w:shd w:val="clear" w:color="auto" w:fill="FFFFFF"/>
          <w:lang w:val="en-US" w:eastAsia="en-US"/>
        </w:rPr>
        <w:t>Petrasova</w:t>
      </w:r>
      <w:proofErr w:type="spellEnd"/>
      <w:proofErr w:type="gramEnd"/>
      <w:r w:rsidRPr="003736C5">
        <w:rPr>
          <w:rFonts w:ascii="Arial" w:hAnsi="Arial" w:cs="Arial"/>
          <w:color w:val="222222"/>
          <w:sz w:val="20"/>
          <w:shd w:val="clear" w:color="auto" w:fill="FFFFFF"/>
          <w:lang w:val="en-US" w:eastAsia="en-US"/>
        </w:rPr>
        <w:t xml:space="preserve"> A, Harmon B, </w:t>
      </w:r>
      <w:proofErr w:type="spellStart"/>
      <w:r w:rsidRPr="003736C5">
        <w:rPr>
          <w:rFonts w:ascii="Arial" w:hAnsi="Arial" w:cs="Arial"/>
          <w:color w:val="222222"/>
          <w:sz w:val="20"/>
          <w:shd w:val="clear" w:color="auto" w:fill="FFFFFF"/>
          <w:lang w:val="en-US" w:eastAsia="en-US"/>
        </w:rPr>
        <w:t>Petras</w:t>
      </w:r>
      <w:proofErr w:type="spellEnd"/>
      <w:r w:rsidRPr="003736C5">
        <w:rPr>
          <w:rFonts w:ascii="Arial" w:hAnsi="Arial" w:cs="Arial"/>
          <w:color w:val="222222"/>
          <w:sz w:val="20"/>
          <w:shd w:val="clear" w:color="auto" w:fill="FFFFFF"/>
          <w:lang w:val="en-US" w:eastAsia="en-US"/>
        </w:rPr>
        <w:t xml:space="preserve"> V, </w:t>
      </w:r>
      <w:proofErr w:type="spellStart"/>
      <w:r w:rsidRPr="003736C5">
        <w:rPr>
          <w:rFonts w:ascii="Arial" w:hAnsi="Arial" w:cs="Arial"/>
          <w:color w:val="222222"/>
          <w:sz w:val="20"/>
          <w:shd w:val="clear" w:color="auto" w:fill="FFFFFF"/>
          <w:lang w:val="en-US" w:eastAsia="en-US"/>
        </w:rPr>
        <w:t>Tabrizian</w:t>
      </w:r>
      <w:proofErr w:type="spellEnd"/>
      <w:r w:rsidRPr="003736C5">
        <w:rPr>
          <w:rFonts w:ascii="Arial" w:hAnsi="Arial" w:cs="Arial"/>
          <w:color w:val="222222"/>
          <w:sz w:val="20"/>
          <w:shd w:val="clear" w:color="auto" w:fill="FFFFFF"/>
          <w:lang w:val="en-US" w:eastAsia="en-US"/>
        </w:rPr>
        <w:t xml:space="preserve"> P, </w:t>
      </w:r>
      <w:proofErr w:type="spellStart"/>
      <w:r w:rsidRPr="003736C5">
        <w:rPr>
          <w:rFonts w:ascii="Arial" w:hAnsi="Arial" w:cs="Arial"/>
          <w:color w:val="222222"/>
          <w:sz w:val="20"/>
          <w:shd w:val="clear" w:color="auto" w:fill="FFFFFF"/>
          <w:lang w:val="en-US" w:eastAsia="en-US"/>
        </w:rPr>
        <w:t>Mitasova</w:t>
      </w:r>
      <w:proofErr w:type="spellEnd"/>
      <w:r w:rsidRPr="003736C5">
        <w:rPr>
          <w:rFonts w:ascii="Arial" w:hAnsi="Arial" w:cs="Arial"/>
          <w:color w:val="222222"/>
          <w:sz w:val="20"/>
          <w:shd w:val="clear" w:color="auto" w:fill="FFFFFF"/>
          <w:lang w:val="en-US" w:eastAsia="en-US"/>
        </w:rPr>
        <w:t xml:space="preserve"> H. Tangible modeling with open source GIS: Second Edition. New York: Springer International Publishing; 2018. (</w:t>
      </w:r>
      <w:proofErr w:type="spellStart"/>
      <w:r w:rsidRPr="003736C5">
        <w:rPr>
          <w:rFonts w:ascii="Arial" w:hAnsi="Arial" w:cs="Arial"/>
          <w:color w:val="222222"/>
          <w:sz w:val="20"/>
          <w:shd w:val="clear" w:color="auto" w:fill="FFFFFF"/>
          <w:lang w:val="en-US" w:eastAsia="en-US"/>
        </w:rPr>
        <w:t>doi</w:t>
      </w:r>
      <w:proofErr w:type="spellEnd"/>
      <w:r w:rsidRPr="003736C5">
        <w:rPr>
          <w:rFonts w:ascii="Arial" w:hAnsi="Arial" w:cs="Arial"/>
          <w:color w:val="222222"/>
          <w:sz w:val="20"/>
          <w:shd w:val="clear" w:color="auto" w:fill="FFFFFF"/>
          <w:lang w:val="en-US" w:eastAsia="en-US"/>
        </w:rPr>
        <w:t>: 10.1007/978-3-329-89303-7)</w:t>
      </w:r>
    </w:p>
    <w:p w:rsidR="00514B3F" w:rsidRDefault="00514B3F"/>
    <w:sectPr w:rsidR="00514B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Roman">
    <w:altName w:val="Malgun Gothic Semilight"/>
    <w:charset w:val="00"/>
    <w:family w:val="roman"/>
    <w:pitch w:val="variable"/>
    <w:sig w:usb0="00000001"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C2B"/>
    <w:rsid w:val="00514B3F"/>
    <w:rsid w:val="00E02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31D1A"/>
  <w15:chartTrackingRefBased/>
  <w15:docId w15:val="{63A8E644-5F86-4AD8-8989-2A2F5A9F2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C2B"/>
    <w:pPr>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angible-landscape.github.io/" TargetMode="External"/><Relationship Id="rId12" Type="http://schemas.openxmlformats.org/officeDocument/2006/relationships/hyperlink" Target="http://grass.osgeo.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rass.osgeo.org/grass74/manuals/addons/r.spread.sod.html" TargetMode="External"/><Relationship Id="rId11" Type="http://schemas.openxmlformats.org/officeDocument/2006/relationships/hyperlink" Target="http://prism.oregonstate.edu" TargetMode="External"/><Relationship Id="rId5" Type="http://schemas.openxmlformats.org/officeDocument/2006/relationships/hyperlink" Target="http://www.prism.oregonstate.edu/" TargetMode="External"/><Relationship Id="rId10" Type="http://schemas.openxmlformats.org/officeDocument/2006/relationships/image" Target="media/image3.png"/><Relationship Id="rId4" Type="http://schemas.openxmlformats.org/officeDocument/2006/relationships/hyperlink" Target="https://lemma.forestry.oregonstate.edu/" TargetMode="Externa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1640</Words>
  <Characters>9351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Royal Society</Company>
  <LinksUpToDate>false</LinksUpToDate>
  <CharactersWithSpaces>10970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 Helen</dc:creator>
  <cp:keywords/>
  <dc:description/>
  <cp:lastModifiedBy>Eaton, Helen</cp:lastModifiedBy>
  <cp:revision>1</cp:revision>
  <dcterms:created xsi:type="dcterms:W3CDTF">2019-03-25T17:31:00Z</dcterms:created>
  <dcterms:modified xsi:type="dcterms:W3CDTF">2019-03-25T17:32:00Z</dcterms:modified>
</cp:coreProperties>
</file>