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2C5D5" w14:textId="77777777" w:rsidR="00716156" w:rsidRPr="003B40E6" w:rsidRDefault="00716156" w:rsidP="00716156">
      <w:pPr>
        <w:rPr>
          <w:sz w:val="36"/>
          <w:szCs w:val="36"/>
        </w:rPr>
      </w:pPr>
      <w:r>
        <w:rPr>
          <w:sz w:val="36"/>
          <w:szCs w:val="36"/>
        </w:rPr>
        <w:t>Supplementary Information for</w:t>
      </w:r>
    </w:p>
    <w:p w14:paraId="39FC50E6" w14:textId="77777777" w:rsidR="00716156" w:rsidRDefault="00716156" w:rsidP="00716156"/>
    <w:p w14:paraId="1FB868B4" w14:textId="77777777" w:rsidR="00716156" w:rsidRPr="00C2044E" w:rsidRDefault="00716156" w:rsidP="00716156">
      <w:pPr>
        <w:rPr>
          <w:sz w:val="28"/>
          <w:szCs w:val="28"/>
        </w:rPr>
      </w:pPr>
      <w:r w:rsidRPr="00C2044E">
        <w:rPr>
          <w:sz w:val="28"/>
          <w:szCs w:val="28"/>
        </w:rPr>
        <w:t>A global meta-analysis on risk of parasitic infection in domestic cats (</w:t>
      </w:r>
      <w:r w:rsidRPr="00C2044E">
        <w:rPr>
          <w:i/>
          <w:sz w:val="28"/>
          <w:szCs w:val="28"/>
        </w:rPr>
        <w:t>Felis catus</w:t>
      </w:r>
      <w:r w:rsidRPr="00C2044E">
        <w:rPr>
          <w:sz w:val="28"/>
          <w:szCs w:val="28"/>
        </w:rPr>
        <w:t>) with outdoor access</w:t>
      </w:r>
    </w:p>
    <w:p w14:paraId="009574CC" w14:textId="77777777" w:rsidR="00716156" w:rsidRPr="007108F5" w:rsidRDefault="00716156" w:rsidP="00716156">
      <w:pPr>
        <w:rPr>
          <w:sz w:val="28"/>
          <w:szCs w:val="28"/>
        </w:rPr>
      </w:pPr>
    </w:p>
    <w:p w14:paraId="00AE5A74" w14:textId="77777777" w:rsidR="00716156" w:rsidRPr="00C2044E" w:rsidRDefault="00716156" w:rsidP="00716156">
      <w:pPr>
        <w:suppressLineNumbers/>
        <w:spacing w:line="480" w:lineRule="auto"/>
        <w:contextualSpacing/>
        <w:rPr>
          <w:vertAlign w:val="superscript"/>
        </w:rPr>
      </w:pPr>
      <w:r w:rsidRPr="00976AE1">
        <w:t>Kayleigh Chalkowski</w:t>
      </w:r>
      <w:r w:rsidRPr="00A16B45">
        <w:t xml:space="preserve">, </w:t>
      </w:r>
      <w:r w:rsidRPr="00255329">
        <w:t xml:space="preserve">Alan </w:t>
      </w:r>
      <w:r>
        <w:t xml:space="preserve">E. </w:t>
      </w:r>
      <w:r w:rsidRPr="00255329">
        <w:t>Wilson, Christopher A. Lepczyk, and Sarah Zohdy</w:t>
      </w:r>
    </w:p>
    <w:p w14:paraId="3BD0CB4A" w14:textId="77777777" w:rsidR="00716156" w:rsidRDefault="00716156" w:rsidP="00716156">
      <w:pPr>
        <w:rPr>
          <w:szCs w:val="24"/>
        </w:rPr>
      </w:pPr>
      <w:r>
        <w:rPr>
          <w:szCs w:val="24"/>
        </w:rPr>
        <w:t>Kayleigh Chalkowski</w:t>
      </w:r>
    </w:p>
    <w:p w14:paraId="5413AF3B" w14:textId="77777777" w:rsidR="00716156" w:rsidRDefault="00716156" w:rsidP="00716156">
      <w:pPr>
        <w:rPr>
          <w:szCs w:val="24"/>
        </w:rPr>
      </w:pPr>
      <w:r>
        <w:rPr>
          <w:szCs w:val="24"/>
        </w:rPr>
        <w:t xml:space="preserve">Email:  </w:t>
      </w:r>
      <w:hyperlink r:id="rId8" w:history="1">
        <w:r>
          <w:rPr>
            <w:szCs w:val="24"/>
          </w:rPr>
          <w:t>kzc0061@auburn.edu</w:t>
        </w:r>
      </w:hyperlink>
    </w:p>
    <w:p w14:paraId="123657C2" w14:textId="77777777" w:rsidR="00716156" w:rsidRDefault="00716156" w:rsidP="00716156"/>
    <w:p w14:paraId="49D1617A" w14:textId="77777777" w:rsidR="00716156" w:rsidRDefault="00716156" w:rsidP="00716156">
      <w:pPr>
        <w:rPr>
          <w:b/>
        </w:rPr>
      </w:pPr>
    </w:p>
    <w:p w14:paraId="00956169" w14:textId="77777777" w:rsidR="00716156" w:rsidRPr="00262D72" w:rsidRDefault="00716156" w:rsidP="00716156">
      <w:pPr>
        <w:rPr>
          <w:b/>
        </w:rPr>
      </w:pPr>
      <w:r>
        <w:rPr>
          <w:b/>
        </w:rPr>
        <w:t xml:space="preserve">This PDF file </w:t>
      </w:r>
      <w:r w:rsidRPr="00262D72">
        <w:rPr>
          <w:b/>
        </w:rPr>
        <w:t>includes:</w:t>
      </w:r>
    </w:p>
    <w:p w14:paraId="7DC6B5AF" w14:textId="77777777" w:rsidR="00716156" w:rsidRDefault="00716156" w:rsidP="00716156"/>
    <w:p w14:paraId="4B34F1C9" w14:textId="77777777" w:rsidR="00716156" w:rsidRDefault="00C46011" w:rsidP="00716156">
      <w:pPr>
        <w:ind w:left="720"/>
      </w:pPr>
      <w:r>
        <w:t>Figs. S1 to S2</w:t>
      </w:r>
    </w:p>
    <w:p w14:paraId="492C9119" w14:textId="77777777" w:rsidR="00716156" w:rsidRDefault="00C46011" w:rsidP="00716156">
      <w:pPr>
        <w:ind w:left="720"/>
      </w:pPr>
      <w:r>
        <w:t>Table S1</w:t>
      </w:r>
    </w:p>
    <w:p w14:paraId="4DC74732" w14:textId="77777777" w:rsidR="00716156" w:rsidRDefault="00716156" w:rsidP="00716156">
      <w:pPr>
        <w:ind w:left="720"/>
      </w:pPr>
      <w:r>
        <w:t>References for SI reference citations</w:t>
      </w:r>
      <w:bookmarkStart w:id="0" w:name="_GoBack"/>
      <w:bookmarkEnd w:id="0"/>
    </w:p>
    <w:p w14:paraId="71031E34" w14:textId="77777777" w:rsidR="00716156" w:rsidRDefault="00716156" w:rsidP="00716156"/>
    <w:p w14:paraId="1FAAB750" w14:textId="77777777" w:rsidR="00716156" w:rsidRDefault="00716156" w:rsidP="00716156">
      <w:pPr>
        <w:spacing w:line="480" w:lineRule="auto"/>
        <w:contextualSpacing/>
        <w:rPr>
          <w:sz w:val="22"/>
          <w:szCs w:val="22"/>
        </w:rPr>
      </w:pPr>
      <w:r>
        <w:rPr>
          <w:noProof/>
          <w:sz w:val="22"/>
          <w:szCs w:val="22"/>
        </w:rPr>
        <w:lastRenderedPageBreak/>
        <w:drawing>
          <wp:inline distT="0" distB="0" distL="0" distR="0" wp14:anchorId="0934E2CB" wp14:editId="4CED44AF">
            <wp:extent cx="5255260" cy="8229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kowskietal_SuppFig1_29SEP2018.png"/>
                    <pic:cNvPicPr/>
                  </pic:nvPicPr>
                  <pic:blipFill>
                    <a:blip r:embed="rId9">
                      <a:extLst>
                        <a:ext uri="{28A0092B-C50C-407E-A947-70E740481C1C}">
                          <a14:useLocalDpi xmlns:a14="http://schemas.microsoft.com/office/drawing/2010/main" val="0"/>
                        </a:ext>
                      </a:extLst>
                    </a:blip>
                    <a:stretch>
                      <a:fillRect/>
                    </a:stretch>
                  </pic:blipFill>
                  <pic:spPr>
                    <a:xfrm>
                      <a:off x="0" y="0"/>
                      <a:ext cx="5255260" cy="8229600"/>
                    </a:xfrm>
                    <a:prstGeom prst="rect">
                      <a:avLst/>
                    </a:prstGeom>
                  </pic:spPr>
                </pic:pic>
              </a:graphicData>
            </a:graphic>
          </wp:inline>
        </w:drawing>
      </w:r>
    </w:p>
    <w:p w14:paraId="73474CCE" w14:textId="77777777" w:rsidR="00716156" w:rsidRPr="00C2044E" w:rsidRDefault="00716156" w:rsidP="00716156">
      <w:pPr>
        <w:spacing w:line="480" w:lineRule="auto"/>
        <w:contextualSpacing/>
      </w:pPr>
      <w:r w:rsidRPr="00820484">
        <w:rPr>
          <w:sz w:val="22"/>
          <w:szCs w:val="22"/>
        </w:rPr>
        <w:t xml:space="preserve">Fig. S1. </w:t>
      </w:r>
      <w:r w:rsidRPr="005C5898">
        <w:rPr>
          <w:b/>
        </w:rPr>
        <w:t>Forest plot with odds ratio by study/</w:t>
      </w:r>
      <w:r>
        <w:rPr>
          <w:b/>
        </w:rPr>
        <w:t>parasite, with Author/Year of study, pathogen, raw parasite prevalence proportions between outdoor access and indoor-only groups, and odds ratios with confidence limits provided graphically and numerically. A</w:t>
      </w:r>
      <w:r w:rsidRPr="005C5898">
        <w:t>rrows</w:t>
      </w:r>
      <w:r>
        <w:t xml:space="preserve"> on odds ratio graph</w:t>
      </w:r>
      <w:r w:rsidRPr="005C5898">
        <w:t xml:space="preserve"> indicate confidence limits stretching beyond the range of the</w:t>
      </w:r>
      <w:r>
        <w:t xml:space="preserve"> provided</w:t>
      </w:r>
      <w:r w:rsidRPr="005C5898">
        <w:t xml:space="preserve"> </w:t>
      </w:r>
      <w:r>
        <w:t>o</w:t>
      </w:r>
      <w:r w:rsidRPr="005C5898">
        <w:t xml:space="preserve">dds </w:t>
      </w:r>
      <w:r>
        <w:t>r</w:t>
      </w:r>
      <w:r w:rsidRPr="005C5898">
        <w:t>atio scale.</w:t>
      </w:r>
      <w:r>
        <w:t xml:space="preserve"> Raw values used to conduct meta-analysis provided for each study and parasite. “Outdoor Access” indicates groups of cats that were allowed outdoors, and “Indoor Only” cats did not have any outdoor access. “Inf” indicates the number of cats infected with the given parasite in the study within Outdoor Access or Indoor Only groups, and “N” indicates the number of cats sampled within either Outdoor Access or Indoor Only groups.</w:t>
      </w:r>
    </w:p>
    <w:p w14:paraId="115A6563" w14:textId="77777777" w:rsidR="00716156" w:rsidRDefault="00716156" w:rsidP="00716156">
      <w:pPr>
        <w:pStyle w:val="SMHeading"/>
        <w:rPr>
          <w:sz w:val="22"/>
          <w:szCs w:val="22"/>
        </w:rPr>
      </w:pPr>
    </w:p>
    <w:p w14:paraId="53F045D4" w14:textId="77777777" w:rsidR="00716156" w:rsidRDefault="00716156" w:rsidP="00716156">
      <w:pPr>
        <w:pStyle w:val="SMHeading"/>
        <w:rPr>
          <w:sz w:val="22"/>
          <w:szCs w:val="22"/>
        </w:rPr>
      </w:pPr>
      <w:r>
        <w:rPr>
          <w:noProof/>
          <w:sz w:val="22"/>
          <w:szCs w:val="22"/>
        </w:rPr>
        <w:drawing>
          <wp:inline distT="0" distB="0" distL="0" distR="0" wp14:anchorId="4570DD98" wp14:editId="15F1D8E7">
            <wp:extent cx="5486400" cy="3893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kowskietal_SuppFig2a_29SEP2018.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893185"/>
                    </a:xfrm>
                    <a:prstGeom prst="rect">
                      <a:avLst/>
                    </a:prstGeom>
                  </pic:spPr>
                </pic:pic>
              </a:graphicData>
            </a:graphic>
          </wp:inline>
        </w:drawing>
      </w:r>
    </w:p>
    <w:p w14:paraId="43B3BF11" w14:textId="77777777" w:rsidR="00716156" w:rsidRDefault="00716156" w:rsidP="00716156">
      <w:pPr>
        <w:pStyle w:val="SMHeading"/>
      </w:pPr>
      <w:r w:rsidRPr="00820484">
        <w:rPr>
          <w:sz w:val="22"/>
          <w:szCs w:val="22"/>
        </w:rPr>
        <w:t xml:space="preserve">Fig. S2. </w:t>
      </w:r>
      <w:r w:rsidRPr="00B06BBB">
        <w:rPr>
          <w:b w:val="0"/>
        </w:rPr>
        <w:t>(a) Funnel plot</w:t>
      </w:r>
      <w:r>
        <w:rPr>
          <w:b w:val="0"/>
        </w:rPr>
        <w:t xml:space="preserve"> demonstrating</w:t>
      </w:r>
      <w:r w:rsidRPr="00B06BBB">
        <w:t xml:space="preserve"> relatively even distribution of stud</w:t>
      </w:r>
      <w:r>
        <w:t>y/parasites across a range of odds ratio values for outdoor access as a risk factor</w:t>
      </w:r>
      <w:r w:rsidRPr="00B06BBB">
        <w:t xml:space="preserve">. </w:t>
      </w:r>
    </w:p>
    <w:p w14:paraId="61B5BBFA" w14:textId="77777777" w:rsidR="00716156" w:rsidRDefault="00716156" w:rsidP="00716156">
      <w:pPr>
        <w:pStyle w:val="SMHeading"/>
      </w:pPr>
    </w:p>
    <w:p w14:paraId="13F946A1" w14:textId="77777777" w:rsidR="00716156" w:rsidRDefault="00716156" w:rsidP="00716156">
      <w:pPr>
        <w:pStyle w:val="SMHeading"/>
      </w:pPr>
      <w:r>
        <w:rPr>
          <w:noProof/>
        </w:rPr>
        <w:drawing>
          <wp:inline distT="0" distB="0" distL="0" distR="0" wp14:anchorId="7A1AD0BC" wp14:editId="71C6ACB0">
            <wp:extent cx="5486400" cy="3893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kowskietal_SuppFig2b_29SEP2018.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3893185"/>
                    </a:xfrm>
                    <a:prstGeom prst="rect">
                      <a:avLst/>
                    </a:prstGeom>
                  </pic:spPr>
                </pic:pic>
              </a:graphicData>
            </a:graphic>
          </wp:inline>
        </w:drawing>
      </w:r>
    </w:p>
    <w:p w14:paraId="5D175C0A" w14:textId="77777777" w:rsidR="00716156" w:rsidRPr="00820484" w:rsidRDefault="00716156" w:rsidP="00716156">
      <w:pPr>
        <w:pStyle w:val="SMHeading"/>
        <w:rPr>
          <w:sz w:val="22"/>
          <w:szCs w:val="22"/>
        </w:rPr>
      </w:pPr>
      <w:r w:rsidRPr="00C2044E">
        <w:rPr>
          <w:sz w:val="22"/>
          <w:szCs w:val="22"/>
        </w:rPr>
        <w:t>Fig. S2</w:t>
      </w:r>
      <w:r>
        <w:t xml:space="preserve"> </w:t>
      </w:r>
      <w:r w:rsidRPr="00B06BBB">
        <w:rPr>
          <w:b w:val="0"/>
        </w:rPr>
        <w:t>(b)</w:t>
      </w:r>
      <w:r w:rsidRPr="00B06BBB">
        <w:t xml:space="preserve"> </w:t>
      </w:r>
      <w:r w:rsidRPr="00B06BBB">
        <w:rPr>
          <w:b w:val="0"/>
        </w:rPr>
        <w:t xml:space="preserve">Funnel plot after performing </w:t>
      </w:r>
      <w:r>
        <w:rPr>
          <w:b w:val="0"/>
        </w:rPr>
        <w:t xml:space="preserve">a publication bias analysis using the </w:t>
      </w:r>
      <w:r w:rsidRPr="00B06BBB">
        <w:rPr>
          <w:b w:val="0"/>
        </w:rPr>
        <w:t>trim</w:t>
      </w:r>
      <w:r>
        <w:rPr>
          <w:b w:val="0"/>
        </w:rPr>
        <w:t xml:space="preserve"> and fill</w:t>
      </w:r>
      <w:r w:rsidRPr="00B06BBB">
        <w:rPr>
          <w:b w:val="0"/>
        </w:rPr>
        <w:t xml:space="preserve"> function</w:t>
      </w:r>
      <w:r>
        <w:rPr>
          <w:b w:val="0"/>
        </w:rPr>
        <w:t xml:space="preserve"> </w:t>
      </w:r>
      <w:r w:rsidRPr="00B06BBB">
        <w:t>with hollow circles indicating the balancing “missing” studies</w:t>
      </w:r>
      <w:r>
        <w:t xml:space="preserve">. </w:t>
      </w:r>
      <w:r w:rsidRPr="00A16B45">
        <w:t>With these</w:t>
      </w:r>
      <w:r>
        <w:t xml:space="preserve"> 6 additional estimated</w:t>
      </w:r>
      <w:r w:rsidRPr="00A16B45">
        <w:t xml:space="preserve"> studies included, effect of outdoor access on infectio</w:t>
      </w:r>
      <w:r>
        <w:t>n</w:t>
      </w:r>
      <w:r w:rsidRPr="00A16B45">
        <w:t xml:space="preserve"> </w:t>
      </w:r>
      <w:r>
        <w:t>status</w:t>
      </w:r>
      <w:r w:rsidRPr="00A16B45">
        <w:t xml:space="preserve"> was still a significant risk factor (2.39 OR; p</w:t>
      </w:r>
      <w:r>
        <w:t xml:space="preserve"> </w:t>
      </w:r>
      <w:r w:rsidRPr="00A16B45">
        <w:t>&lt;</w:t>
      </w:r>
      <w:r>
        <w:t xml:space="preserve"> </w:t>
      </w:r>
      <w:r w:rsidRPr="00A16B45">
        <w:t>0.0001)</w:t>
      </w:r>
    </w:p>
    <w:p w14:paraId="6432C565" w14:textId="77777777" w:rsidR="00716156" w:rsidRPr="00820484" w:rsidRDefault="00716156" w:rsidP="00716156">
      <w:pPr>
        <w:pStyle w:val="SMcaption"/>
        <w:rPr>
          <w:sz w:val="22"/>
          <w:szCs w:val="22"/>
        </w:rPr>
      </w:pPr>
    </w:p>
    <w:p w14:paraId="0ACBA4C3" w14:textId="77777777" w:rsidR="00716156" w:rsidRDefault="00716156" w:rsidP="00716156">
      <w:pPr>
        <w:pStyle w:val="SMcaption"/>
        <w:rPr>
          <w:sz w:val="22"/>
          <w:szCs w:val="22"/>
        </w:rPr>
      </w:pPr>
    </w:p>
    <w:p w14:paraId="417C83FD" w14:textId="77777777" w:rsidR="00716156" w:rsidRDefault="00716156" w:rsidP="00716156">
      <w:pPr>
        <w:pStyle w:val="SMcaption"/>
        <w:rPr>
          <w:sz w:val="22"/>
          <w:szCs w:val="22"/>
        </w:rPr>
      </w:pPr>
    </w:p>
    <w:p w14:paraId="60E04EC2" w14:textId="77777777" w:rsidR="00716156" w:rsidRDefault="00716156" w:rsidP="00716156">
      <w:pPr>
        <w:pStyle w:val="SMcaption"/>
        <w:rPr>
          <w:sz w:val="22"/>
          <w:szCs w:val="22"/>
        </w:rPr>
      </w:pPr>
    </w:p>
    <w:p w14:paraId="183A5E1E" w14:textId="77777777" w:rsidR="00716156" w:rsidRDefault="00716156" w:rsidP="00716156">
      <w:pPr>
        <w:pStyle w:val="SMcaption"/>
        <w:rPr>
          <w:sz w:val="22"/>
          <w:szCs w:val="22"/>
        </w:rPr>
      </w:pPr>
    </w:p>
    <w:p w14:paraId="12395F1F" w14:textId="77777777" w:rsidR="00716156" w:rsidRDefault="00716156" w:rsidP="00716156">
      <w:pPr>
        <w:pStyle w:val="SMcaption"/>
        <w:rPr>
          <w:sz w:val="22"/>
          <w:szCs w:val="22"/>
        </w:rPr>
      </w:pPr>
    </w:p>
    <w:p w14:paraId="3E02E0E8" w14:textId="77777777" w:rsidR="00716156" w:rsidRDefault="00716156" w:rsidP="00716156">
      <w:pPr>
        <w:pStyle w:val="SMcaption"/>
        <w:rPr>
          <w:sz w:val="22"/>
          <w:szCs w:val="22"/>
        </w:rPr>
      </w:pPr>
    </w:p>
    <w:p w14:paraId="0F7B0A69" w14:textId="77777777" w:rsidR="00716156" w:rsidRDefault="00716156" w:rsidP="00716156">
      <w:pPr>
        <w:pStyle w:val="SMcaption"/>
        <w:rPr>
          <w:sz w:val="22"/>
          <w:szCs w:val="22"/>
        </w:rPr>
      </w:pPr>
    </w:p>
    <w:p w14:paraId="7E4B27B8" w14:textId="77777777" w:rsidR="00716156" w:rsidRDefault="00716156" w:rsidP="00716156">
      <w:pPr>
        <w:pStyle w:val="SMcaption"/>
        <w:rPr>
          <w:sz w:val="22"/>
          <w:szCs w:val="22"/>
        </w:rPr>
      </w:pPr>
    </w:p>
    <w:p w14:paraId="243FCC49" w14:textId="77777777" w:rsidR="00716156" w:rsidRDefault="00716156" w:rsidP="00716156">
      <w:pPr>
        <w:pStyle w:val="SMcaption"/>
        <w:rPr>
          <w:sz w:val="22"/>
          <w:szCs w:val="22"/>
        </w:rPr>
      </w:pPr>
    </w:p>
    <w:p w14:paraId="3E8CCB89" w14:textId="77777777" w:rsidR="00716156" w:rsidRDefault="00716156" w:rsidP="00716156">
      <w:pPr>
        <w:pStyle w:val="SMcaption"/>
        <w:rPr>
          <w:sz w:val="22"/>
          <w:szCs w:val="22"/>
        </w:rPr>
      </w:pPr>
    </w:p>
    <w:p w14:paraId="3A691765" w14:textId="77777777" w:rsidR="00716156" w:rsidRDefault="00716156" w:rsidP="00716156">
      <w:pPr>
        <w:pStyle w:val="SMcaption"/>
        <w:rPr>
          <w:sz w:val="22"/>
          <w:szCs w:val="22"/>
        </w:rPr>
      </w:pPr>
    </w:p>
    <w:p w14:paraId="6CB34240" w14:textId="77777777" w:rsidR="00716156" w:rsidRDefault="00716156" w:rsidP="00716156">
      <w:pPr>
        <w:pStyle w:val="SMcaption"/>
        <w:rPr>
          <w:sz w:val="22"/>
          <w:szCs w:val="22"/>
        </w:rPr>
      </w:pPr>
    </w:p>
    <w:p w14:paraId="340172CF" w14:textId="77777777" w:rsidR="00716156" w:rsidRDefault="00716156" w:rsidP="00716156">
      <w:pPr>
        <w:pStyle w:val="SMcaption"/>
        <w:rPr>
          <w:sz w:val="22"/>
          <w:szCs w:val="22"/>
        </w:rPr>
      </w:pPr>
    </w:p>
    <w:p w14:paraId="369E35DC" w14:textId="77777777" w:rsidR="00716156" w:rsidRDefault="00716156" w:rsidP="00716156">
      <w:pPr>
        <w:pStyle w:val="SMcaption"/>
        <w:rPr>
          <w:sz w:val="22"/>
          <w:szCs w:val="22"/>
        </w:rPr>
      </w:pPr>
    </w:p>
    <w:p w14:paraId="6E84F769" w14:textId="77777777" w:rsidR="00716156" w:rsidRDefault="00716156" w:rsidP="00716156">
      <w:pPr>
        <w:pStyle w:val="SMcaption"/>
        <w:rPr>
          <w:sz w:val="22"/>
          <w:szCs w:val="22"/>
        </w:rPr>
      </w:pPr>
    </w:p>
    <w:p w14:paraId="7E1463B6" w14:textId="77777777" w:rsidR="00716156" w:rsidRDefault="00716156" w:rsidP="00716156">
      <w:pPr>
        <w:pStyle w:val="SMcaption"/>
        <w:rPr>
          <w:sz w:val="22"/>
          <w:szCs w:val="22"/>
        </w:rPr>
      </w:pPr>
    </w:p>
    <w:p w14:paraId="6F4244F6" w14:textId="77777777" w:rsidR="00716156" w:rsidRDefault="00716156" w:rsidP="00716156">
      <w:pPr>
        <w:pStyle w:val="SMcaption"/>
        <w:rPr>
          <w:sz w:val="22"/>
          <w:szCs w:val="22"/>
        </w:rPr>
      </w:pPr>
    </w:p>
    <w:p w14:paraId="5C5C7758" w14:textId="77777777" w:rsidR="00716156" w:rsidRPr="00820484" w:rsidRDefault="00716156" w:rsidP="00716156">
      <w:pPr>
        <w:pStyle w:val="SMcaption"/>
        <w:rPr>
          <w:sz w:val="22"/>
          <w:szCs w:val="22"/>
        </w:rPr>
      </w:pPr>
    </w:p>
    <w:p w14:paraId="625B4D0C" w14:textId="77777777" w:rsidR="00716156" w:rsidRDefault="00716156" w:rsidP="00716156">
      <w:pPr>
        <w:pStyle w:val="SMHeading"/>
        <w:rPr>
          <w:sz w:val="22"/>
          <w:szCs w:val="22"/>
        </w:rPr>
      </w:pPr>
    </w:p>
    <w:p w14:paraId="63A7BCA5" w14:textId="77777777" w:rsidR="00716156" w:rsidRPr="00820484" w:rsidRDefault="00716156" w:rsidP="00716156">
      <w:pPr>
        <w:pStyle w:val="SMHeading"/>
        <w:rPr>
          <w:sz w:val="22"/>
          <w:szCs w:val="22"/>
        </w:rPr>
      </w:pPr>
      <w:r w:rsidRPr="00820484">
        <w:rPr>
          <w:sz w:val="22"/>
          <w:szCs w:val="22"/>
        </w:rPr>
        <w:t xml:space="preserve">Table S1. </w:t>
      </w:r>
      <w:r w:rsidRPr="00C2044E">
        <w:rPr>
          <w:sz w:val="22"/>
          <w:szCs w:val="22"/>
        </w:rPr>
        <w:t>Transmission types and citations</w:t>
      </w:r>
    </w:p>
    <w:p w14:paraId="34FCE660" w14:textId="77777777" w:rsidR="00716156" w:rsidRDefault="00716156" w:rsidP="00716156">
      <w:pPr>
        <w:pStyle w:val="SMcaption"/>
        <w:rPr>
          <w:sz w:val="22"/>
          <w:szCs w:val="22"/>
        </w:rPr>
      </w:pPr>
    </w:p>
    <w:p w14:paraId="651EC1F2" w14:textId="77777777" w:rsidR="00716156" w:rsidRPr="00820484" w:rsidRDefault="00716156" w:rsidP="00716156">
      <w:pPr>
        <w:pStyle w:val="SMcaption"/>
        <w:rPr>
          <w:sz w:val="22"/>
          <w:szCs w:val="22"/>
        </w:rPr>
      </w:pPr>
      <w:r>
        <w:rPr>
          <w:noProof/>
          <w:sz w:val="22"/>
          <w:szCs w:val="22"/>
        </w:rPr>
        <w:drawing>
          <wp:inline distT="0" distB="0" distL="0" distR="0" wp14:anchorId="6DDBC775" wp14:editId="237FC685">
            <wp:extent cx="5486400" cy="5242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06 at 11.18.50 AM.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5242560"/>
                    </a:xfrm>
                    <a:prstGeom prst="rect">
                      <a:avLst/>
                    </a:prstGeom>
                  </pic:spPr>
                </pic:pic>
              </a:graphicData>
            </a:graphic>
          </wp:inline>
        </w:drawing>
      </w:r>
    </w:p>
    <w:p w14:paraId="68034F48" w14:textId="77777777" w:rsidR="00716156" w:rsidRPr="00820484" w:rsidRDefault="00716156" w:rsidP="00716156">
      <w:pPr>
        <w:pStyle w:val="SMcaption"/>
        <w:rPr>
          <w:sz w:val="22"/>
          <w:szCs w:val="22"/>
        </w:rPr>
      </w:pPr>
    </w:p>
    <w:p w14:paraId="62056C59" w14:textId="77777777" w:rsidR="00716156" w:rsidRPr="00820484" w:rsidRDefault="00716156" w:rsidP="00716156">
      <w:pPr>
        <w:pStyle w:val="SMcaption"/>
        <w:rPr>
          <w:sz w:val="22"/>
          <w:szCs w:val="22"/>
        </w:rPr>
      </w:pPr>
    </w:p>
    <w:p w14:paraId="051A8174" w14:textId="77777777" w:rsidR="00716156" w:rsidRDefault="00716156" w:rsidP="00716156">
      <w:pPr>
        <w:pStyle w:val="SMcaption"/>
        <w:rPr>
          <w:sz w:val="22"/>
          <w:szCs w:val="22"/>
        </w:rPr>
      </w:pPr>
    </w:p>
    <w:p w14:paraId="64E500ED" w14:textId="77777777" w:rsidR="00716156" w:rsidRPr="00820484" w:rsidRDefault="00716156" w:rsidP="00716156">
      <w:pPr>
        <w:pStyle w:val="SMcaption"/>
        <w:rPr>
          <w:b/>
          <w:sz w:val="22"/>
          <w:szCs w:val="22"/>
        </w:rPr>
      </w:pPr>
      <w:r w:rsidRPr="00820484">
        <w:rPr>
          <w:b/>
          <w:sz w:val="22"/>
          <w:szCs w:val="22"/>
        </w:rPr>
        <w:t>References</w:t>
      </w:r>
    </w:p>
    <w:p w14:paraId="4061705F"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Burling AN, et al. (2017) Seroprevalences of feline leukemia virus and feline immunodeficiency virus infection in cats in the United States and Canada and risk factors for seropositivity. </w:t>
      </w:r>
      <w:r w:rsidRPr="00C2044E">
        <w:rPr>
          <w:i/>
          <w:iCs/>
          <w:color w:val="333333"/>
          <w:sz w:val="22"/>
          <w:szCs w:val="22"/>
        </w:rPr>
        <w:t>J Am Vet Med Assoc</w:t>
      </w:r>
      <w:r w:rsidRPr="00C2044E">
        <w:rPr>
          <w:color w:val="333333"/>
          <w:sz w:val="22"/>
          <w:szCs w:val="22"/>
        </w:rPr>
        <w:t xml:space="preserve"> 251(2):187–194.</w:t>
      </w:r>
    </w:p>
    <w:p w14:paraId="7520B20B"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Ketzis JK, Shell L, Chinault S, Pemberton C, Pereira MM (2015) The prevalence of </w:t>
      </w:r>
      <w:r w:rsidRPr="00C2044E">
        <w:rPr>
          <w:i/>
          <w:color w:val="333333"/>
          <w:sz w:val="22"/>
          <w:szCs w:val="22"/>
        </w:rPr>
        <w:t>Trichuris</w:t>
      </w:r>
      <w:r w:rsidRPr="00C2044E">
        <w:rPr>
          <w:color w:val="333333"/>
          <w:sz w:val="22"/>
          <w:szCs w:val="22"/>
        </w:rPr>
        <w:t xml:space="preserve"> spp. infection in indoor and outdoor cats on St. Kitts. </w:t>
      </w:r>
      <w:r w:rsidRPr="00C2044E">
        <w:rPr>
          <w:i/>
          <w:iCs/>
          <w:color w:val="333333"/>
          <w:sz w:val="22"/>
          <w:szCs w:val="22"/>
        </w:rPr>
        <w:t>J Infect Dev Ctries</w:t>
      </w:r>
      <w:r w:rsidRPr="00C2044E">
        <w:rPr>
          <w:color w:val="333333"/>
          <w:sz w:val="22"/>
          <w:szCs w:val="22"/>
        </w:rPr>
        <w:t xml:space="preserve"> 9(1):111–113.</w:t>
      </w:r>
    </w:p>
    <w:p w14:paraId="025B3F6B"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Meneses IDS de, et al. (2014) Frequency of antibodies against </w:t>
      </w:r>
      <w:r w:rsidRPr="00C2044E">
        <w:rPr>
          <w:i/>
          <w:color w:val="333333"/>
          <w:sz w:val="22"/>
          <w:szCs w:val="22"/>
        </w:rPr>
        <w:t>Sarcocystis neurona</w:t>
      </w:r>
      <w:r w:rsidRPr="00C2044E">
        <w:rPr>
          <w:color w:val="333333"/>
          <w:sz w:val="22"/>
          <w:szCs w:val="22"/>
        </w:rPr>
        <w:t xml:space="preserve"> and </w:t>
      </w:r>
      <w:r w:rsidRPr="00C2044E">
        <w:rPr>
          <w:i/>
          <w:color w:val="333333"/>
          <w:sz w:val="22"/>
          <w:szCs w:val="22"/>
        </w:rPr>
        <w:t>Neospora caninum</w:t>
      </w:r>
      <w:r w:rsidRPr="00C2044E">
        <w:rPr>
          <w:color w:val="333333"/>
          <w:sz w:val="22"/>
          <w:szCs w:val="22"/>
        </w:rPr>
        <w:t xml:space="preserve"> in domestic cats in the state of Bahia, Brazil. </w:t>
      </w:r>
      <w:r w:rsidRPr="00C2044E">
        <w:rPr>
          <w:i/>
          <w:iCs/>
          <w:color w:val="333333"/>
          <w:sz w:val="22"/>
          <w:szCs w:val="22"/>
        </w:rPr>
        <w:t>Revista Brasileira de Parasitologia Veterinária</w:t>
      </w:r>
      <w:r w:rsidRPr="00C2044E">
        <w:rPr>
          <w:color w:val="333333"/>
          <w:sz w:val="22"/>
          <w:szCs w:val="22"/>
        </w:rPr>
        <w:t xml:space="preserve"> 23(4):526–529.</w:t>
      </w:r>
    </w:p>
    <w:p w14:paraId="019CA33F"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Ravi M, Wobeser GA, Taylor SM, Jackson ML (2010) Naturally acquired feline immunodeficiency virus (FIV) infection in cats from western Canada: Prevalence, disease associations, and survival analysis. </w:t>
      </w:r>
      <w:r w:rsidRPr="00C2044E">
        <w:rPr>
          <w:i/>
          <w:iCs/>
          <w:color w:val="333333"/>
          <w:sz w:val="22"/>
          <w:szCs w:val="22"/>
        </w:rPr>
        <w:t>Can Vet J</w:t>
      </w:r>
      <w:r w:rsidRPr="00C2044E">
        <w:rPr>
          <w:color w:val="333333"/>
          <w:sz w:val="22"/>
          <w:szCs w:val="22"/>
        </w:rPr>
        <w:t xml:space="preserve"> 51(3):271–276.</w:t>
      </w:r>
    </w:p>
    <w:p w14:paraId="712F6447"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Chang-Fung-Martel J, Gummow B, Burgess G, Fenton E, Squires R (2013) A door-to-door prevalence study of feline immunodeficiency virus in an Australian suburb. </w:t>
      </w:r>
      <w:r w:rsidRPr="00C2044E">
        <w:rPr>
          <w:i/>
          <w:iCs/>
          <w:color w:val="333333"/>
          <w:sz w:val="22"/>
          <w:szCs w:val="22"/>
        </w:rPr>
        <w:t>J Feline Med Surg</w:t>
      </w:r>
      <w:r w:rsidRPr="00C2044E">
        <w:rPr>
          <w:color w:val="333333"/>
          <w:sz w:val="22"/>
          <w:szCs w:val="22"/>
        </w:rPr>
        <w:t xml:space="preserve"> 15(12):1070–1078.</w:t>
      </w:r>
    </w:p>
    <w:p w14:paraId="4226F811"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Norris JM, et al. (2007) Prevalence of feline immunodeficiency virus infection in domesticated and feral cats in eastern Australia. </w:t>
      </w:r>
      <w:r w:rsidRPr="00C2044E">
        <w:rPr>
          <w:i/>
          <w:iCs/>
          <w:color w:val="333333"/>
          <w:sz w:val="22"/>
          <w:szCs w:val="22"/>
        </w:rPr>
        <w:t>J Feline Med Surg</w:t>
      </w:r>
      <w:r w:rsidRPr="00C2044E">
        <w:rPr>
          <w:color w:val="333333"/>
          <w:sz w:val="22"/>
          <w:szCs w:val="22"/>
        </w:rPr>
        <w:t xml:space="preserve"> 9(4):300–308.</w:t>
      </w:r>
    </w:p>
    <w:p w14:paraId="6C0769C8"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Bell ET, Toribio J a. LML, White JD, Malik R, Norris JM (2006) Seroprevalence study of feline coronavirus in owned and feral cats in Sydney, Australia. </w:t>
      </w:r>
      <w:r w:rsidRPr="00C2044E">
        <w:rPr>
          <w:i/>
          <w:iCs/>
          <w:color w:val="333333"/>
          <w:sz w:val="22"/>
          <w:szCs w:val="22"/>
        </w:rPr>
        <w:t>Aust Vet J</w:t>
      </w:r>
      <w:r w:rsidRPr="00C2044E">
        <w:rPr>
          <w:color w:val="333333"/>
          <w:sz w:val="22"/>
          <w:szCs w:val="22"/>
        </w:rPr>
        <w:t xml:space="preserve"> 84(3):74–81.</w:t>
      </w:r>
    </w:p>
    <w:p w14:paraId="7372140A"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Diakou A, Sofroniou D, Di Cesare A, Kokkinos P, Traversa D (2017) Occurrence and zoonotic potential of endoparasites in cats of Cyprus and a new distribution area for </w:t>
      </w:r>
      <w:r w:rsidRPr="00C2044E">
        <w:rPr>
          <w:i/>
          <w:color w:val="333333"/>
          <w:sz w:val="22"/>
          <w:szCs w:val="22"/>
        </w:rPr>
        <w:t>Troglostrongylus brevior</w:t>
      </w:r>
      <w:r w:rsidRPr="00C2044E">
        <w:rPr>
          <w:color w:val="333333"/>
          <w:sz w:val="22"/>
          <w:szCs w:val="22"/>
        </w:rPr>
        <w:t xml:space="preserve">. </w:t>
      </w:r>
      <w:r w:rsidRPr="00C2044E">
        <w:rPr>
          <w:i/>
          <w:iCs/>
          <w:color w:val="333333"/>
          <w:sz w:val="22"/>
          <w:szCs w:val="22"/>
        </w:rPr>
        <w:t>Parasitol Res</w:t>
      </w:r>
      <w:r w:rsidRPr="00C2044E">
        <w:rPr>
          <w:color w:val="333333"/>
          <w:sz w:val="22"/>
          <w:szCs w:val="22"/>
        </w:rPr>
        <w:t xml:space="preserve"> 116(12):3429–3435.</w:t>
      </w:r>
    </w:p>
    <w:p w14:paraId="7A77C388"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Díaz-Regañón D, et al. (2017) Molecular detection of </w:t>
      </w:r>
      <w:r w:rsidRPr="00C2044E">
        <w:rPr>
          <w:i/>
          <w:color w:val="333333"/>
          <w:sz w:val="22"/>
          <w:szCs w:val="22"/>
        </w:rPr>
        <w:t>Hepatozoon</w:t>
      </w:r>
      <w:r w:rsidRPr="00C2044E">
        <w:rPr>
          <w:color w:val="333333"/>
          <w:sz w:val="22"/>
          <w:szCs w:val="22"/>
        </w:rPr>
        <w:t xml:space="preserve"> spp. and </w:t>
      </w:r>
      <w:r w:rsidRPr="00C2044E">
        <w:rPr>
          <w:i/>
          <w:color w:val="333333"/>
          <w:sz w:val="22"/>
          <w:szCs w:val="22"/>
        </w:rPr>
        <w:t>Cytauxzoon</w:t>
      </w:r>
      <w:r w:rsidRPr="00C2044E">
        <w:rPr>
          <w:color w:val="333333"/>
          <w:sz w:val="22"/>
          <w:szCs w:val="22"/>
        </w:rPr>
        <w:t xml:space="preserve"> sp. in domestic and stray cats from Madrid, Spain. </w:t>
      </w:r>
      <w:r w:rsidRPr="00C2044E">
        <w:rPr>
          <w:i/>
          <w:iCs/>
          <w:color w:val="333333"/>
          <w:sz w:val="22"/>
          <w:szCs w:val="22"/>
        </w:rPr>
        <w:t>Parasit Vectors</w:t>
      </w:r>
      <w:r w:rsidRPr="00C2044E">
        <w:rPr>
          <w:color w:val="333333"/>
          <w:sz w:val="22"/>
          <w:szCs w:val="22"/>
        </w:rPr>
        <w:t xml:space="preserve"> 10. doi:</w:t>
      </w:r>
      <w:hyperlink r:id="rId13" w:history="1">
        <w:r w:rsidRPr="00C2044E">
          <w:rPr>
            <w:rStyle w:val="Hyperlink"/>
            <w:sz w:val="22"/>
            <w:szCs w:val="22"/>
          </w:rPr>
          <w:t>10.1186/s13071-017-2056-1</w:t>
        </w:r>
      </w:hyperlink>
      <w:r w:rsidRPr="00C2044E">
        <w:rPr>
          <w:color w:val="333333"/>
          <w:sz w:val="22"/>
          <w:szCs w:val="22"/>
        </w:rPr>
        <w:t>.</w:t>
      </w:r>
    </w:p>
    <w:p w14:paraId="5F953B01"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Díaz-Regañón D, et al. (2018) Epidemiological study of hemotropic mycoplasmas (hemoplasmas) in cats from central Spain. </w:t>
      </w:r>
      <w:r w:rsidRPr="00C2044E">
        <w:rPr>
          <w:i/>
          <w:iCs/>
          <w:color w:val="333333"/>
          <w:sz w:val="22"/>
          <w:szCs w:val="22"/>
        </w:rPr>
        <w:t>Parasites &amp; Vectors</w:t>
      </w:r>
      <w:r w:rsidRPr="00C2044E">
        <w:rPr>
          <w:color w:val="333333"/>
          <w:sz w:val="22"/>
          <w:szCs w:val="22"/>
        </w:rPr>
        <w:t xml:space="preserve"> 11(1):140.</w:t>
      </w:r>
    </w:p>
    <w:p w14:paraId="7B058647"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Bergmann M, et al. (2017) Risk factors of different hemoplasma species infections in cats. </w:t>
      </w:r>
      <w:r w:rsidRPr="00C2044E">
        <w:rPr>
          <w:i/>
          <w:iCs/>
          <w:color w:val="333333"/>
          <w:sz w:val="22"/>
          <w:szCs w:val="22"/>
        </w:rPr>
        <w:t>BMC Vet Res</w:t>
      </w:r>
      <w:r w:rsidRPr="00C2044E">
        <w:rPr>
          <w:color w:val="333333"/>
          <w:sz w:val="22"/>
          <w:szCs w:val="22"/>
        </w:rPr>
        <w:t xml:space="preserve"> 13(1):52.</w:t>
      </w:r>
    </w:p>
    <w:p w14:paraId="1DFD47BC"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Walker VR, et al. (2016) Prevalence, risk factor analysis, and hematological findings of hemoplasma infection in domestic cats from Valdivia, Southern Chile. </w:t>
      </w:r>
      <w:r w:rsidRPr="00C2044E">
        <w:rPr>
          <w:i/>
          <w:iCs/>
          <w:color w:val="333333"/>
          <w:sz w:val="22"/>
          <w:szCs w:val="22"/>
        </w:rPr>
        <w:t>Comp Immunol Microbiol Infect Dis</w:t>
      </w:r>
      <w:r w:rsidRPr="00C2044E">
        <w:rPr>
          <w:color w:val="333333"/>
          <w:sz w:val="22"/>
          <w:szCs w:val="22"/>
        </w:rPr>
        <w:t xml:space="preserve"> 46:20–26.</w:t>
      </w:r>
    </w:p>
    <w:p w14:paraId="18B5A72E"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Must K, Lassen B, Jokelainen P (2015) Seroprevalence of and Risk Factors for </w:t>
      </w:r>
      <w:r w:rsidRPr="00C2044E">
        <w:rPr>
          <w:i/>
          <w:color w:val="333333"/>
          <w:sz w:val="22"/>
          <w:szCs w:val="22"/>
        </w:rPr>
        <w:t>Toxoplasma gondii</w:t>
      </w:r>
      <w:r w:rsidRPr="00C2044E">
        <w:rPr>
          <w:color w:val="333333"/>
          <w:sz w:val="22"/>
          <w:szCs w:val="22"/>
        </w:rPr>
        <w:t xml:space="preserve"> Infection in Cats in Estonia. </w:t>
      </w:r>
      <w:r w:rsidRPr="00C2044E">
        <w:rPr>
          <w:i/>
          <w:iCs/>
          <w:color w:val="333333"/>
          <w:sz w:val="22"/>
          <w:szCs w:val="22"/>
        </w:rPr>
        <w:t>Vector Borne Zoonotic Dis</w:t>
      </w:r>
      <w:r w:rsidRPr="00C2044E">
        <w:rPr>
          <w:color w:val="333333"/>
          <w:sz w:val="22"/>
          <w:szCs w:val="22"/>
        </w:rPr>
        <w:t xml:space="preserve"> 15(10):597–601.</w:t>
      </w:r>
    </w:p>
    <w:p w14:paraId="0BDB45D0"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Ahmad N, Ahmed H, Irum S, Qayyum M (2014) Seroprevalence of IgG and IgM antibodies and associated risk factors for toxoplasmosis in cats and dogs from sub-tropical arid parts of Pakistan. </w:t>
      </w:r>
      <w:r w:rsidRPr="00C2044E">
        <w:rPr>
          <w:i/>
          <w:iCs/>
          <w:color w:val="333333"/>
          <w:sz w:val="22"/>
          <w:szCs w:val="22"/>
        </w:rPr>
        <w:t>Trop Biomed</w:t>
      </w:r>
      <w:r w:rsidRPr="00C2044E">
        <w:rPr>
          <w:color w:val="333333"/>
          <w:sz w:val="22"/>
          <w:szCs w:val="22"/>
        </w:rPr>
        <w:t xml:space="preserve"> 31(4):777–784.</w:t>
      </w:r>
    </w:p>
    <w:p w14:paraId="7611F594"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Baneth G, et al. (2013) Redescription of </w:t>
      </w:r>
      <w:r w:rsidRPr="00C2044E">
        <w:rPr>
          <w:i/>
          <w:color w:val="333333"/>
          <w:sz w:val="22"/>
          <w:szCs w:val="22"/>
        </w:rPr>
        <w:t>Hepatozoon felis</w:t>
      </w:r>
      <w:r w:rsidRPr="00C2044E">
        <w:rPr>
          <w:color w:val="333333"/>
          <w:sz w:val="22"/>
          <w:szCs w:val="22"/>
        </w:rPr>
        <w:t xml:space="preserve"> (Apicomplexa: Hepatozoidae) based on phylogenetic analysis, tissue and blood form morphology, and possible transplacental transmission. </w:t>
      </w:r>
      <w:r w:rsidRPr="00C2044E">
        <w:rPr>
          <w:i/>
          <w:iCs/>
          <w:color w:val="333333"/>
          <w:sz w:val="22"/>
          <w:szCs w:val="22"/>
        </w:rPr>
        <w:t>Parasites &amp; Vectors</w:t>
      </w:r>
      <w:r w:rsidRPr="00C2044E">
        <w:rPr>
          <w:color w:val="333333"/>
          <w:sz w:val="22"/>
          <w:szCs w:val="22"/>
        </w:rPr>
        <w:t xml:space="preserve"> 6:102.</w:t>
      </w:r>
    </w:p>
    <w:p w14:paraId="2A0737BC"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Deksne G, Petrusēviča A, Kirjušina M (2013) Seroprevalence and factors associated with </w:t>
      </w:r>
      <w:r w:rsidRPr="00C2044E">
        <w:rPr>
          <w:i/>
          <w:color w:val="333333"/>
          <w:sz w:val="22"/>
          <w:szCs w:val="22"/>
        </w:rPr>
        <w:t>Toxoplasma gondii</w:t>
      </w:r>
      <w:r w:rsidRPr="00C2044E">
        <w:rPr>
          <w:color w:val="333333"/>
          <w:sz w:val="22"/>
          <w:szCs w:val="22"/>
        </w:rPr>
        <w:t xml:space="preserve"> infection in domestic cats from urban areas in Latvia. </w:t>
      </w:r>
      <w:r w:rsidRPr="00C2044E">
        <w:rPr>
          <w:i/>
          <w:iCs/>
          <w:color w:val="333333"/>
          <w:sz w:val="22"/>
          <w:szCs w:val="22"/>
        </w:rPr>
        <w:t>J Parasitol</w:t>
      </w:r>
      <w:r w:rsidRPr="00C2044E">
        <w:rPr>
          <w:color w:val="333333"/>
          <w:sz w:val="22"/>
          <w:szCs w:val="22"/>
        </w:rPr>
        <w:t xml:space="preserve"> 99(1):48–50.</w:t>
      </w:r>
    </w:p>
    <w:p w14:paraId="71F202A2"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de Almeida NR, Danelli MGM, da Silva LHP, Hagiwara MK, Mazur C (2012) Prevalence of feline leukemia virus infection in domestic cats in Rio de Janeiro. </w:t>
      </w:r>
      <w:r w:rsidRPr="00C2044E">
        <w:rPr>
          <w:i/>
          <w:iCs/>
          <w:color w:val="333333"/>
          <w:sz w:val="22"/>
          <w:szCs w:val="22"/>
        </w:rPr>
        <w:t>J Feline Med Surg</w:t>
      </w:r>
      <w:r w:rsidRPr="00C2044E">
        <w:rPr>
          <w:color w:val="333333"/>
          <w:sz w:val="22"/>
          <w:szCs w:val="22"/>
        </w:rPr>
        <w:t xml:space="preserve"> 14(8):583–586.</w:t>
      </w:r>
    </w:p>
    <w:p w14:paraId="6C5BEACC"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Györke A, Opsteegh M, Mircean V, Iovu A, Cozma V (2011) </w:t>
      </w:r>
      <w:r w:rsidRPr="00C2044E">
        <w:rPr>
          <w:i/>
          <w:color w:val="333333"/>
          <w:sz w:val="22"/>
          <w:szCs w:val="22"/>
        </w:rPr>
        <w:t>Toxoplasma gondii</w:t>
      </w:r>
      <w:r w:rsidRPr="00C2044E">
        <w:rPr>
          <w:color w:val="333333"/>
          <w:sz w:val="22"/>
          <w:szCs w:val="22"/>
        </w:rPr>
        <w:t xml:space="preserve"> in Romanian household cats: evaluation of serological tests, epidemiology and risk factors. </w:t>
      </w:r>
      <w:r w:rsidRPr="00C2044E">
        <w:rPr>
          <w:i/>
          <w:iCs/>
          <w:color w:val="333333"/>
          <w:sz w:val="22"/>
          <w:szCs w:val="22"/>
        </w:rPr>
        <w:t>Prev Vet Med</w:t>
      </w:r>
      <w:r w:rsidRPr="00C2044E">
        <w:rPr>
          <w:color w:val="333333"/>
          <w:sz w:val="22"/>
          <w:szCs w:val="22"/>
        </w:rPr>
        <w:t xml:space="preserve"> 102(4):321–328.</w:t>
      </w:r>
    </w:p>
    <w:p w14:paraId="1D4B8E52"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Willi B, et al. (2006) Prevalence, risk factor analysis, and follow-up of infections caused by three feline hemoplasma species in cats in Switzerland. </w:t>
      </w:r>
      <w:r w:rsidRPr="00C2044E">
        <w:rPr>
          <w:i/>
          <w:iCs/>
          <w:color w:val="333333"/>
          <w:sz w:val="22"/>
          <w:szCs w:val="22"/>
        </w:rPr>
        <w:t>J Clin Microbiol</w:t>
      </w:r>
      <w:r w:rsidRPr="00C2044E">
        <w:rPr>
          <w:color w:val="333333"/>
          <w:sz w:val="22"/>
          <w:szCs w:val="22"/>
        </w:rPr>
        <w:t xml:space="preserve"> 44(3):961–969.</w:t>
      </w:r>
    </w:p>
    <w:p w14:paraId="769F9D27"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Opsteegh M, et al. (2012) Seroprevalence and risk factors for </w:t>
      </w:r>
      <w:r w:rsidRPr="00C2044E">
        <w:rPr>
          <w:i/>
          <w:color w:val="333333"/>
          <w:sz w:val="22"/>
          <w:szCs w:val="22"/>
        </w:rPr>
        <w:t>Toxoplasma gondii</w:t>
      </w:r>
      <w:r w:rsidRPr="00C2044E">
        <w:rPr>
          <w:color w:val="333333"/>
          <w:sz w:val="22"/>
          <w:szCs w:val="22"/>
        </w:rPr>
        <w:t xml:space="preserve"> infection in domestic cats in The Netherlands. </w:t>
      </w:r>
      <w:r w:rsidRPr="00C2044E">
        <w:rPr>
          <w:i/>
          <w:iCs/>
          <w:color w:val="333333"/>
          <w:sz w:val="22"/>
          <w:szCs w:val="22"/>
        </w:rPr>
        <w:t>Prev Vet Med</w:t>
      </w:r>
      <w:r w:rsidRPr="00C2044E">
        <w:rPr>
          <w:color w:val="333333"/>
          <w:sz w:val="22"/>
          <w:szCs w:val="22"/>
        </w:rPr>
        <w:t xml:space="preserve"> 104(3–4):317–326.</w:t>
      </w:r>
    </w:p>
    <w:p w14:paraId="645CD84D"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Nijsse R, Ploeger HW, Wagenaar JA, Mughini-Gras L (2016) Prevalence and risk factors for patent </w:t>
      </w:r>
      <w:r w:rsidRPr="00C2044E">
        <w:rPr>
          <w:i/>
          <w:color w:val="333333"/>
          <w:sz w:val="22"/>
          <w:szCs w:val="22"/>
        </w:rPr>
        <w:t>Toxocara</w:t>
      </w:r>
      <w:r w:rsidRPr="00C2044E">
        <w:rPr>
          <w:color w:val="333333"/>
          <w:sz w:val="22"/>
          <w:szCs w:val="22"/>
        </w:rPr>
        <w:t xml:space="preserve"> infections in cats and cat owners’ attitude towards deworming. </w:t>
      </w:r>
      <w:r w:rsidRPr="00C2044E">
        <w:rPr>
          <w:i/>
          <w:iCs/>
          <w:color w:val="333333"/>
          <w:sz w:val="22"/>
          <w:szCs w:val="22"/>
        </w:rPr>
        <w:t>Parasitol Res</w:t>
      </w:r>
      <w:r w:rsidRPr="00C2044E">
        <w:rPr>
          <w:color w:val="333333"/>
          <w:sz w:val="22"/>
          <w:szCs w:val="22"/>
        </w:rPr>
        <w:t xml:space="preserve"> 115(12):4519–4525.</w:t>
      </w:r>
    </w:p>
    <w:p w14:paraId="58E2FAFB"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Courchamp F, Chapuis J-L, Pascal M (2003) Mammal invaders on islands: impact, control and control impact. </w:t>
      </w:r>
      <w:r w:rsidRPr="00C2044E">
        <w:rPr>
          <w:i/>
          <w:iCs/>
          <w:color w:val="333333"/>
          <w:sz w:val="22"/>
          <w:szCs w:val="22"/>
        </w:rPr>
        <w:t>Biol Rev Camb Philos Soc</w:t>
      </w:r>
      <w:r w:rsidRPr="00C2044E">
        <w:rPr>
          <w:color w:val="333333"/>
          <w:sz w:val="22"/>
          <w:szCs w:val="22"/>
        </w:rPr>
        <w:t xml:space="preserve"> 78(3):347–383.</w:t>
      </w:r>
    </w:p>
    <w:p w14:paraId="16C35670"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Addie DD (2003) Persistence and transmission of natural type I feline coronavirus infection. </w:t>
      </w:r>
      <w:r w:rsidRPr="00C2044E">
        <w:rPr>
          <w:i/>
          <w:iCs/>
          <w:color w:val="333333"/>
          <w:sz w:val="22"/>
          <w:szCs w:val="22"/>
        </w:rPr>
        <w:t>Journal of General Virology</w:t>
      </w:r>
      <w:r w:rsidRPr="00C2044E">
        <w:rPr>
          <w:color w:val="333333"/>
          <w:sz w:val="22"/>
          <w:szCs w:val="22"/>
        </w:rPr>
        <w:t xml:space="preserve"> 84(10):2735–2744.</w:t>
      </w:r>
    </w:p>
    <w:p w14:paraId="5ED7C5B3"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Sykes JE Feline hemotropic mycoplasmas. </w:t>
      </w:r>
      <w:r w:rsidRPr="00C2044E">
        <w:rPr>
          <w:i/>
          <w:iCs/>
          <w:color w:val="333333"/>
          <w:sz w:val="22"/>
          <w:szCs w:val="22"/>
        </w:rPr>
        <w:t>Journal of Veterinary Emergency and Critical Care</w:t>
      </w:r>
      <w:r w:rsidRPr="00C2044E">
        <w:rPr>
          <w:color w:val="333333"/>
          <w:sz w:val="22"/>
          <w:szCs w:val="22"/>
        </w:rPr>
        <w:t xml:space="preserve"> 20(1):62–69.</w:t>
      </w:r>
    </w:p>
    <w:p w14:paraId="16C85B04"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Dubey JP (2003) Review of </w:t>
      </w:r>
      <w:r w:rsidRPr="00C2044E">
        <w:rPr>
          <w:i/>
          <w:color w:val="333333"/>
          <w:sz w:val="22"/>
          <w:szCs w:val="22"/>
        </w:rPr>
        <w:t>Neospora caninum</w:t>
      </w:r>
      <w:r w:rsidRPr="00C2044E">
        <w:rPr>
          <w:color w:val="333333"/>
          <w:sz w:val="22"/>
          <w:szCs w:val="22"/>
        </w:rPr>
        <w:t xml:space="preserve"> and neosporosis in animals. </w:t>
      </w:r>
      <w:r w:rsidRPr="00C2044E">
        <w:rPr>
          <w:i/>
          <w:iCs/>
          <w:color w:val="333333"/>
          <w:sz w:val="22"/>
          <w:szCs w:val="22"/>
        </w:rPr>
        <w:t>Korean J Parasitol</w:t>
      </w:r>
      <w:r w:rsidRPr="00C2044E">
        <w:rPr>
          <w:color w:val="333333"/>
          <w:sz w:val="22"/>
          <w:szCs w:val="22"/>
        </w:rPr>
        <w:t xml:space="preserve"> 41(1):1–16.</w:t>
      </w:r>
    </w:p>
    <w:p w14:paraId="1F586D04"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Thomas JE, Ohmes CM, Payton ME, Hostetler JA, Reichard MV (2018) Minimum transmission time of </w:t>
      </w:r>
      <w:r w:rsidRPr="00C2044E">
        <w:rPr>
          <w:i/>
          <w:color w:val="333333"/>
          <w:sz w:val="22"/>
          <w:szCs w:val="22"/>
        </w:rPr>
        <w:t>Cytauxzoon felis</w:t>
      </w:r>
      <w:r w:rsidRPr="00C2044E">
        <w:rPr>
          <w:color w:val="333333"/>
          <w:sz w:val="22"/>
          <w:szCs w:val="22"/>
        </w:rPr>
        <w:t xml:space="preserve"> by </w:t>
      </w:r>
      <w:r w:rsidRPr="00C2044E">
        <w:rPr>
          <w:i/>
          <w:color w:val="333333"/>
          <w:sz w:val="22"/>
          <w:szCs w:val="22"/>
        </w:rPr>
        <w:t>Amblyomma americanum</w:t>
      </w:r>
      <w:r w:rsidRPr="00C2044E">
        <w:rPr>
          <w:color w:val="333333"/>
          <w:sz w:val="22"/>
          <w:szCs w:val="22"/>
        </w:rPr>
        <w:t xml:space="preserve"> to domestic cats in relation to duration of infestation, and investigation of ingestion of infected ticks as a potential route of transmission. </w:t>
      </w:r>
      <w:r w:rsidRPr="00C2044E">
        <w:rPr>
          <w:i/>
          <w:iCs/>
          <w:color w:val="333333"/>
          <w:sz w:val="22"/>
          <w:szCs w:val="22"/>
        </w:rPr>
        <w:t>J Feline Med Surg</w:t>
      </w:r>
      <w:r w:rsidRPr="00C2044E">
        <w:rPr>
          <w:color w:val="333333"/>
          <w:sz w:val="22"/>
          <w:szCs w:val="22"/>
        </w:rPr>
        <w:t xml:space="preserve"> 20(2):67–72.</w:t>
      </w:r>
    </w:p>
    <w:p w14:paraId="1E5AEDA6"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Hunter PR, Thompson RCA (2005) The zoonotic transmission of </w:t>
      </w:r>
      <w:r w:rsidRPr="00C2044E">
        <w:rPr>
          <w:i/>
          <w:color w:val="333333"/>
          <w:sz w:val="22"/>
          <w:szCs w:val="22"/>
        </w:rPr>
        <w:t xml:space="preserve">Giardia </w:t>
      </w:r>
      <w:r w:rsidRPr="00C2044E">
        <w:rPr>
          <w:color w:val="333333"/>
          <w:sz w:val="22"/>
          <w:szCs w:val="22"/>
        </w:rPr>
        <w:t xml:space="preserve">and </w:t>
      </w:r>
      <w:r w:rsidRPr="00C2044E">
        <w:rPr>
          <w:i/>
          <w:color w:val="333333"/>
          <w:sz w:val="22"/>
          <w:szCs w:val="22"/>
        </w:rPr>
        <w:t>Cryptosporidium</w:t>
      </w:r>
      <w:r w:rsidRPr="00C2044E">
        <w:rPr>
          <w:color w:val="333333"/>
          <w:sz w:val="22"/>
          <w:szCs w:val="22"/>
        </w:rPr>
        <w:t xml:space="preserve">. </w:t>
      </w:r>
      <w:r w:rsidRPr="00C2044E">
        <w:rPr>
          <w:i/>
          <w:iCs/>
          <w:color w:val="333333"/>
          <w:sz w:val="22"/>
          <w:szCs w:val="22"/>
        </w:rPr>
        <w:t>International Journal for Parasitology</w:t>
      </w:r>
      <w:r w:rsidRPr="00C2044E">
        <w:rPr>
          <w:color w:val="333333"/>
          <w:sz w:val="22"/>
          <w:szCs w:val="22"/>
        </w:rPr>
        <w:t xml:space="preserve"> 35(11):1181–1190.</w:t>
      </w:r>
    </w:p>
    <w:p w14:paraId="215BBFD0"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Bowman DD, Hendrix CM, Lindsay DS, Barr SC (2008) </w:t>
      </w:r>
      <w:r w:rsidRPr="00C2044E">
        <w:rPr>
          <w:i/>
          <w:iCs/>
          <w:color w:val="333333"/>
          <w:sz w:val="22"/>
          <w:szCs w:val="22"/>
        </w:rPr>
        <w:t>Feline Clinical Parasitology</w:t>
      </w:r>
      <w:r w:rsidRPr="00C2044E">
        <w:rPr>
          <w:color w:val="333333"/>
          <w:sz w:val="22"/>
          <w:szCs w:val="22"/>
        </w:rPr>
        <w:t xml:space="preserve"> (John Wiley &amp; Sons).</w:t>
      </w:r>
    </w:p>
    <w:p w14:paraId="57DA657A"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Elsheikha HM, et al. (2016) Updates on feline aelurostrongylosis and research priorities for the next decade. </w:t>
      </w:r>
      <w:r w:rsidRPr="00C2044E">
        <w:rPr>
          <w:i/>
          <w:iCs/>
          <w:color w:val="333333"/>
          <w:sz w:val="22"/>
          <w:szCs w:val="22"/>
        </w:rPr>
        <w:t>Parasit Vectors</w:t>
      </w:r>
      <w:r w:rsidRPr="00C2044E">
        <w:rPr>
          <w:color w:val="333333"/>
          <w:sz w:val="22"/>
          <w:szCs w:val="22"/>
        </w:rPr>
        <w:t xml:space="preserve"> 9(1):389.</w:t>
      </w:r>
    </w:p>
    <w:p w14:paraId="7073EE22" w14:textId="77777777" w:rsidR="00716156" w:rsidRPr="00C2044E" w:rsidRDefault="00716156" w:rsidP="00716156">
      <w:pPr>
        <w:pStyle w:val="NormalWeb"/>
        <w:numPr>
          <w:ilvl w:val="0"/>
          <w:numId w:val="1"/>
        </w:numPr>
        <w:shd w:val="clear" w:color="auto" w:fill="FFFFFF"/>
        <w:textAlignment w:val="baseline"/>
        <w:rPr>
          <w:color w:val="333333"/>
          <w:sz w:val="22"/>
          <w:szCs w:val="22"/>
        </w:rPr>
      </w:pPr>
      <w:r w:rsidRPr="00C2044E">
        <w:rPr>
          <w:color w:val="333333"/>
          <w:sz w:val="22"/>
          <w:szCs w:val="22"/>
        </w:rPr>
        <w:t xml:space="preserve">Overgaauw PAM, van Knapen F (2013) Veterinary and public health aspects of </w:t>
      </w:r>
      <w:r w:rsidRPr="00C2044E">
        <w:rPr>
          <w:i/>
          <w:color w:val="333333"/>
          <w:sz w:val="22"/>
          <w:szCs w:val="22"/>
        </w:rPr>
        <w:t>Toxocara</w:t>
      </w:r>
      <w:r w:rsidRPr="00C2044E">
        <w:rPr>
          <w:color w:val="333333"/>
          <w:sz w:val="22"/>
          <w:szCs w:val="22"/>
        </w:rPr>
        <w:t xml:space="preserve"> spp. </w:t>
      </w:r>
      <w:r w:rsidRPr="00C2044E">
        <w:rPr>
          <w:i/>
          <w:iCs/>
          <w:color w:val="333333"/>
          <w:sz w:val="22"/>
          <w:szCs w:val="22"/>
        </w:rPr>
        <w:t>Veterinary Parasitology</w:t>
      </w:r>
      <w:r w:rsidRPr="00C2044E">
        <w:rPr>
          <w:color w:val="333333"/>
          <w:sz w:val="22"/>
          <w:szCs w:val="22"/>
        </w:rPr>
        <w:t xml:space="preserve"> 193(4):398–403.</w:t>
      </w:r>
    </w:p>
    <w:p w14:paraId="2A836F03" w14:textId="77777777" w:rsidR="00C82AA3" w:rsidRDefault="00C82AA3"/>
    <w:sectPr w:rsidR="00C82AA3" w:rsidSect="006815B7">
      <w:headerReference w:type="default" r:id="rId14"/>
      <w:footerReference w:type="default" r:id="rId15"/>
      <w:pgSz w:w="12240" w:h="15840"/>
      <w:pgMar w:top="1440" w:right="1800" w:bottom="1440" w:left="1800" w:header="720" w:footer="144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18B31" w14:textId="77777777" w:rsidR="0083599E" w:rsidRDefault="006815B7">
      <w:r>
        <w:separator/>
      </w:r>
    </w:p>
  </w:endnote>
  <w:endnote w:type="continuationSeparator" w:id="0">
    <w:p w14:paraId="7AD0F2AD" w14:textId="77777777" w:rsidR="0083599E" w:rsidRDefault="0068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85F0B" w14:textId="77777777" w:rsidR="00C2044E" w:rsidRDefault="00716156">
    <w:pPr>
      <w:pStyle w:val="Footer"/>
      <w:jc w:val="right"/>
    </w:pPr>
    <w:r>
      <w:fldChar w:fldCharType="begin"/>
    </w:r>
    <w:r>
      <w:instrText xml:space="preserve"> PAGE   \* MERGEFORMAT </w:instrText>
    </w:r>
    <w:r>
      <w:fldChar w:fldCharType="separate"/>
    </w:r>
    <w:r w:rsidR="002C71BA">
      <w:rPr>
        <w:noProof/>
      </w:rPr>
      <w:t>1</w:t>
    </w:r>
    <w:r>
      <w:fldChar w:fldCharType="end"/>
    </w:r>
  </w:p>
  <w:p w14:paraId="63F2EEE7" w14:textId="77777777" w:rsidR="00C2044E" w:rsidRDefault="002C71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FAF42" w14:textId="77777777" w:rsidR="0083599E" w:rsidRDefault="006815B7">
      <w:r>
        <w:separator/>
      </w:r>
    </w:p>
  </w:footnote>
  <w:footnote w:type="continuationSeparator" w:id="0">
    <w:p w14:paraId="09100C7E" w14:textId="77777777" w:rsidR="0083599E" w:rsidRDefault="006815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CFEA3" w14:textId="77777777" w:rsidR="00C2044E" w:rsidRPr="005001AC" w:rsidRDefault="002C71BA" w:rsidP="005001AC">
    <w:pPr>
      <w:jc w:val="right"/>
      <w:rPr>
        <w:sz w:val="20"/>
      </w:rPr>
    </w:pPr>
  </w:p>
  <w:p w14:paraId="1F31A40F" w14:textId="77777777" w:rsidR="00C2044E" w:rsidRDefault="002C71B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56"/>
    <w:rsid w:val="002C71BA"/>
    <w:rsid w:val="006815B7"/>
    <w:rsid w:val="00716156"/>
    <w:rsid w:val="0083599E"/>
    <w:rsid w:val="00C46011"/>
    <w:rsid w:val="00C82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80D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56"/>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7161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Heading">
    <w:name w:val="SM Heading"/>
    <w:basedOn w:val="Heading1"/>
    <w:qFormat/>
    <w:rsid w:val="00716156"/>
    <w:pPr>
      <w:keepLines w:val="0"/>
      <w:spacing w:before="240" w:after="60"/>
    </w:pPr>
    <w:rPr>
      <w:rFonts w:ascii="Times New Roman" w:eastAsia="Times New Roman" w:hAnsi="Times New Roman" w:cs="Times New Roman"/>
      <w:color w:val="auto"/>
      <w:kern w:val="32"/>
      <w:sz w:val="24"/>
      <w:szCs w:val="24"/>
    </w:rPr>
  </w:style>
  <w:style w:type="paragraph" w:customStyle="1" w:styleId="SMcaption">
    <w:name w:val="SM caption"/>
    <w:basedOn w:val="Normal"/>
    <w:qFormat/>
    <w:rsid w:val="00716156"/>
  </w:style>
  <w:style w:type="paragraph" w:styleId="Footer">
    <w:name w:val="footer"/>
    <w:basedOn w:val="Normal"/>
    <w:link w:val="FooterChar"/>
    <w:semiHidden/>
    <w:rsid w:val="00716156"/>
    <w:pPr>
      <w:tabs>
        <w:tab w:val="center" w:pos="4680"/>
        <w:tab w:val="right" w:pos="9360"/>
      </w:tabs>
    </w:pPr>
  </w:style>
  <w:style w:type="character" w:customStyle="1" w:styleId="FooterChar">
    <w:name w:val="Footer Char"/>
    <w:basedOn w:val="DefaultParagraphFont"/>
    <w:link w:val="Footer"/>
    <w:semiHidden/>
    <w:rsid w:val="00716156"/>
    <w:rPr>
      <w:rFonts w:ascii="Times New Roman" w:eastAsia="Times New Roman" w:hAnsi="Times New Roman" w:cs="Times New Roman"/>
      <w:szCs w:val="20"/>
    </w:rPr>
  </w:style>
  <w:style w:type="paragraph" w:styleId="NormalWeb">
    <w:name w:val="Normal (Web)"/>
    <w:basedOn w:val="Normal"/>
    <w:uiPriority w:val="99"/>
    <w:semiHidden/>
    <w:rsid w:val="00716156"/>
    <w:rPr>
      <w:szCs w:val="24"/>
    </w:rPr>
  </w:style>
  <w:style w:type="character" w:styleId="Hyperlink">
    <w:name w:val="Hyperlink"/>
    <w:basedOn w:val="DefaultParagraphFont"/>
    <w:semiHidden/>
    <w:rsid w:val="00716156"/>
    <w:rPr>
      <w:color w:val="0000FF"/>
      <w:u w:val="single"/>
    </w:rPr>
  </w:style>
  <w:style w:type="character" w:customStyle="1" w:styleId="Heading1Char">
    <w:name w:val="Heading 1 Char"/>
    <w:basedOn w:val="DefaultParagraphFont"/>
    <w:link w:val="Heading1"/>
    <w:uiPriority w:val="9"/>
    <w:rsid w:val="00716156"/>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16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156"/>
    <w:rPr>
      <w:rFonts w:ascii="Lucida Grande" w:eastAsia="Times New Roman" w:hAnsi="Lucida Grande" w:cs="Lucida Grande"/>
      <w:sz w:val="18"/>
      <w:szCs w:val="18"/>
    </w:rPr>
  </w:style>
  <w:style w:type="paragraph" w:styleId="Header">
    <w:name w:val="header"/>
    <w:basedOn w:val="Normal"/>
    <w:link w:val="HeaderChar"/>
    <w:uiPriority w:val="99"/>
    <w:unhideWhenUsed/>
    <w:rsid w:val="00C46011"/>
    <w:pPr>
      <w:tabs>
        <w:tab w:val="center" w:pos="4320"/>
        <w:tab w:val="right" w:pos="8640"/>
      </w:tabs>
    </w:pPr>
  </w:style>
  <w:style w:type="character" w:customStyle="1" w:styleId="HeaderChar">
    <w:name w:val="Header Char"/>
    <w:basedOn w:val="DefaultParagraphFont"/>
    <w:link w:val="Header"/>
    <w:uiPriority w:val="99"/>
    <w:rsid w:val="00C46011"/>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56"/>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7161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Heading">
    <w:name w:val="SM Heading"/>
    <w:basedOn w:val="Heading1"/>
    <w:qFormat/>
    <w:rsid w:val="00716156"/>
    <w:pPr>
      <w:keepLines w:val="0"/>
      <w:spacing w:before="240" w:after="60"/>
    </w:pPr>
    <w:rPr>
      <w:rFonts w:ascii="Times New Roman" w:eastAsia="Times New Roman" w:hAnsi="Times New Roman" w:cs="Times New Roman"/>
      <w:color w:val="auto"/>
      <w:kern w:val="32"/>
      <w:sz w:val="24"/>
      <w:szCs w:val="24"/>
    </w:rPr>
  </w:style>
  <w:style w:type="paragraph" w:customStyle="1" w:styleId="SMcaption">
    <w:name w:val="SM caption"/>
    <w:basedOn w:val="Normal"/>
    <w:qFormat/>
    <w:rsid w:val="00716156"/>
  </w:style>
  <w:style w:type="paragraph" w:styleId="Footer">
    <w:name w:val="footer"/>
    <w:basedOn w:val="Normal"/>
    <w:link w:val="FooterChar"/>
    <w:semiHidden/>
    <w:rsid w:val="00716156"/>
    <w:pPr>
      <w:tabs>
        <w:tab w:val="center" w:pos="4680"/>
        <w:tab w:val="right" w:pos="9360"/>
      </w:tabs>
    </w:pPr>
  </w:style>
  <w:style w:type="character" w:customStyle="1" w:styleId="FooterChar">
    <w:name w:val="Footer Char"/>
    <w:basedOn w:val="DefaultParagraphFont"/>
    <w:link w:val="Footer"/>
    <w:semiHidden/>
    <w:rsid w:val="00716156"/>
    <w:rPr>
      <w:rFonts w:ascii="Times New Roman" w:eastAsia="Times New Roman" w:hAnsi="Times New Roman" w:cs="Times New Roman"/>
      <w:szCs w:val="20"/>
    </w:rPr>
  </w:style>
  <w:style w:type="paragraph" w:styleId="NormalWeb">
    <w:name w:val="Normal (Web)"/>
    <w:basedOn w:val="Normal"/>
    <w:uiPriority w:val="99"/>
    <w:semiHidden/>
    <w:rsid w:val="00716156"/>
    <w:rPr>
      <w:szCs w:val="24"/>
    </w:rPr>
  </w:style>
  <w:style w:type="character" w:styleId="Hyperlink">
    <w:name w:val="Hyperlink"/>
    <w:basedOn w:val="DefaultParagraphFont"/>
    <w:semiHidden/>
    <w:rsid w:val="00716156"/>
    <w:rPr>
      <w:color w:val="0000FF"/>
      <w:u w:val="single"/>
    </w:rPr>
  </w:style>
  <w:style w:type="character" w:customStyle="1" w:styleId="Heading1Char">
    <w:name w:val="Heading 1 Char"/>
    <w:basedOn w:val="DefaultParagraphFont"/>
    <w:link w:val="Heading1"/>
    <w:uiPriority w:val="9"/>
    <w:rsid w:val="00716156"/>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16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156"/>
    <w:rPr>
      <w:rFonts w:ascii="Lucida Grande" w:eastAsia="Times New Roman" w:hAnsi="Lucida Grande" w:cs="Lucida Grande"/>
      <w:sz w:val="18"/>
      <w:szCs w:val="18"/>
    </w:rPr>
  </w:style>
  <w:style w:type="paragraph" w:styleId="Header">
    <w:name w:val="header"/>
    <w:basedOn w:val="Normal"/>
    <w:link w:val="HeaderChar"/>
    <w:uiPriority w:val="99"/>
    <w:unhideWhenUsed/>
    <w:rsid w:val="00C46011"/>
    <w:pPr>
      <w:tabs>
        <w:tab w:val="center" w:pos="4320"/>
        <w:tab w:val="right" w:pos="8640"/>
      </w:tabs>
    </w:pPr>
  </w:style>
  <w:style w:type="character" w:customStyle="1" w:styleId="HeaderChar">
    <w:name w:val="Header Char"/>
    <w:basedOn w:val="DefaultParagraphFont"/>
    <w:link w:val="Header"/>
    <w:uiPriority w:val="99"/>
    <w:rsid w:val="00C4601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s://doi.org/10.1186/s13071-017-2056-1"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xxxxx@xxxx.xxx"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1058</Words>
  <Characters>6034</Characters>
  <Application>Microsoft Macintosh Word</Application>
  <DocSecurity>0</DocSecurity>
  <Lines>50</Lines>
  <Paragraphs>14</Paragraphs>
  <ScaleCrop>false</ScaleCrop>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dc:creator>
  <cp:keywords/>
  <dc:description/>
  <cp:lastModifiedBy>K C</cp:lastModifiedBy>
  <cp:revision>2</cp:revision>
  <cp:lastPrinted>2018-10-08T20:31:00Z</cp:lastPrinted>
  <dcterms:created xsi:type="dcterms:W3CDTF">2018-10-23T19:31:00Z</dcterms:created>
  <dcterms:modified xsi:type="dcterms:W3CDTF">2018-10-23T19:31:00Z</dcterms:modified>
</cp:coreProperties>
</file>