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F593C" w14:textId="77777777" w:rsidR="000377B5" w:rsidRPr="00B90197" w:rsidRDefault="000377B5" w:rsidP="000377B5">
      <w:pPr>
        <w:spacing w:line="480" w:lineRule="auto"/>
        <w:outlineLvl w:val="0"/>
        <w:rPr>
          <w:b/>
        </w:rPr>
      </w:pPr>
      <w:r w:rsidRPr="00B90197">
        <w:rPr>
          <w:b/>
        </w:rPr>
        <w:t>Supplementary Information</w:t>
      </w:r>
    </w:p>
    <w:p w14:paraId="7D3F236B" w14:textId="77777777" w:rsidR="000377B5" w:rsidRPr="00B90197" w:rsidRDefault="000377B5" w:rsidP="000377B5">
      <w:pPr>
        <w:spacing w:line="480" w:lineRule="auto"/>
        <w:rPr>
          <w:b/>
        </w:rPr>
      </w:pPr>
    </w:p>
    <w:p w14:paraId="7A3EAACA" w14:textId="6E106B9E" w:rsidR="000377B5" w:rsidRPr="00B90197" w:rsidRDefault="00332EA6" w:rsidP="000377B5">
      <w:pPr>
        <w:spacing w:line="480" w:lineRule="auto"/>
        <w:jc w:val="both"/>
        <w:outlineLvl w:val="0"/>
        <w:rPr>
          <w:b/>
        </w:rPr>
      </w:pPr>
      <w:r w:rsidRPr="00B90197">
        <w:rPr>
          <w:b/>
        </w:rPr>
        <w:t xml:space="preserve">Supplementary </w:t>
      </w:r>
      <w:r w:rsidR="004E4003" w:rsidRPr="00B90197">
        <w:rPr>
          <w:b/>
        </w:rPr>
        <w:t>tables</w:t>
      </w:r>
    </w:p>
    <w:p w14:paraId="512B0F60" w14:textId="77777777" w:rsidR="000377B5" w:rsidRPr="00B90197" w:rsidRDefault="000377B5" w:rsidP="000377B5">
      <w:pPr>
        <w:spacing w:line="480" w:lineRule="auto"/>
        <w:jc w:val="both"/>
        <w:rPr>
          <w:b/>
        </w:rPr>
      </w:pPr>
    </w:p>
    <w:p w14:paraId="7BF9C9C9" w14:textId="60C79E35" w:rsidR="000377B5" w:rsidRPr="00ED4A55" w:rsidRDefault="000377B5" w:rsidP="000377B5">
      <w:pPr>
        <w:spacing w:line="480" w:lineRule="auto"/>
        <w:jc w:val="both"/>
      </w:pPr>
      <w:r w:rsidRPr="00B90197">
        <w:rPr>
          <w:b/>
        </w:rPr>
        <w:t>Table S1</w:t>
      </w:r>
      <w:r w:rsidRPr="00B90197">
        <w:t xml:space="preserve">. Generalized linear model (function </w:t>
      </w:r>
      <w:r w:rsidRPr="00B90197">
        <w:rPr>
          <w:i/>
        </w:rPr>
        <w:t>glm</w:t>
      </w:r>
      <w:r w:rsidRPr="00B90197">
        <w:t xml:space="preserve"> from </w:t>
      </w:r>
      <w:r w:rsidRPr="00B90197">
        <w:rPr>
          <w:i/>
        </w:rPr>
        <w:t xml:space="preserve">R </w:t>
      </w:r>
      <w:r w:rsidRPr="00B90197">
        <w:t xml:space="preserve">package </w:t>
      </w:r>
      <w:r w:rsidRPr="00B90197">
        <w:rPr>
          <w:i/>
        </w:rPr>
        <w:t>stats</w:t>
      </w:r>
      <w:r w:rsidRPr="00B90197">
        <w:t xml:space="preserve">) used to quantify the relationship between grazing halo presence and reserve age. Reserve age was the only variable remaining in the model following model selection procedures (Table 1; described in Zuur </w:t>
      </w:r>
      <w:r w:rsidRPr="00B90197">
        <w:rPr>
          <w:i/>
        </w:rPr>
        <w:t xml:space="preserve">et al. </w:t>
      </w:r>
      <w:r w:rsidRPr="00B90197">
        <w:fldChar w:fldCharType="begin" w:fldLock="1"/>
      </w:r>
      <w:r w:rsidR="00662924">
        <w:instrText>ADDIN CSL_CITATION {"citationItems":[{"id":"ITEM-1","itemData":{"author":[{"dropping-particle":"","family":"Zuur","given":"Alain F.","non-dropping-particle":"","parse-names":false,"suffix":""},{"dropping-particle":"","family":"Ieno","given":"Elena N.","non-dropping-particle":"","parse-names":false,"suffix":""},{"dropping-particle":"","family":"Walker","given":"Neil J.","non-dropping-particle":"","parse-names":false,"suffix":""},{"dropping-particle":"","family":"Saveliev","given":"Anatoly A.","non-dropping-particle":"","parse-names":false,"suffix":""},{"dropping-particle":"","family":"Smith","given":"Graham M.","non-dropping-particle":"","parse-names":false,"suffix":""}],"editor":[{"dropping-particle":"","family":"Gail","given":"M.","non-dropping-particle":"","parse-names":false,"suffix":""},{"dropping-particle":"","family":"Tsiatis","given":"K.","non-dropping-particle":"","parse-names":false,"suffix":""},{"dropping-particle":"","family":"Krickeberg","given":"A.","non-dropping-particle":"","parse-names":false,"suffix":""},{"dropping-particle":"","family":"Samet","given":"J. M.","non-dropping-particle":"","parse-names":false,"suffix":""},{"dropping-particle":"","family":"Wong","given":"W.","non-dropping-particle":"","parse-names":false,"suffix":""}],"id":"ITEM-1","issued":{"date-parts":[["2009"]]},"number-of-pages":"1-574","publisher":"Springer","publisher-place":"New York, NY","title":"Mixed effects models and extensions in ecology with R","type":"book"},"suppress-author":1,"uris":["http://www.mendeley.com/documents/?uuid=2f085481-9a22-4847-a29c-076a5061d0c1"]}],"mendeley":{"formattedCitation":"[1]","plainTextFormattedCitation":"[1]","previouslyFormattedCitation":"[1]"},"properties":{"noteIndex":0},"schema":"https://github.com/citation-style-language/schema/raw/master/csl-citation.json"}</w:instrText>
      </w:r>
      <w:r w:rsidRPr="00B90197">
        <w:fldChar w:fldCharType="separate"/>
      </w:r>
      <w:r w:rsidR="0024192B" w:rsidRPr="0024192B">
        <w:rPr>
          <w:noProof/>
        </w:rPr>
        <w:t>[1]</w:t>
      </w:r>
      <w:r w:rsidRPr="00B90197">
        <w:fldChar w:fldCharType="end"/>
      </w:r>
      <w:r w:rsidRPr="00B90197">
        <w:t xml:space="preserve">). </w:t>
      </w:r>
      <w:r w:rsidR="00ED4A55" w:rsidRPr="00A51E0A">
        <w:rPr>
          <w:rFonts w:eastAsia="Times New Roman"/>
          <w:color w:val="000000"/>
        </w:rPr>
        <w:t>Nagelkerke's</w:t>
      </w:r>
      <w:r w:rsidR="00ED4A55">
        <w:rPr>
          <w:rFonts w:eastAsia="Times New Roman"/>
          <w:color w:val="000000"/>
        </w:rPr>
        <w:t xml:space="preserve"> R</w:t>
      </w:r>
      <w:r w:rsidR="00ED4A55" w:rsidRPr="00246DA3">
        <w:rPr>
          <w:rFonts w:eastAsia="Times New Roman"/>
          <w:color w:val="000000"/>
          <w:vertAlign w:val="superscript"/>
        </w:rPr>
        <w:t>2</w:t>
      </w:r>
      <w:r w:rsidR="00ED4A55">
        <w:rPr>
          <w:rFonts w:eastAsia="Times New Roman"/>
          <w:color w:val="000000"/>
        </w:rPr>
        <w:t xml:space="preserve"> </w:t>
      </w:r>
      <w:r w:rsidR="00B2631A">
        <w:rPr>
          <w:rFonts w:eastAsia="Times New Roman"/>
          <w:color w:val="000000"/>
        </w:rPr>
        <w:t xml:space="preserve">= </w:t>
      </w:r>
      <w:r w:rsidR="00B2631A" w:rsidRPr="00FB3997">
        <w:rPr>
          <w:rFonts w:eastAsia="Times New Roman"/>
          <w:color w:val="000000"/>
        </w:rPr>
        <w:t>0.072</w:t>
      </w:r>
      <w:r w:rsidR="00B2631A">
        <w:rPr>
          <w:rFonts w:eastAsia="Times New Roman"/>
          <w:color w:val="000000"/>
        </w:rPr>
        <w:t xml:space="preserve"> </w:t>
      </w:r>
      <w:r w:rsidR="003B04AF">
        <w:rPr>
          <w:rFonts w:eastAsia="Times New Roman"/>
          <w:color w:val="000000"/>
        </w:rPr>
        <w:t>(</w:t>
      </w:r>
      <w:r w:rsidR="00ED4A55">
        <w:rPr>
          <w:rFonts w:eastAsia="Times New Roman"/>
          <w:color w:val="000000"/>
        </w:rPr>
        <w:t xml:space="preserve">calculated from function </w:t>
      </w:r>
      <w:r w:rsidR="00ED4A55" w:rsidRPr="00580EC8">
        <w:rPr>
          <w:rFonts w:eastAsia="Times New Roman"/>
          <w:i/>
          <w:color w:val="000000"/>
        </w:rPr>
        <w:t>NagelkerkeR2</w:t>
      </w:r>
      <w:r w:rsidR="00ED4A55">
        <w:rPr>
          <w:rFonts w:eastAsia="Times New Roman"/>
          <w:color w:val="000000"/>
        </w:rPr>
        <w:t xml:space="preserve"> in </w:t>
      </w:r>
      <w:r w:rsidR="00ED4A55" w:rsidRPr="00580EC8">
        <w:rPr>
          <w:rFonts w:eastAsia="Times New Roman"/>
          <w:i/>
          <w:color w:val="000000"/>
        </w:rPr>
        <w:t>R</w:t>
      </w:r>
      <w:r w:rsidR="00ED4A55">
        <w:rPr>
          <w:rFonts w:eastAsia="Times New Roman"/>
          <w:color w:val="000000"/>
        </w:rPr>
        <w:t xml:space="preserve"> package </w:t>
      </w:r>
      <w:r w:rsidR="00ED4A55" w:rsidRPr="00580EC8">
        <w:rPr>
          <w:rFonts w:eastAsia="Times New Roman"/>
          <w:i/>
          <w:color w:val="000000"/>
        </w:rPr>
        <w:t>fmsb</w:t>
      </w:r>
      <w:r w:rsidR="00ED4A55">
        <w:rPr>
          <w:rFonts w:eastAsia="Times New Roman"/>
          <w:color w:val="000000"/>
        </w:rPr>
        <w:t xml:space="preserve">). </w:t>
      </w:r>
    </w:p>
    <w:p w14:paraId="38BF2426" w14:textId="77777777" w:rsidR="000377B5" w:rsidRPr="00B90197" w:rsidRDefault="000377B5" w:rsidP="000377B5">
      <w:pPr>
        <w:spacing w:line="480" w:lineRule="auto"/>
        <w:jc w:val="both"/>
      </w:pPr>
    </w:p>
    <w:tbl>
      <w:tblPr>
        <w:tblStyle w:val="TableGrid"/>
        <w:tblW w:w="0" w:type="auto"/>
        <w:tblLook w:val="04A0" w:firstRow="1" w:lastRow="0" w:firstColumn="1" w:lastColumn="0" w:noHBand="0" w:noVBand="1"/>
      </w:tblPr>
      <w:tblGrid>
        <w:gridCol w:w="2085"/>
        <w:gridCol w:w="1316"/>
        <w:gridCol w:w="1334"/>
        <w:gridCol w:w="1259"/>
        <w:gridCol w:w="1127"/>
      </w:tblGrid>
      <w:tr w:rsidR="00B2631A" w:rsidRPr="00B90197" w14:paraId="5740A778" w14:textId="14FD3586" w:rsidTr="00FB3997">
        <w:tc>
          <w:tcPr>
            <w:tcW w:w="2085" w:type="dxa"/>
            <w:vAlign w:val="bottom"/>
          </w:tcPr>
          <w:p w14:paraId="17DA90A9" w14:textId="77777777" w:rsidR="00B2631A" w:rsidRPr="00B90197" w:rsidRDefault="00B2631A" w:rsidP="004C5635">
            <w:pPr>
              <w:spacing w:line="480" w:lineRule="auto"/>
              <w:jc w:val="both"/>
              <w:rPr>
                <w:b/>
              </w:rPr>
            </w:pPr>
          </w:p>
        </w:tc>
        <w:tc>
          <w:tcPr>
            <w:tcW w:w="1316" w:type="dxa"/>
            <w:vAlign w:val="bottom"/>
          </w:tcPr>
          <w:p w14:paraId="36EC687B" w14:textId="77777777" w:rsidR="00B2631A" w:rsidRPr="00B90197" w:rsidRDefault="00B2631A" w:rsidP="004C5635">
            <w:pPr>
              <w:spacing w:line="480" w:lineRule="auto"/>
              <w:jc w:val="both"/>
              <w:rPr>
                <w:b/>
              </w:rPr>
            </w:pPr>
            <w:r w:rsidRPr="00B90197">
              <w:rPr>
                <w:rFonts w:eastAsia="Times New Roman"/>
                <w:color w:val="000000"/>
              </w:rPr>
              <w:t>Estimate</w:t>
            </w:r>
          </w:p>
        </w:tc>
        <w:tc>
          <w:tcPr>
            <w:tcW w:w="1334" w:type="dxa"/>
            <w:vAlign w:val="bottom"/>
          </w:tcPr>
          <w:p w14:paraId="2670FC4B" w14:textId="77777777" w:rsidR="00B2631A" w:rsidRPr="00B90197" w:rsidRDefault="00B2631A" w:rsidP="004C5635">
            <w:pPr>
              <w:spacing w:line="480" w:lineRule="auto"/>
              <w:jc w:val="both"/>
              <w:rPr>
                <w:b/>
              </w:rPr>
            </w:pPr>
            <w:r w:rsidRPr="00B90197">
              <w:rPr>
                <w:rFonts w:eastAsia="Times New Roman"/>
                <w:color w:val="000000"/>
              </w:rPr>
              <w:t>Std.Error</w:t>
            </w:r>
          </w:p>
        </w:tc>
        <w:tc>
          <w:tcPr>
            <w:tcW w:w="1259" w:type="dxa"/>
            <w:vAlign w:val="bottom"/>
          </w:tcPr>
          <w:p w14:paraId="578B9945" w14:textId="77777777" w:rsidR="00B2631A" w:rsidRPr="00B90197" w:rsidRDefault="00B2631A" w:rsidP="004C5635">
            <w:pPr>
              <w:spacing w:line="480" w:lineRule="auto"/>
              <w:jc w:val="both"/>
              <w:rPr>
                <w:b/>
              </w:rPr>
            </w:pPr>
            <w:r w:rsidRPr="00B90197">
              <w:rPr>
                <w:rFonts w:eastAsia="Times New Roman"/>
                <w:color w:val="000000"/>
              </w:rPr>
              <w:t>z.value</w:t>
            </w:r>
          </w:p>
        </w:tc>
        <w:tc>
          <w:tcPr>
            <w:tcW w:w="1127" w:type="dxa"/>
            <w:vAlign w:val="bottom"/>
          </w:tcPr>
          <w:p w14:paraId="2183C59C" w14:textId="77777777" w:rsidR="00B2631A" w:rsidRPr="00B90197" w:rsidRDefault="00B2631A" w:rsidP="004C5635">
            <w:pPr>
              <w:spacing w:line="480" w:lineRule="auto"/>
              <w:jc w:val="both"/>
              <w:rPr>
                <w:b/>
              </w:rPr>
            </w:pPr>
            <w:r w:rsidRPr="00B90197">
              <w:rPr>
                <w:rFonts w:eastAsia="Times New Roman"/>
                <w:color w:val="000000"/>
              </w:rPr>
              <w:t>p.value</w:t>
            </w:r>
          </w:p>
        </w:tc>
      </w:tr>
      <w:tr w:rsidR="00B2631A" w:rsidRPr="00B90197" w14:paraId="33934DD2" w14:textId="4CDF8F92" w:rsidTr="00FB3997">
        <w:tc>
          <w:tcPr>
            <w:tcW w:w="2085" w:type="dxa"/>
            <w:vAlign w:val="bottom"/>
          </w:tcPr>
          <w:p w14:paraId="66659077" w14:textId="77777777" w:rsidR="00B2631A" w:rsidRPr="00B90197" w:rsidRDefault="00B2631A" w:rsidP="004C5635">
            <w:pPr>
              <w:spacing w:line="480" w:lineRule="auto"/>
              <w:jc w:val="both"/>
              <w:rPr>
                <w:b/>
              </w:rPr>
            </w:pPr>
            <w:r w:rsidRPr="00B90197">
              <w:rPr>
                <w:rFonts w:eastAsia="Times New Roman"/>
                <w:color w:val="000000"/>
              </w:rPr>
              <w:t>(Intercept)</w:t>
            </w:r>
          </w:p>
        </w:tc>
        <w:tc>
          <w:tcPr>
            <w:tcW w:w="1316" w:type="dxa"/>
            <w:vAlign w:val="bottom"/>
          </w:tcPr>
          <w:p w14:paraId="61641852" w14:textId="77777777" w:rsidR="00B2631A" w:rsidRPr="00B90197" w:rsidRDefault="00B2631A" w:rsidP="004C5635">
            <w:pPr>
              <w:spacing w:line="480" w:lineRule="auto"/>
              <w:jc w:val="both"/>
              <w:rPr>
                <w:b/>
              </w:rPr>
            </w:pPr>
            <w:r w:rsidRPr="00B90197">
              <w:rPr>
                <w:rFonts w:eastAsia="Times New Roman"/>
                <w:color w:val="000000"/>
              </w:rPr>
              <w:t>-1.253</w:t>
            </w:r>
          </w:p>
        </w:tc>
        <w:tc>
          <w:tcPr>
            <w:tcW w:w="1334" w:type="dxa"/>
            <w:vAlign w:val="bottom"/>
          </w:tcPr>
          <w:p w14:paraId="5805DBA0" w14:textId="77777777" w:rsidR="00B2631A" w:rsidRPr="00B90197" w:rsidRDefault="00B2631A" w:rsidP="004C5635">
            <w:pPr>
              <w:spacing w:line="480" w:lineRule="auto"/>
              <w:jc w:val="both"/>
              <w:rPr>
                <w:b/>
              </w:rPr>
            </w:pPr>
            <w:r w:rsidRPr="00B90197">
              <w:rPr>
                <w:rFonts w:eastAsia="Times New Roman"/>
                <w:color w:val="000000"/>
              </w:rPr>
              <w:t>0.472</w:t>
            </w:r>
          </w:p>
        </w:tc>
        <w:tc>
          <w:tcPr>
            <w:tcW w:w="1259" w:type="dxa"/>
            <w:vAlign w:val="bottom"/>
          </w:tcPr>
          <w:p w14:paraId="73C78128" w14:textId="77777777" w:rsidR="00B2631A" w:rsidRPr="00B90197" w:rsidRDefault="00B2631A" w:rsidP="004C5635">
            <w:pPr>
              <w:spacing w:line="480" w:lineRule="auto"/>
              <w:jc w:val="both"/>
              <w:rPr>
                <w:b/>
              </w:rPr>
            </w:pPr>
            <w:r w:rsidRPr="00B90197">
              <w:rPr>
                <w:rFonts w:eastAsia="Times New Roman"/>
                <w:color w:val="000000"/>
              </w:rPr>
              <w:t>-2.655</w:t>
            </w:r>
          </w:p>
        </w:tc>
        <w:tc>
          <w:tcPr>
            <w:tcW w:w="1127" w:type="dxa"/>
            <w:vAlign w:val="bottom"/>
          </w:tcPr>
          <w:p w14:paraId="47B2DB49" w14:textId="77777777" w:rsidR="00B2631A" w:rsidRPr="00B90197" w:rsidRDefault="00B2631A" w:rsidP="004C5635">
            <w:pPr>
              <w:spacing w:line="480" w:lineRule="auto"/>
              <w:jc w:val="both"/>
              <w:rPr>
                <w:b/>
              </w:rPr>
            </w:pPr>
            <w:r w:rsidRPr="00B90197">
              <w:rPr>
                <w:rFonts w:eastAsia="Times New Roman"/>
                <w:color w:val="000000"/>
              </w:rPr>
              <w:t>0.008</w:t>
            </w:r>
          </w:p>
        </w:tc>
      </w:tr>
      <w:tr w:rsidR="00B2631A" w:rsidRPr="00B90197" w14:paraId="2024CA51" w14:textId="35F2D463" w:rsidTr="00FB3997">
        <w:tc>
          <w:tcPr>
            <w:tcW w:w="2085" w:type="dxa"/>
            <w:vAlign w:val="bottom"/>
          </w:tcPr>
          <w:p w14:paraId="351D4403" w14:textId="77777777" w:rsidR="00B2631A" w:rsidRPr="00B90197" w:rsidRDefault="00B2631A" w:rsidP="004C5635">
            <w:pPr>
              <w:spacing w:line="480" w:lineRule="auto"/>
              <w:jc w:val="both"/>
              <w:rPr>
                <w:b/>
              </w:rPr>
            </w:pPr>
            <w:r w:rsidRPr="00B90197">
              <w:t>Reserve age</w:t>
            </w:r>
          </w:p>
        </w:tc>
        <w:tc>
          <w:tcPr>
            <w:tcW w:w="1316" w:type="dxa"/>
            <w:vAlign w:val="bottom"/>
          </w:tcPr>
          <w:p w14:paraId="3EC6EEF2" w14:textId="77777777" w:rsidR="00B2631A" w:rsidRPr="00B90197" w:rsidRDefault="00B2631A" w:rsidP="004C5635">
            <w:pPr>
              <w:spacing w:line="480" w:lineRule="auto"/>
              <w:jc w:val="both"/>
              <w:rPr>
                <w:b/>
              </w:rPr>
            </w:pPr>
            <w:r w:rsidRPr="00B90197">
              <w:rPr>
                <w:rFonts w:eastAsia="Times New Roman"/>
                <w:color w:val="000000"/>
              </w:rPr>
              <w:t>0.036</w:t>
            </w:r>
          </w:p>
        </w:tc>
        <w:tc>
          <w:tcPr>
            <w:tcW w:w="1334" w:type="dxa"/>
            <w:vAlign w:val="bottom"/>
          </w:tcPr>
          <w:p w14:paraId="70C99B2B" w14:textId="77777777" w:rsidR="00B2631A" w:rsidRPr="00B90197" w:rsidRDefault="00B2631A" w:rsidP="004C5635">
            <w:pPr>
              <w:spacing w:line="480" w:lineRule="auto"/>
              <w:jc w:val="both"/>
              <w:rPr>
                <w:b/>
              </w:rPr>
            </w:pPr>
            <w:r w:rsidRPr="00B90197">
              <w:rPr>
                <w:rFonts w:eastAsia="Times New Roman"/>
                <w:color w:val="000000"/>
              </w:rPr>
              <w:t>0.019</w:t>
            </w:r>
          </w:p>
        </w:tc>
        <w:tc>
          <w:tcPr>
            <w:tcW w:w="1259" w:type="dxa"/>
            <w:vAlign w:val="bottom"/>
          </w:tcPr>
          <w:p w14:paraId="0152B7FC" w14:textId="77777777" w:rsidR="00B2631A" w:rsidRPr="00B90197" w:rsidRDefault="00B2631A" w:rsidP="004C5635">
            <w:pPr>
              <w:spacing w:line="480" w:lineRule="auto"/>
              <w:jc w:val="both"/>
              <w:rPr>
                <w:b/>
              </w:rPr>
            </w:pPr>
            <w:r w:rsidRPr="00B90197">
              <w:rPr>
                <w:rFonts w:eastAsia="Times New Roman"/>
                <w:color w:val="000000"/>
              </w:rPr>
              <w:t>1.935</w:t>
            </w:r>
          </w:p>
        </w:tc>
        <w:tc>
          <w:tcPr>
            <w:tcW w:w="1127" w:type="dxa"/>
            <w:vAlign w:val="bottom"/>
          </w:tcPr>
          <w:p w14:paraId="5D68FFA8" w14:textId="77777777" w:rsidR="00B2631A" w:rsidRPr="00B90197" w:rsidRDefault="00B2631A" w:rsidP="004C5635">
            <w:pPr>
              <w:spacing w:line="480" w:lineRule="auto"/>
              <w:jc w:val="both"/>
              <w:rPr>
                <w:b/>
              </w:rPr>
            </w:pPr>
            <w:r w:rsidRPr="00B90197">
              <w:rPr>
                <w:rFonts w:eastAsia="Times New Roman"/>
                <w:b/>
                <w:color w:val="000000"/>
              </w:rPr>
              <w:t>0.053</w:t>
            </w:r>
          </w:p>
        </w:tc>
      </w:tr>
    </w:tbl>
    <w:p w14:paraId="3E725526" w14:textId="77777777" w:rsidR="000377B5" w:rsidRPr="00B90197" w:rsidRDefault="000377B5" w:rsidP="000377B5">
      <w:pPr>
        <w:spacing w:line="480" w:lineRule="auto"/>
        <w:jc w:val="both"/>
      </w:pPr>
    </w:p>
    <w:p w14:paraId="433976D6" w14:textId="77777777" w:rsidR="000377B5" w:rsidRPr="00B90197" w:rsidRDefault="000377B5" w:rsidP="000377B5">
      <w:pPr>
        <w:spacing w:line="480" w:lineRule="auto"/>
        <w:jc w:val="both"/>
        <w:rPr>
          <w:b/>
        </w:rPr>
      </w:pPr>
    </w:p>
    <w:p w14:paraId="0E90B607" w14:textId="784CD0E4" w:rsidR="000377B5" w:rsidRPr="00B90197" w:rsidRDefault="000377B5" w:rsidP="000377B5">
      <w:pPr>
        <w:spacing w:line="480" w:lineRule="auto"/>
        <w:jc w:val="both"/>
      </w:pPr>
      <w:r w:rsidRPr="00B90197">
        <w:rPr>
          <w:b/>
        </w:rPr>
        <w:t xml:space="preserve">Table S2. </w:t>
      </w:r>
      <w:r w:rsidRPr="00B90197">
        <w:t xml:space="preserve">Linear mixed-effects model fit by maximum likelihood (function </w:t>
      </w:r>
      <w:r w:rsidRPr="00B90197">
        <w:rPr>
          <w:i/>
        </w:rPr>
        <w:t>lme</w:t>
      </w:r>
      <w:r w:rsidRPr="00B90197">
        <w:t xml:space="preserve"> from </w:t>
      </w:r>
      <w:r w:rsidRPr="00B90197">
        <w:rPr>
          <w:i/>
        </w:rPr>
        <w:t xml:space="preserve">R </w:t>
      </w:r>
      <w:r w:rsidRPr="00B90197">
        <w:t xml:space="preserve">package </w:t>
      </w:r>
      <w:r w:rsidRPr="00B90197">
        <w:rPr>
          <w:i/>
        </w:rPr>
        <w:t>nlme</w:t>
      </w:r>
      <w:r w:rsidRPr="00B90197">
        <w:t xml:space="preserve">) used to quantify relationships between grazing halo size (i.e., width) and four key predictor variables. Because grazing halo and patch reef size data are at the within-whole reef spatial scale, patch reef area and whole reef ID were included as nested random factors within the model. All other factors, as well as patch reef area, were included as fixed factors. Only those variables remaining in the model following model selection procedures (Table 1; described in Zuur </w:t>
      </w:r>
      <w:r w:rsidRPr="00B90197">
        <w:rPr>
          <w:i/>
        </w:rPr>
        <w:t xml:space="preserve">et al. </w:t>
      </w:r>
      <w:r w:rsidRPr="00B90197">
        <w:fldChar w:fldCharType="begin" w:fldLock="1"/>
      </w:r>
      <w:r w:rsidR="00662924">
        <w:instrText>ADDIN CSL_CITATION {"citationItems":[{"id":"ITEM-1","itemData":{"author":[{"dropping-particle":"","family":"Zuur","given":"Alain F.","non-dropping-particle":"","parse-names":false,"suffix":""},{"dropping-particle":"","family":"Ieno","given":"Elena N.","non-dropping-particle":"","parse-names":false,"suffix":""},{"dropping-particle":"","family":"Walker","given":"Neil J.","non-dropping-particle":"","parse-names":false,"suffix":""},{"dropping-particle":"","family":"Saveliev","given":"Anatoly A.","non-dropping-particle":"","parse-names":false,"suffix":""},{"dropping-particle":"","family":"Smith","given":"Graham M.","non-dropping-particle":"","parse-names":false,"suffix":""}],"editor":[{"dropping-particle":"","family":"Gail","given":"M.","non-dropping-particle":"","parse-names":false,"suffix":""},{"dropping-particle":"","family":"Tsiatis","given":"K.","non-dropping-particle":"","parse-names":false,"suffix":""},{"dropping-particle":"","family":"Krickeberg","given":"A.","non-dropping-particle":"","parse-names":false,"suffix":""},{"dropping-particle":"","family":"Samet","given":"J. M.","non-dropping-particle":"","parse-names":false,"suffix":""},{"dropping-particle":"","family":"Wong","given":"W.","non-dropping-particle":"","parse-names":false,"suffix":""}],"id":"ITEM-1","issued":{"date-parts":[["2009"]]},"number-of-pages":"1-574","publisher":"Springer","publisher-place":"New York, NY","title":"Mixed effects models and extensions in ecology with R","type":"book"},"suppress-author":1,"uris":["http://www.mendeley.com/documents/?uuid=2f085481-9a22-4847-a29c-076a5061d0c1"]}],"mendeley":{"formattedCitation":"[1]","plainTextFormattedCitation":"[1]","previouslyFormattedCitation":"[1]"},"properties":{"noteIndex":0},"schema":"https://github.com/citation-style-language/schema/raw/master/csl-citation.json"}</w:instrText>
      </w:r>
      <w:r w:rsidRPr="00B90197">
        <w:fldChar w:fldCharType="separate"/>
      </w:r>
      <w:r w:rsidR="0024192B" w:rsidRPr="0024192B">
        <w:rPr>
          <w:noProof/>
        </w:rPr>
        <w:t>[1]</w:t>
      </w:r>
      <w:r w:rsidRPr="00B90197">
        <w:fldChar w:fldCharType="end"/>
      </w:r>
      <w:r w:rsidRPr="00B90197">
        <w:t>) are shown.</w:t>
      </w:r>
      <w:r w:rsidR="00127890">
        <w:t xml:space="preserve"> </w:t>
      </w:r>
      <w:r w:rsidR="00127890">
        <w:rPr>
          <w:rFonts w:eastAsia="Times New Roman"/>
          <w:color w:val="000000"/>
        </w:rPr>
        <w:t xml:space="preserve">Marginal </w:t>
      </w:r>
      <w:r w:rsidR="00B2631A">
        <w:rPr>
          <w:rFonts w:eastAsia="Times New Roman"/>
          <w:color w:val="000000"/>
        </w:rPr>
        <w:t>R</w:t>
      </w:r>
      <w:r w:rsidR="00B2631A" w:rsidRPr="00246DA3">
        <w:rPr>
          <w:rFonts w:eastAsia="Times New Roman"/>
          <w:color w:val="000000"/>
          <w:vertAlign w:val="superscript"/>
        </w:rPr>
        <w:t>2</w:t>
      </w:r>
      <w:r w:rsidR="00B2631A">
        <w:rPr>
          <w:rFonts w:eastAsia="Times New Roman"/>
          <w:color w:val="000000"/>
          <w:vertAlign w:val="superscript"/>
        </w:rPr>
        <w:t xml:space="preserve"> </w:t>
      </w:r>
      <w:r w:rsidR="00B2631A">
        <w:rPr>
          <w:rFonts w:eastAsia="Times New Roman"/>
          <w:color w:val="000000"/>
        </w:rPr>
        <w:t xml:space="preserve">= 0.482 </w:t>
      </w:r>
      <w:r w:rsidR="00127890">
        <w:rPr>
          <w:rFonts w:eastAsia="Times New Roman"/>
          <w:color w:val="000000"/>
        </w:rPr>
        <w:t>and conditional R</w:t>
      </w:r>
      <w:r w:rsidR="00127890" w:rsidRPr="00246DA3">
        <w:rPr>
          <w:rFonts w:eastAsia="Times New Roman"/>
          <w:color w:val="000000"/>
          <w:vertAlign w:val="superscript"/>
        </w:rPr>
        <w:t>2</w:t>
      </w:r>
      <w:r w:rsidR="00543CF8">
        <w:rPr>
          <w:rFonts w:eastAsia="Times New Roman"/>
          <w:color w:val="000000"/>
        </w:rPr>
        <w:t xml:space="preserve"> </w:t>
      </w:r>
      <w:r w:rsidR="00B2631A">
        <w:rPr>
          <w:rFonts w:eastAsia="Times New Roman"/>
          <w:color w:val="000000"/>
        </w:rPr>
        <w:t>= 0.617 (calculated</w:t>
      </w:r>
      <w:r w:rsidR="00127890">
        <w:rPr>
          <w:rFonts w:eastAsia="Times New Roman"/>
          <w:color w:val="000000"/>
        </w:rPr>
        <w:t xml:space="preserve"> from function </w:t>
      </w:r>
      <w:r w:rsidR="00543CF8" w:rsidRPr="00580EC8">
        <w:rPr>
          <w:rFonts w:eastAsia="Times New Roman"/>
          <w:i/>
          <w:color w:val="000000"/>
        </w:rPr>
        <w:t>r.squaredGLMM</w:t>
      </w:r>
      <w:r w:rsidR="00127890">
        <w:rPr>
          <w:rFonts w:eastAsia="Times New Roman"/>
          <w:color w:val="000000"/>
        </w:rPr>
        <w:t xml:space="preserve"> in </w:t>
      </w:r>
      <w:r w:rsidR="00127890" w:rsidRPr="00246DA3">
        <w:rPr>
          <w:rFonts w:eastAsia="Times New Roman"/>
          <w:i/>
          <w:color w:val="000000"/>
        </w:rPr>
        <w:t>R</w:t>
      </w:r>
      <w:r w:rsidR="00127890">
        <w:rPr>
          <w:rFonts w:eastAsia="Times New Roman"/>
          <w:color w:val="000000"/>
        </w:rPr>
        <w:t xml:space="preserve"> package </w:t>
      </w:r>
      <w:r w:rsidR="00543CF8" w:rsidRPr="00543CF8">
        <w:rPr>
          <w:rFonts w:eastAsia="Times New Roman"/>
          <w:i/>
          <w:color w:val="000000"/>
        </w:rPr>
        <w:t>MuMIn</w:t>
      </w:r>
      <w:r w:rsidR="00127890">
        <w:rPr>
          <w:rFonts w:eastAsia="Times New Roman"/>
          <w:color w:val="000000"/>
        </w:rPr>
        <w:t>).</w:t>
      </w:r>
    </w:p>
    <w:p w14:paraId="60A3EC8E" w14:textId="77777777" w:rsidR="000377B5" w:rsidRPr="00B90197" w:rsidRDefault="000377B5" w:rsidP="000377B5">
      <w:pPr>
        <w:spacing w:line="480" w:lineRule="auto"/>
        <w:jc w:val="both"/>
      </w:pPr>
    </w:p>
    <w:p w14:paraId="0BB6DE67" w14:textId="77777777" w:rsidR="000377B5" w:rsidRPr="00B90197" w:rsidRDefault="000377B5" w:rsidP="000377B5">
      <w:pPr>
        <w:spacing w:line="480" w:lineRule="auto"/>
        <w:jc w:val="both"/>
      </w:pPr>
      <w:r w:rsidRPr="00B90197">
        <w:t>(a)</w:t>
      </w:r>
    </w:p>
    <w:tbl>
      <w:tblPr>
        <w:tblStyle w:val="TableGrid"/>
        <w:tblW w:w="0" w:type="auto"/>
        <w:tblLook w:val="04A0" w:firstRow="1" w:lastRow="0" w:firstColumn="1" w:lastColumn="0" w:noHBand="0" w:noVBand="1"/>
      </w:tblPr>
      <w:tblGrid>
        <w:gridCol w:w="2972"/>
        <w:gridCol w:w="876"/>
        <w:gridCol w:w="1143"/>
        <w:gridCol w:w="996"/>
        <w:gridCol w:w="953"/>
        <w:gridCol w:w="995"/>
      </w:tblGrid>
      <w:tr w:rsidR="00375843" w:rsidRPr="00B90197" w14:paraId="38C551C7" w14:textId="6F258900" w:rsidTr="00375843">
        <w:tc>
          <w:tcPr>
            <w:tcW w:w="2972" w:type="dxa"/>
            <w:vAlign w:val="bottom"/>
          </w:tcPr>
          <w:p w14:paraId="017ECE98" w14:textId="77777777" w:rsidR="00B2631A" w:rsidRPr="00B90197" w:rsidRDefault="00B2631A" w:rsidP="004C5635">
            <w:pPr>
              <w:spacing w:line="480" w:lineRule="auto"/>
              <w:jc w:val="both"/>
              <w:rPr>
                <w:b/>
              </w:rPr>
            </w:pPr>
          </w:p>
        </w:tc>
        <w:tc>
          <w:tcPr>
            <w:tcW w:w="876" w:type="dxa"/>
            <w:vAlign w:val="bottom"/>
          </w:tcPr>
          <w:p w14:paraId="78C84108" w14:textId="77777777" w:rsidR="00B2631A" w:rsidRPr="00B90197" w:rsidRDefault="00B2631A" w:rsidP="004C5635">
            <w:pPr>
              <w:spacing w:line="480" w:lineRule="auto"/>
              <w:jc w:val="both"/>
              <w:rPr>
                <w:b/>
              </w:rPr>
            </w:pPr>
            <w:r w:rsidRPr="00B90197">
              <w:rPr>
                <w:rFonts w:eastAsia="Times New Roman"/>
                <w:color w:val="000000"/>
              </w:rPr>
              <w:t>Value</w:t>
            </w:r>
          </w:p>
        </w:tc>
        <w:tc>
          <w:tcPr>
            <w:tcW w:w="1143" w:type="dxa"/>
            <w:vAlign w:val="bottom"/>
          </w:tcPr>
          <w:p w14:paraId="3573C95E" w14:textId="77777777" w:rsidR="00B2631A" w:rsidRPr="00B90197" w:rsidRDefault="00B2631A" w:rsidP="004C5635">
            <w:pPr>
              <w:spacing w:line="480" w:lineRule="auto"/>
              <w:jc w:val="both"/>
              <w:rPr>
                <w:b/>
              </w:rPr>
            </w:pPr>
            <w:r w:rsidRPr="00B90197">
              <w:rPr>
                <w:rFonts w:eastAsia="Times New Roman"/>
                <w:color w:val="000000"/>
              </w:rPr>
              <w:t>Std.Error</w:t>
            </w:r>
          </w:p>
        </w:tc>
        <w:tc>
          <w:tcPr>
            <w:tcW w:w="996" w:type="dxa"/>
            <w:vAlign w:val="bottom"/>
          </w:tcPr>
          <w:p w14:paraId="3600EB19" w14:textId="77777777" w:rsidR="00B2631A" w:rsidRPr="00B90197" w:rsidRDefault="00B2631A" w:rsidP="004C5635">
            <w:pPr>
              <w:spacing w:line="480" w:lineRule="auto"/>
              <w:jc w:val="both"/>
              <w:rPr>
                <w:b/>
              </w:rPr>
            </w:pPr>
            <w:r w:rsidRPr="00B90197">
              <w:rPr>
                <w:rFonts w:eastAsia="Times New Roman"/>
                <w:color w:val="000000"/>
              </w:rPr>
              <w:t>DF</w:t>
            </w:r>
          </w:p>
        </w:tc>
        <w:tc>
          <w:tcPr>
            <w:tcW w:w="953" w:type="dxa"/>
            <w:vAlign w:val="bottom"/>
          </w:tcPr>
          <w:p w14:paraId="5C47F0A7" w14:textId="77777777" w:rsidR="00B2631A" w:rsidRPr="00B90197" w:rsidRDefault="00B2631A" w:rsidP="004C5635">
            <w:pPr>
              <w:spacing w:line="480" w:lineRule="auto"/>
              <w:jc w:val="both"/>
              <w:rPr>
                <w:b/>
              </w:rPr>
            </w:pPr>
            <w:r w:rsidRPr="00B90197">
              <w:rPr>
                <w:rFonts w:eastAsia="Times New Roman"/>
                <w:color w:val="000000"/>
              </w:rPr>
              <w:t>t.value</w:t>
            </w:r>
          </w:p>
        </w:tc>
        <w:tc>
          <w:tcPr>
            <w:tcW w:w="995" w:type="dxa"/>
            <w:vAlign w:val="bottom"/>
          </w:tcPr>
          <w:p w14:paraId="4EE816F3" w14:textId="77777777" w:rsidR="00B2631A" w:rsidRPr="00B90197" w:rsidRDefault="00B2631A" w:rsidP="004C5635">
            <w:pPr>
              <w:spacing w:line="480" w:lineRule="auto"/>
              <w:jc w:val="both"/>
              <w:rPr>
                <w:b/>
              </w:rPr>
            </w:pPr>
            <w:r w:rsidRPr="00B90197">
              <w:rPr>
                <w:rFonts w:eastAsia="Times New Roman"/>
                <w:color w:val="000000"/>
              </w:rPr>
              <w:t>p.value</w:t>
            </w:r>
          </w:p>
        </w:tc>
      </w:tr>
      <w:tr w:rsidR="00375843" w:rsidRPr="00B90197" w14:paraId="099E5914" w14:textId="09FEA098" w:rsidTr="00375843">
        <w:tc>
          <w:tcPr>
            <w:tcW w:w="2972" w:type="dxa"/>
            <w:vAlign w:val="bottom"/>
          </w:tcPr>
          <w:p w14:paraId="04DF0F8C" w14:textId="77777777" w:rsidR="00B2631A" w:rsidRPr="00B90197" w:rsidRDefault="00B2631A" w:rsidP="004C5635">
            <w:pPr>
              <w:spacing w:line="480" w:lineRule="auto"/>
              <w:jc w:val="both"/>
              <w:rPr>
                <w:b/>
              </w:rPr>
            </w:pPr>
            <w:r w:rsidRPr="00B90197">
              <w:rPr>
                <w:rFonts w:eastAsia="Times New Roman"/>
                <w:color w:val="000000"/>
              </w:rPr>
              <w:lastRenderedPageBreak/>
              <w:t>(Intercept)</w:t>
            </w:r>
          </w:p>
        </w:tc>
        <w:tc>
          <w:tcPr>
            <w:tcW w:w="876" w:type="dxa"/>
            <w:vAlign w:val="bottom"/>
          </w:tcPr>
          <w:p w14:paraId="7C640F93" w14:textId="77777777" w:rsidR="00B2631A" w:rsidRPr="00B90197" w:rsidRDefault="00B2631A" w:rsidP="004C5635">
            <w:pPr>
              <w:spacing w:line="480" w:lineRule="auto"/>
              <w:jc w:val="both"/>
              <w:rPr>
                <w:b/>
              </w:rPr>
            </w:pPr>
            <w:r w:rsidRPr="00B90197">
              <w:rPr>
                <w:rFonts w:eastAsia="Times New Roman"/>
                <w:color w:val="000000"/>
              </w:rPr>
              <w:t>-42.997</w:t>
            </w:r>
          </w:p>
        </w:tc>
        <w:tc>
          <w:tcPr>
            <w:tcW w:w="1143" w:type="dxa"/>
            <w:vAlign w:val="bottom"/>
          </w:tcPr>
          <w:p w14:paraId="25B67091" w14:textId="77777777" w:rsidR="00B2631A" w:rsidRPr="00B90197" w:rsidRDefault="00B2631A" w:rsidP="004C5635">
            <w:pPr>
              <w:spacing w:line="480" w:lineRule="auto"/>
              <w:jc w:val="both"/>
              <w:rPr>
                <w:b/>
              </w:rPr>
            </w:pPr>
            <w:r w:rsidRPr="00B90197">
              <w:rPr>
                <w:rFonts w:eastAsia="Times New Roman"/>
                <w:color w:val="000000"/>
              </w:rPr>
              <w:t>18.238</w:t>
            </w:r>
          </w:p>
        </w:tc>
        <w:tc>
          <w:tcPr>
            <w:tcW w:w="996" w:type="dxa"/>
            <w:vAlign w:val="bottom"/>
          </w:tcPr>
          <w:p w14:paraId="63092F62" w14:textId="77777777" w:rsidR="00B2631A" w:rsidRPr="00B90197" w:rsidRDefault="00B2631A" w:rsidP="004C5635">
            <w:pPr>
              <w:spacing w:line="480" w:lineRule="auto"/>
              <w:jc w:val="both"/>
              <w:rPr>
                <w:b/>
              </w:rPr>
            </w:pPr>
            <w:r w:rsidRPr="00B90197">
              <w:rPr>
                <w:rFonts w:eastAsia="Times New Roman"/>
                <w:color w:val="000000"/>
              </w:rPr>
              <w:t>185.000</w:t>
            </w:r>
          </w:p>
        </w:tc>
        <w:tc>
          <w:tcPr>
            <w:tcW w:w="953" w:type="dxa"/>
            <w:vAlign w:val="bottom"/>
          </w:tcPr>
          <w:p w14:paraId="726BB218" w14:textId="77777777" w:rsidR="00B2631A" w:rsidRPr="00B90197" w:rsidRDefault="00B2631A" w:rsidP="004C5635">
            <w:pPr>
              <w:spacing w:line="480" w:lineRule="auto"/>
              <w:jc w:val="both"/>
              <w:rPr>
                <w:b/>
              </w:rPr>
            </w:pPr>
            <w:r w:rsidRPr="00B90197">
              <w:rPr>
                <w:rFonts w:eastAsia="Times New Roman"/>
                <w:color w:val="000000"/>
              </w:rPr>
              <w:t>-2.358</w:t>
            </w:r>
          </w:p>
        </w:tc>
        <w:tc>
          <w:tcPr>
            <w:tcW w:w="995" w:type="dxa"/>
            <w:vAlign w:val="bottom"/>
          </w:tcPr>
          <w:p w14:paraId="289C2759" w14:textId="77777777" w:rsidR="00B2631A" w:rsidRPr="00B90197" w:rsidRDefault="00B2631A" w:rsidP="004C5635">
            <w:pPr>
              <w:spacing w:line="480" w:lineRule="auto"/>
              <w:jc w:val="both"/>
              <w:rPr>
                <w:b/>
              </w:rPr>
            </w:pPr>
            <w:r w:rsidRPr="00B90197">
              <w:rPr>
                <w:rFonts w:eastAsia="Times New Roman"/>
                <w:color w:val="000000"/>
              </w:rPr>
              <w:t>0.019</w:t>
            </w:r>
          </w:p>
        </w:tc>
      </w:tr>
      <w:tr w:rsidR="00375843" w:rsidRPr="00B90197" w14:paraId="6E59522A" w14:textId="7309AF9D" w:rsidTr="00375843">
        <w:tc>
          <w:tcPr>
            <w:tcW w:w="2972" w:type="dxa"/>
            <w:vAlign w:val="bottom"/>
          </w:tcPr>
          <w:p w14:paraId="1ACBFC48" w14:textId="77777777" w:rsidR="00B2631A" w:rsidRPr="00B90197" w:rsidRDefault="00B2631A" w:rsidP="004C5635">
            <w:pPr>
              <w:spacing w:line="480" w:lineRule="auto"/>
              <w:jc w:val="both"/>
              <w:rPr>
                <w:b/>
              </w:rPr>
            </w:pPr>
            <w:r w:rsidRPr="00B90197">
              <w:t>Patch reef area</w:t>
            </w:r>
          </w:p>
        </w:tc>
        <w:tc>
          <w:tcPr>
            <w:tcW w:w="876" w:type="dxa"/>
            <w:vAlign w:val="bottom"/>
          </w:tcPr>
          <w:p w14:paraId="1E9A097C" w14:textId="77777777" w:rsidR="00B2631A" w:rsidRPr="00B90197" w:rsidRDefault="00B2631A" w:rsidP="004C5635">
            <w:pPr>
              <w:spacing w:line="480" w:lineRule="auto"/>
              <w:jc w:val="both"/>
              <w:rPr>
                <w:b/>
              </w:rPr>
            </w:pPr>
            <w:r w:rsidRPr="00B90197">
              <w:rPr>
                <w:rFonts w:eastAsia="Times New Roman"/>
                <w:color w:val="000000"/>
              </w:rPr>
              <w:t>0.210</w:t>
            </w:r>
          </w:p>
        </w:tc>
        <w:tc>
          <w:tcPr>
            <w:tcW w:w="1143" w:type="dxa"/>
            <w:vAlign w:val="bottom"/>
          </w:tcPr>
          <w:p w14:paraId="166A9DC9" w14:textId="77777777" w:rsidR="00B2631A" w:rsidRPr="00B90197" w:rsidRDefault="00B2631A" w:rsidP="004C5635">
            <w:pPr>
              <w:spacing w:line="480" w:lineRule="auto"/>
              <w:jc w:val="both"/>
              <w:rPr>
                <w:b/>
              </w:rPr>
            </w:pPr>
            <w:r w:rsidRPr="00B90197">
              <w:rPr>
                <w:rFonts w:eastAsia="Times New Roman"/>
                <w:color w:val="000000"/>
              </w:rPr>
              <w:t>0.042</w:t>
            </w:r>
          </w:p>
        </w:tc>
        <w:tc>
          <w:tcPr>
            <w:tcW w:w="996" w:type="dxa"/>
            <w:vAlign w:val="bottom"/>
          </w:tcPr>
          <w:p w14:paraId="1333E34A" w14:textId="77777777" w:rsidR="00B2631A" w:rsidRPr="00B90197" w:rsidRDefault="00B2631A" w:rsidP="004C5635">
            <w:pPr>
              <w:spacing w:line="480" w:lineRule="auto"/>
              <w:jc w:val="both"/>
              <w:rPr>
                <w:b/>
              </w:rPr>
            </w:pPr>
            <w:r w:rsidRPr="00B90197">
              <w:rPr>
                <w:rFonts w:eastAsia="Times New Roman"/>
                <w:color w:val="000000"/>
              </w:rPr>
              <w:t>185.000</w:t>
            </w:r>
          </w:p>
        </w:tc>
        <w:tc>
          <w:tcPr>
            <w:tcW w:w="953" w:type="dxa"/>
            <w:vAlign w:val="bottom"/>
          </w:tcPr>
          <w:p w14:paraId="48A35B5C" w14:textId="77777777" w:rsidR="00B2631A" w:rsidRPr="00B90197" w:rsidRDefault="00B2631A" w:rsidP="004C5635">
            <w:pPr>
              <w:spacing w:line="480" w:lineRule="auto"/>
              <w:jc w:val="both"/>
              <w:rPr>
                <w:b/>
              </w:rPr>
            </w:pPr>
            <w:r w:rsidRPr="00B90197">
              <w:rPr>
                <w:rFonts w:eastAsia="Times New Roman"/>
                <w:color w:val="000000"/>
              </w:rPr>
              <w:t>5.040</w:t>
            </w:r>
          </w:p>
        </w:tc>
        <w:tc>
          <w:tcPr>
            <w:tcW w:w="995" w:type="dxa"/>
            <w:vAlign w:val="bottom"/>
          </w:tcPr>
          <w:p w14:paraId="3DF4AB38" w14:textId="77777777" w:rsidR="00B2631A" w:rsidRPr="00B90197" w:rsidRDefault="00B2631A" w:rsidP="004C5635">
            <w:pPr>
              <w:spacing w:line="480" w:lineRule="auto"/>
              <w:jc w:val="both"/>
              <w:rPr>
                <w:b/>
              </w:rPr>
            </w:pPr>
            <w:r w:rsidRPr="00B90197">
              <w:rPr>
                <w:rFonts w:eastAsia="Times New Roman"/>
                <w:b/>
                <w:color w:val="000000"/>
              </w:rPr>
              <w:t>0.000</w:t>
            </w:r>
          </w:p>
        </w:tc>
      </w:tr>
      <w:tr w:rsidR="00375843" w:rsidRPr="00B90197" w14:paraId="2B1CD57F" w14:textId="6C1B9486" w:rsidTr="00375843">
        <w:tc>
          <w:tcPr>
            <w:tcW w:w="2972" w:type="dxa"/>
            <w:vAlign w:val="bottom"/>
          </w:tcPr>
          <w:p w14:paraId="73B218C1" w14:textId="77777777" w:rsidR="00B2631A" w:rsidRPr="00B90197" w:rsidRDefault="00B2631A" w:rsidP="004C5635">
            <w:pPr>
              <w:spacing w:line="480" w:lineRule="auto"/>
              <w:jc w:val="both"/>
              <w:rPr>
                <w:b/>
              </w:rPr>
            </w:pPr>
            <w:r w:rsidRPr="00B90197">
              <w:t>Reserve age</w:t>
            </w:r>
          </w:p>
        </w:tc>
        <w:tc>
          <w:tcPr>
            <w:tcW w:w="876" w:type="dxa"/>
            <w:vAlign w:val="bottom"/>
          </w:tcPr>
          <w:p w14:paraId="126C9BED" w14:textId="77777777" w:rsidR="00B2631A" w:rsidRPr="00B90197" w:rsidRDefault="00B2631A" w:rsidP="004C5635">
            <w:pPr>
              <w:spacing w:line="480" w:lineRule="auto"/>
              <w:jc w:val="both"/>
              <w:rPr>
                <w:b/>
              </w:rPr>
            </w:pPr>
            <w:r w:rsidRPr="00B90197">
              <w:rPr>
                <w:rFonts w:eastAsia="Times New Roman"/>
                <w:color w:val="000000"/>
              </w:rPr>
              <w:t>-0.002</w:t>
            </w:r>
          </w:p>
        </w:tc>
        <w:tc>
          <w:tcPr>
            <w:tcW w:w="1143" w:type="dxa"/>
            <w:vAlign w:val="bottom"/>
          </w:tcPr>
          <w:p w14:paraId="6BA697A8" w14:textId="77777777" w:rsidR="00B2631A" w:rsidRPr="00B90197" w:rsidRDefault="00B2631A" w:rsidP="004C5635">
            <w:pPr>
              <w:spacing w:line="480" w:lineRule="auto"/>
              <w:jc w:val="both"/>
              <w:rPr>
                <w:b/>
              </w:rPr>
            </w:pPr>
            <w:r w:rsidRPr="00B90197">
              <w:rPr>
                <w:rFonts w:eastAsia="Times New Roman"/>
                <w:color w:val="000000"/>
              </w:rPr>
              <w:t>0.002</w:t>
            </w:r>
          </w:p>
        </w:tc>
        <w:tc>
          <w:tcPr>
            <w:tcW w:w="996" w:type="dxa"/>
            <w:vAlign w:val="bottom"/>
          </w:tcPr>
          <w:p w14:paraId="7114E996" w14:textId="77777777" w:rsidR="00B2631A" w:rsidRPr="00B90197" w:rsidRDefault="00B2631A" w:rsidP="004C5635">
            <w:pPr>
              <w:spacing w:line="480" w:lineRule="auto"/>
              <w:jc w:val="both"/>
              <w:rPr>
                <w:b/>
              </w:rPr>
            </w:pPr>
            <w:r w:rsidRPr="00B90197">
              <w:rPr>
                <w:rFonts w:eastAsia="Times New Roman"/>
                <w:color w:val="000000"/>
              </w:rPr>
              <w:t>185.000</w:t>
            </w:r>
          </w:p>
        </w:tc>
        <w:tc>
          <w:tcPr>
            <w:tcW w:w="953" w:type="dxa"/>
            <w:vAlign w:val="bottom"/>
          </w:tcPr>
          <w:p w14:paraId="4A520C83" w14:textId="77777777" w:rsidR="00B2631A" w:rsidRPr="00B90197" w:rsidRDefault="00B2631A" w:rsidP="004C5635">
            <w:pPr>
              <w:spacing w:line="480" w:lineRule="auto"/>
              <w:jc w:val="both"/>
              <w:rPr>
                <w:b/>
              </w:rPr>
            </w:pPr>
            <w:r w:rsidRPr="00B90197">
              <w:rPr>
                <w:rFonts w:eastAsia="Times New Roman"/>
                <w:color w:val="000000"/>
              </w:rPr>
              <w:t>-1.079</w:t>
            </w:r>
          </w:p>
        </w:tc>
        <w:tc>
          <w:tcPr>
            <w:tcW w:w="995" w:type="dxa"/>
            <w:vAlign w:val="bottom"/>
          </w:tcPr>
          <w:p w14:paraId="48B6E285" w14:textId="77777777" w:rsidR="00B2631A" w:rsidRPr="00B90197" w:rsidRDefault="00B2631A" w:rsidP="004C5635">
            <w:pPr>
              <w:spacing w:line="480" w:lineRule="auto"/>
              <w:jc w:val="both"/>
              <w:rPr>
                <w:b/>
              </w:rPr>
            </w:pPr>
            <w:r w:rsidRPr="00B90197">
              <w:rPr>
                <w:rFonts w:eastAsia="Times New Roman"/>
                <w:color w:val="000000"/>
              </w:rPr>
              <w:t>0.282</w:t>
            </w:r>
          </w:p>
        </w:tc>
      </w:tr>
      <w:tr w:rsidR="00375843" w:rsidRPr="00B90197" w14:paraId="3BBFEAAF" w14:textId="07C5D70F" w:rsidTr="00375843">
        <w:tc>
          <w:tcPr>
            <w:tcW w:w="2972" w:type="dxa"/>
            <w:vAlign w:val="bottom"/>
          </w:tcPr>
          <w:p w14:paraId="0C372010" w14:textId="1A840EE1" w:rsidR="00B2631A" w:rsidRPr="00B90197" w:rsidRDefault="00B2631A" w:rsidP="005E0BB1">
            <w:pPr>
              <w:spacing w:line="480" w:lineRule="auto"/>
              <w:jc w:val="both"/>
              <w:rPr>
                <w:b/>
              </w:rPr>
            </w:pPr>
            <w:r w:rsidRPr="00B90197">
              <w:t>Sea surface temp</w:t>
            </w:r>
            <w:r w:rsidR="00375843">
              <w:t>erature</w:t>
            </w:r>
          </w:p>
        </w:tc>
        <w:tc>
          <w:tcPr>
            <w:tcW w:w="876" w:type="dxa"/>
            <w:vAlign w:val="bottom"/>
          </w:tcPr>
          <w:p w14:paraId="39D5BEC2" w14:textId="77777777" w:rsidR="00B2631A" w:rsidRPr="00B90197" w:rsidRDefault="00B2631A" w:rsidP="004C5635">
            <w:pPr>
              <w:spacing w:line="480" w:lineRule="auto"/>
              <w:jc w:val="both"/>
              <w:rPr>
                <w:b/>
              </w:rPr>
            </w:pPr>
            <w:r w:rsidRPr="00B90197">
              <w:rPr>
                <w:rFonts w:eastAsia="Times New Roman"/>
                <w:color w:val="000000"/>
              </w:rPr>
              <w:t>0.145</w:t>
            </w:r>
          </w:p>
        </w:tc>
        <w:tc>
          <w:tcPr>
            <w:tcW w:w="1143" w:type="dxa"/>
            <w:vAlign w:val="bottom"/>
          </w:tcPr>
          <w:p w14:paraId="5803F41D" w14:textId="77777777" w:rsidR="00B2631A" w:rsidRPr="00B90197" w:rsidRDefault="00B2631A" w:rsidP="004C5635">
            <w:pPr>
              <w:spacing w:line="480" w:lineRule="auto"/>
              <w:jc w:val="both"/>
              <w:rPr>
                <w:b/>
              </w:rPr>
            </w:pPr>
            <w:r w:rsidRPr="00B90197">
              <w:rPr>
                <w:rFonts w:eastAsia="Times New Roman"/>
                <w:color w:val="000000"/>
              </w:rPr>
              <w:t>0.061</w:t>
            </w:r>
          </w:p>
        </w:tc>
        <w:tc>
          <w:tcPr>
            <w:tcW w:w="996" w:type="dxa"/>
            <w:vAlign w:val="bottom"/>
          </w:tcPr>
          <w:p w14:paraId="2AB8DBFF" w14:textId="77777777" w:rsidR="00B2631A" w:rsidRPr="00B90197" w:rsidRDefault="00B2631A" w:rsidP="004C5635">
            <w:pPr>
              <w:spacing w:line="480" w:lineRule="auto"/>
              <w:jc w:val="both"/>
              <w:rPr>
                <w:b/>
              </w:rPr>
            </w:pPr>
            <w:r w:rsidRPr="00B90197">
              <w:rPr>
                <w:rFonts w:eastAsia="Times New Roman"/>
                <w:color w:val="000000"/>
              </w:rPr>
              <w:t>21.000</w:t>
            </w:r>
          </w:p>
        </w:tc>
        <w:tc>
          <w:tcPr>
            <w:tcW w:w="953" w:type="dxa"/>
            <w:vAlign w:val="bottom"/>
          </w:tcPr>
          <w:p w14:paraId="10DC88DA" w14:textId="77777777" w:rsidR="00B2631A" w:rsidRPr="00B90197" w:rsidRDefault="00B2631A" w:rsidP="004C5635">
            <w:pPr>
              <w:spacing w:line="480" w:lineRule="auto"/>
              <w:jc w:val="both"/>
              <w:rPr>
                <w:b/>
              </w:rPr>
            </w:pPr>
            <w:r w:rsidRPr="00B90197">
              <w:rPr>
                <w:rFonts w:eastAsia="Times New Roman"/>
                <w:color w:val="000000"/>
              </w:rPr>
              <w:t>2.384</w:t>
            </w:r>
          </w:p>
        </w:tc>
        <w:tc>
          <w:tcPr>
            <w:tcW w:w="995" w:type="dxa"/>
            <w:vAlign w:val="bottom"/>
          </w:tcPr>
          <w:p w14:paraId="777AC40C" w14:textId="77777777" w:rsidR="00B2631A" w:rsidRPr="00B90197" w:rsidRDefault="00B2631A" w:rsidP="004C5635">
            <w:pPr>
              <w:spacing w:line="480" w:lineRule="auto"/>
              <w:jc w:val="both"/>
              <w:rPr>
                <w:b/>
              </w:rPr>
            </w:pPr>
            <w:r w:rsidRPr="00B90197">
              <w:rPr>
                <w:rFonts w:eastAsia="Times New Roman"/>
                <w:b/>
                <w:color w:val="000000"/>
              </w:rPr>
              <w:t>0.027</w:t>
            </w:r>
          </w:p>
        </w:tc>
      </w:tr>
      <w:tr w:rsidR="00375843" w:rsidRPr="00B90197" w14:paraId="395C7C08" w14:textId="3A2813F1" w:rsidTr="00375843">
        <w:tc>
          <w:tcPr>
            <w:tcW w:w="2972" w:type="dxa"/>
            <w:vAlign w:val="bottom"/>
          </w:tcPr>
          <w:p w14:paraId="4C9B0BD2" w14:textId="5E97FA1D" w:rsidR="00B2631A" w:rsidRPr="00B90197" w:rsidRDefault="00B2631A" w:rsidP="004C5635">
            <w:pPr>
              <w:spacing w:line="480" w:lineRule="auto"/>
              <w:jc w:val="both"/>
              <w:rPr>
                <w:b/>
              </w:rPr>
            </w:pPr>
            <w:r w:rsidRPr="00B90197">
              <w:t xml:space="preserve">Chlorophyll </w:t>
            </w:r>
            <w:r w:rsidRPr="00B90197">
              <w:rPr>
                <w:i/>
              </w:rPr>
              <w:t>a</w:t>
            </w:r>
            <w:r w:rsidRPr="00B90197">
              <w:t xml:space="preserve"> conc</w:t>
            </w:r>
            <w:r w:rsidR="00375843">
              <w:t>entration</w:t>
            </w:r>
          </w:p>
        </w:tc>
        <w:tc>
          <w:tcPr>
            <w:tcW w:w="876" w:type="dxa"/>
            <w:vAlign w:val="bottom"/>
          </w:tcPr>
          <w:p w14:paraId="732165BB" w14:textId="77777777" w:rsidR="00B2631A" w:rsidRPr="00B90197" w:rsidRDefault="00B2631A" w:rsidP="004C5635">
            <w:pPr>
              <w:spacing w:line="480" w:lineRule="auto"/>
              <w:jc w:val="both"/>
              <w:rPr>
                <w:b/>
              </w:rPr>
            </w:pPr>
            <w:r w:rsidRPr="00B90197">
              <w:rPr>
                <w:rFonts w:eastAsia="Times New Roman"/>
                <w:color w:val="000000"/>
              </w:rPr>
              <w:t>-0.001</w:t>
            </w:r>
          </w:p>
        </w:tc>
        <w:tc>
          <w:tcPr>
            <w:tcW w:w="1143" w:type="dxa"/>
            <w:vAlign w:val="bottom"/>
          </w:tcPr>
          <w:p w14:paraId="6348AD18" w14:textId="77777777" w:rsidR="00B2631A" w:rsidRPr="00B90197" w:rsidRDefault="00B2631A" w:rsidP="004C5635">
            <w:pPr>
              <w:spacing w:line="480" w:lineRule="auto"/>
              <w:jc w:val="both"/>
              <w:rPr>
                <w:b/>
              </w:rPr>
            </w:pPr>
            <w:r w:rsidRPr="00B90197">
              <w:rPr>
                <w:rFonts w:eastAsia="Times New Roman"/>
                <w:color w:val="000000"/>
              </w:rPr>
              <w:t>0.047</w:t>
            </w:r>
          </w:p>
        </w:tc>
        <w:tc>
          <w:tcPr>
            <w:tcW w:w="996" w:type="dxa"/>
            <w:vAlign w:val="bottom"/>
          </w:tcPr>
          <w:p w14:paraId="76255CCA" w14:textId="77777777" w:rsidR="00B2631A" w:rsidRPr="00B90197" w:rsidRDefault="00B2631A" w:rsidP="004C5635">
            <w:pPr>
              <w:spacing w:line="480" w:lineRule="auto"/>
              <w:jc w:val="both"/>
              <w:rPr>
                <w:b/>
              </w:rPr>
            </w:pPr>
            <w:r w:rsidRPr="00B90197">
              <w:rPr>
                <w:rFonts w:eastAsia="Times New Roman"/>
                <w:color w:val="000000"/>
              </w:rPr>
              <w:t>21.000</w:t>
            </w:r>
          </w:p>
        </w:tc>
        <w:tc>
          <w:tcPr>
            <w:tcW w:w="953" w:type="dxa"/>
            <w:vAlign w:val="bottom"/>
          </w:tcPr>
          <w:p w14:paraId="1265A0E1" w14:textId="77777777" w:rsidR="00B2631A" w:rsidRPr="00B90197" w:rsidRDefault="00B2631A" w:rsidP="004C5635">
            <w:pPr>
              <w:spacing w:line="480" w:lineRule="auto"/>
              <w:jc w:val="both"/>
              <w:rPr>
                <w:b/>
              </w:rPr>
            </w:pPr>
            <w:r w:rsidRPr="00B90197">
              <w:rPr>
                <w:rFonts w:eastAsia="Times New Roman"/>
                <w:color w:val="000000"/>
              </w:rPr>
              <w:t>-0.014</w:t>
            </w:r>
          </w:p>
        </w:tc>
        <w:tc>
          <w:tcPr>
            <w:tcW w:w="995" w:type="dxa"/>
            <w:vAlign w:val="bottom"/>
          </w:tcPr>
          <w:p w14:paraId="5FD99601" w14:textId="77777777" w:rsidR="00B2631A" w:rsidRPr="00B90197" w:rsidRDefault="00B2631A" w:rsidP="004C5635">
            <w:pPr>
              <w:spacing w:line="480" w:lineRule="auto"/>
              <w:jc w:val="both"/>
              <w:rPr>
                <w:b/>
              </w:rPr>
            </w:pPr>
            <w:r w:rsidRPr="00B90197">
              <w:rPr>
                <w:rFonts w:eastAsia="Times New Roman"/>
                <w:color w:val="000000"/>
              </w:rPr>
              <w:t>0.989</w:t>
            </w:r>
          </w:p>
        </w:tc>
      </w:tr>
    </w:tbl>
    <w:p w14:paraId="2C0F0651" w14:textId="77777777" w:rsidR="000377B5" w:rsidRPr="00B90197" w:rsidRDefault="000377B5" w:rsidP="000377B5">
      <w:pPr>
        <w:spacing w:line="480" w:lineRule="auto"/>
        <w:jc w:val="both"/>
        <w:rPr>
          <w:b/>
        </w:rPr>
      </w:pPr>
    </w:p>
    <w:p w14:paraId="577208DF" w14:textId="77777777" w:rsidR="000377B5" w:rsidRPr="00B90197" w:rsidRDefault="000377B5" w:rsidP="000377B5">
      <w:pPr>
        <w:widowControl w:val="0"/>
        <w:autoSpaceDE w:val="0"/>
        <w:autoSpaceDN w:val="0"/>
        <w:adjustRightInd w:val="0"/>
        <w:spacing w:before="100" w:after="100" w:line="480" w:lineRule="auto"/>
        <w:ind w:left="480" w:hanging="480"/>
      </w:pPr>
    </w:p>
    <w:p w14:paraId="4CCB3CBC" w14:textId="1C3DB8A9" w:rsidR="000377B5" w:rsidRPr="00B90197" w:rsidRDefault="000377B5" w:rsidP="000377B5">
      <w:pPr>
        <w:widowControl w:val="0"/>
        <w:autoSpaceDE w:val="0"/>
        <w:autoSpaceDN w:val="0"/>
        <w:adjustRightInd w:val="0"/>
        <w:spacing w:before="100" w:after="100" w:line="480" w:lineRule="auto"/>
        <w:ind w:left="480" w:hanging="480"/>
      </w:pPr>
      <w:r w:rsidRPr="00B90197">
        <w:rPr>
          <w:b/>
        </w:rPr>
        <w:t xml:space="preserve">Table S3. </w:t>
      </w:r>
      <w:r w:rsidRPr="00B90197">
        <w:t xml:space="preserve">Species list of all fishes and macroinvertebrates observed in Heron Island </w:t>
      </w:r>
      <w:r w:rsidR="002261E2" w:rsidRPr="00B90197">
        <w:t>lagoon</w:t>
      </w:r>
    </w:p>
    <w:p w14:paraId="2BE5DD74" w14:textId="34129318" w:rsidR="000377B5" w:rsidRPr="00B90197" w:rsidRDefault="000377B5" w:rsidP="000377B5">
      <w:pPr>
        <w:widowControl w:val="0"/>
        <w:autoSpaceDE w:val="0"/>
        <w:autoSpaceDN w:val="0"/>
        <w:adjustRightInd w:val="0"/>
        <w:spacing w:before="100" w:after="100" w:line="480" w:lineRule="auto"/>
        <w:ind w:left="480" w:hanging="480"/>
      </w:pPr>
      <w:r w:rsidRPr="00B90197">
        <w:t xml:space="preserve">video surveys. </w:t>
      </w:r>
      <w:r w:rsidRPr="00B05F1C">
        <w:t>Columns</w:t>
      </w:r>
      <w:r w:rsidR="009414C1">
        <w:t xml:space="preserve"> “Reef” and “Halo” denote presence/absence in these habitats</w:t>
      </w:r>
      <w:r w:rsidRPr="00B90197">
        <w:rPr>
          <w:rFonts w:ascii="Helvetica" w:eastAsia="Helvetica" w:hAnsi="Helvetica" w:cs="Helvetica"/>
        </w:rPr>
        <w:t xml:space="preserve"> </w:t>
      </w:r>
    </w:p>
    <w:p w14:paraId="2C6D66DC" w14:textId="561E0697" w:rsidR="000377B5" w:rsidRDefault="000377B5" w:rsidP="000377B5">
      <w:pPr>
        <w:widowControl w:val="0"/>
        <w:autoSpaceDE w:val="0"/>
        <w:autoSpaceDN w:val="0"/>
        <w:adjustRightInd w:val="0"/>
        <w:spacing w:before="100" w:after="100" w:line="480" w:lineRule="auto"/>
        <w:ind w:left="480" w:hanging="480"/>
        <w:rPr>
          <w:rFonts w:ascii="Helvetica" w:eastAsia="Helvetica" w:hAnsi="Helvetica" w:cs="Helvetica"/>
        </w:rPr>
      </w:pPr>
      <w:r w:rsidRPr="00B90197">
        <w:t>(1 = present; 0 = absent). Prefix</w:t>
      </w:r>
      <w:r w:rsidR="009414C1">
        <w:t xml:space="preserve"> “Un.” refers to unidentified species within a taxon. </w:t>
      </w:r>
    </w:p>
    <w:p w14:paraId="7C3F3770" w14:textId="77777777" w:rsidR="009414C1" w:rsidRPr="00B90197" w:rsidRDefault="009414C1" w:rsidP="000377B5">
      <w:pPr>
        <w:widowControl w:val="0"/>
        <w:autoSpaceDE w:val="0"/>
        <w:autoSpaceDN w:val="0"/>
        <w:adjustRightInd w:val="0"/>
        <w:spacing w:before="100" w:after="100" w:line="480" w:lineRule="auto"/>
        <w:ind w:left="480" w:hanging="480"/>
      </w:pPr>
    </w:p>
    <w:tbl>
      <w:tblPr>
        <w:tblW w:w="6100" w:type="dxa"/>
        <w:tblBorders>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500"/>
        <w:gridCol w:w="1300"/>
        <w:gridCol w:w="1300"/>
      </w:tblGrid>
      <w:tr w:rsidR="000377B5" w:rsidRPr="00B90197" w14:paraId="328F8A27" w14:textId="77777777" w:rsidTr="004C5635">
        <w:trPr>
          <w:trHeight w:val="320"/>
        </w:trPr>
        <w:tc>
          <w:tcPr>
            <w:tcW w:w="3500" w:type="dxa"/>
            <w:tcBorders>
              <w:top w:val="nil"/>
              <w:bottom w:val="single" w:sz="6" w:space="0" w:color="808080" w:themeColor="background1" w:themeShade="80"/>
            </w:tcBorders>
            <w:shd w:val="clear" w:color="auto" w:fill="auto"/>
            <w:noWrap/>
            <w:vAlign w:val="bottom"/>
            <w:hideMark/>
          </w:tcPr>
          <w:p w14:paraId="7C0FD6D7" w14:textId="77777777" w:rsidR="000377B5" w:rsidRPr="00B90197" w:rsidRDefault="000377B5" w:rsidP="004C5635">
            <w:pPr>
              <w:widowControl w:val="0"/>
              <w:autoSpaceDE w:val="0"/>
              <w:autoSpaceDN w:val="0"/>
              <w:adjustRightInd w:val="0"/>
              <w:spacing w:before="100" w:after="100" w:line="480" w:lineRule="auto"/>
              <w:ind w:left="480" w:hanging="480"/>
              <w:rPr>
                <w:b/>
              </w:rPr>
            </w:pPr>
            <w:r w:rsidRPr="00B90197">
              <w:rPr>
                <w:b/>
              </w:rPr>
              <w:t>Species</w:t>
            </w:r>
          </w:p>
        </w:tc>
        <w:tc>
          <w:tcPr>
            <w:tcW w:w="1300" w:type="dxa"/>
            <w:tcBorders>
              <w:top w:val="nil"/>
              <w:bottom w:val="single" w:sz="6" w:space="0" w:color="808080" w:themeColor="background1" w:themeShade="80"/>
            </w:tcBorders>
            <w:shd w:val="clear" w:color="auto" w:fill="auto"/>
            <w:noWrap/>
            <w:vAlign w:val="bottom"/>
            <w:hideMark/>
          </w:tcPr>
          <w:p w14:paraId="06B1FCE8" w14:textId="77777777" w:rsidR="000377B5" w:rsidRPr="00B90197" w:rsidRDefault="000377B5" w:rsidP="004C5635">
            <w:pPr>
              <w:widowControl w:val="0"/>
              <w:autoSpaceDE w:val="0"/>
              <w:autoSpaceDN w:val="0"/>
              <w:adjustRightInd w:val="0"/>
              <w:spacing w:before="100" w:after="100" w:line="480" w:lineRule="auto"/>
              <w:ind w:left="480" w:hanging="480"/>
              <w:rPr>
                <w:b/>
              </w:rPr>
            </w:pPr>
            <w:r w:rsidRPr="00B90197">
              <w:rPr>
                <w:b/>
              </w:rPr>
              <w:t>Reef</w:t>
            </w:r>
          </w:p>
        </w:tc>
        <w:tc>
          <w:tcPr>
            <w:tcW w:w="1300" w:type="dxa"/>
            <w:tcBorders>
              <w:top w:val="nil"/>
              <w:bottom w:val="single" w:sz="6" w:space="0" w:color="808080" w:themeColor="background1" w:themeShade="80"/>
            </w:tcBorders>
            <w:shd w:val="clear" w:color="auto" w:fill="auto"/>
            <w:noWrap/>
            <w:vAlign w:val="bottom"/>
            <w:hideMark/>
          </w:tcPr>
          <w:p w14:paraId="753FFB10" w14:textId="77777777" w:rsidR="000377B5" w:rsidRPr="00B90197" w:rsidRDefault="000377B5" w:rsidP="004C5635">
            <w:pPr>
              <w:widowControl w:val="0"/>
              <w:autoSpaceDE w:val="0"/>
              <w:autoSpaceDN w:val="0"/>
              <w:adjustRightInd w:val="0"/>
              <w:spacing w:before="100" w:after="100" w:line="480" w:lineRule="auto"/>
              <w:ind w:left="480" w:hanging="480"/>
              <w:rPr>
                <w:b/>
              </w:rPr>
            </w:pPr>
            <w:r w:rsidRPr="00B90197">
              <w:rPr>
                <w:b/>
              </w:rPr>
              <w:t>Halo</w:t>
            </w:r>
          </w:p>
        </w:tc>
      </w:tr>
      <w:tr w:rsidR="000377B5" w:rsidRPr="00B90197" w14:paraId="748036DD" w14:textId="77777777" w:rsidTr="004C5635">
        <w:trPr>
          <w:trHeight w:val="320"/>
        </w:trPr>
        <w:tc>
          <w:tcPr>
            <w:tcW w:w="3500" w:type="dxa"/>
            <w:tcBorders>
              <w:top w:val="single" w:sz="6" w:space="0" w:color="808080" w:themeColor="background1" w:themeShade="80"/>
            </w:tcBorders>
            <w:shd w:val="clear" w:color="auto" w:fill="auto"/>
            <w:noWrap/>
            <w:vAlign w:val="bottom"/>
            <w:hideMark/>
          </w:tcPr>
          <w:p w14:paraId="47B3BF0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Abudefduf bengalensis</w:t>
            </w:r>
          </w:p>
        </w:tc>
        <w:tc>
          <w:tcPr>
            <w:tcW w:w="1300" w:type="dxa"/>
            <w:tcBorders>
              <w:top w:val="single" w:sz="6" w:space="0" w:color="808080" w:themeColor="background1" w:themeShade="80"/>
            </w:tcBorders>
            <w:shd w:val="clear" w:color="auto" w:fill="auto"/>
            <w:noWrap/>
            <w:vAlign w:val="bottom"/>
            <w:hideMark/>
          </w:tcPr>
          <w:p w14:paraId="55B4469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tcBorders>
              <w:top w:val="single" w:sz="6" w:space="0" w:color="808080" w:themeColor="background1" w:themeShade="80"/>
            </w:tcBorders>
            <w:shd w:val="clear" w:color="auto" w:fill="auto"/>
            <w:noWrap/>
            <w:vAlign w:val="bottom"/>
            <w:hideMark/>
          </w:tcPr>
          <w:p w14:paraId="0005AB1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24DD72BF" w14:textId="77777777" w:rsidTr="004C5635">
        <w:trPr>
          <w:trHeight w:val="320"/>
        </w:trPr>
        <w:tc>
          <w:tcPr>
            <w:tcW w:w="3500" w:type="dxa"/>
            <w:shd w:val="clear" w:color="auto" w:fill="auto"/>
            <w:noWrap/>
            <w:vAlign w:val="bottom"/>
            <w:hideMark/>
          </w:tcPr>
          <w:p w14:paraId="75C5A30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Abudefduf sexfasciatus</w:t>
            </w:r>
          </w:p>
        </w:tc>
        <w:tc>
          <w:tcPr>
            <w:tcW w:w="1300" w:type="dxa"/>
            <w:shd w:val="clear" w:color="auto" w:fill="auto"/>
            <w:noWrap/>
            <w:vAlign w:val="bottom"/>
            <w:hideMark/>
          </w:tcPr>
          <w:p w14:paraId="3A0B92E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90FF95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566AC49" w14:textId="77777777" w:rsidTr="004C5635">
        <w:trPr>
          <w:trHeight w:val="320"/>
        </w:trPr>
        <w:tc>
          <w:tcPr>
            <w:tcW w:w="3500" w:type="dxa"/>
            <w:shd w:val="clear" w:color="auto" w:fill="auto"/>
            <w:noWrap/>
            <w:vAlign w:val="bottom"/>
            <w:hideMark/>
          </w:tcPr>
          <w:p w14:paraId="5E87D1B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Abudefduf sordidus</w:t>
            </w:r>
          </w:p>
        </w:tc>
        <w:tc>
          <w:tcPr>
            <w:tcW w:w="1300" w:type="dxa"/>
            <w:shd w:val="clear" w:color="auto" w:fill="auto"/>
            <w:noWrap/>
            <w:vAlign w:val="bottom"/>
            <w:hideMark/>
          </w:tcPr>
          <w:p w14:paraId="1B84580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F30FD0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4E0A728" w14:textId="77777777" w:rsidTr="004C5635">
        <w:trPr>
          <w:trHeight w:val="320"/>
        </w:trPr>
        <w:tc>
          <w:tcPr>
            <w:tcW w:w="3500" w:type="dxa"/>
            <w:shd w:val="clear" w:color="auto" w:fill="auto"/>
            <w:noWrap/>
            <w:vAlign w:val="bottom"/>
            <w:hideMark/>
          </w:tcPr>
          <w:p w14:paraId="5EEC4AB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Acanthochromis polyacanthus</w:t>
            </w:r>
          </w:p>
        </w:tc>
        <w:tc>
          <w:tcPr>
            <w:tcW w:w="1300" w:type="dxa"/>
            <w:shd w:val="clear" w:color="auto" w:fill="auto"/>
            <w:noWrap/>
            <w:vAlign w:val="bottom"/>
            <w:hideMark/>
          </w:tcPr>
          <w:p w14:paraId="29FAC19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3E1B4C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895847D" w14:textId="77777777" w:rsidTr="004C5635">
        <w:trPr>
          <w:trHeight w:val="320"/>
        </w:trPr>
        <w:tc>
          <w:tcPr>
            <w:tcW w:w="3500" w:type="dxa"/>
            <w:shd w:val="clear" w:color="auto" w:fill="auto"/>
            <w:noWrap/>
            <w:vAlign w:val="bottom"/>
            <w:hideMark/>
          </w:tcPr>
          <w:p w14:paraId="49798F3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Acanthurus auranticavus</w:t>
            </w:r>
          </w:p>
        </w:tc>
        <w:tc>
          <w:tcPr>
            <w:tcW w:w="1300" w:type="dxa"/>
            <w:shd w:val="clear" w:color="auto" w:fill="auto"/>
            <w:noWrap/>
            <w:vAlign w:val="bottom"/>
            <w:hideMark/>
          </w:tcPr>
          <w:p w14:paraId="5777D0C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A90303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8E568F2" w14:textId="77777777" w:rsidTr="004C5635">
        <w:trPr>
          <w:trHeight w:val="320"/>
        </w:trPr>
        <w:tc>
          <w:tcPr>
            <w:tcW w:w="3500" w:type="dxa"/>
            <w:shd w:val="clear" w:color="auto" w:fill="auto"/>
            <w:noWrap/>
            <w:vAlign w:val="bottom"/>
            <w:hideMark/>
          </w:tcPr>
          <w:p w14:paraId="1B08B48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Acanthurus blochii</w:t>
            </w:r>
          </w:p>
        </w:tc>
        <w:tc>
          <w:tcPr>
            <w:tcW w:w="1300" w:type="dxa"/>
            <w:shd w:val="clear" w:color="auto" w:fill="auto"/>
            <w:noWrap/>
            <w:vAlign w:val="bottom"/>
            <w:hideMark/>
          </w:tcPr>
          <w:p w14:paraId="3803A33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E9A84C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BC3AD92" w14:textId="77777777" w:rsidTr="004C5635">
        <w:trPr>
          <w:trHeight w:val="320"/>
        </w:trPr>
        <w:tc>
          <w:tcPr>
            <w:tcW w:w="3500" w:type="dxa"/>
            <w:shd w:val="clear" w:color="auto" w:fill="auto"/>
            <w:noWrap/>
            <w:vAlign w:val="bottom"/>
            <w:hideMark/>
          </w:tcPr>
          <w:p w14:paraId="63F7AF8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Acanthurus grammoptilus</w:t>
            </w:r>
          </w:p>
        </w:tc>
        <w:tc>
          <w:tcPr>
            <w:tcW w:w="1300" w:type="dxa"/>
            <w:shd w:val="clear" w:color="auto" w:fill="auto"/>
            <w:noWrap/>
            <w:vAlign w:val="bottom"/>
            <w:hideMark/>
          </w:tcPr>
          <w:p w14:paraId="3014CC6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8F2F59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E5D48A8" w14:textId="77777777" w:rsidTr="004C5635">
        <w:trPr>
          <w:trHeight w:val="320"/>
        </w:trPr>
        <w:tc>
          <w:tcPr>
            <w:tcW w:w="3500" w:type="dxa"/>
            <w:shd w:val="clear" w:color="auto" w:fill="auto"/>
            <w:noWrap/>
            <w:vAlign w:val="bottom"/>
            <w:hideMark/>
          </w:tcPr>
          <w:p w14:paraId="6CE6711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Acanthurus nigricauda</w:t>
            </w:r>
          </w:p>
        </w:tc>
        <w:tc>
          <w:tcPr>
            <w:tcW w:w="1300" w:type="dxa"/>
            <w:shd w:val="clear" w:color="auto" w:fill="auto"/>
            <w:noWrap/>
            <w:vAlign w:val="bottom"/>
            <w:hideMark/>
          </w:tcPr>
          <w:p w14:paraId="5F8E2C6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C4AD86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74F877D5" w14:textId="77777777" w:rsidTr="004C5635">
        <w:trPr>
          <w:trHeight w:val="320"/>
        </w:trPr>
        <w:tc>
          <w:tcPr>
            <w:tcW w:w="3500" w:type="dxa"/>
            <w:shd w:val="clear" w:color="auto" w:fill="auto"/>
            <w:noWrap/>
            <w:vAlign w:val="bottom"/>
            <w:hideMark/>
          </w:tcPr>
          <w:p w14:paraId="2BB9091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Acanthurus xanthopterus</w:t>
            </w:r>
          </w:p>
        </w:tc>
        <w:tc>
          <w:tcPr>
            <w:tcW w:w="1300" w:type="dxa"/>
            <w:shd w:val="clear" w:color="auto" w:fill="auto"/>
            <w:noWrap/>
            <w:vAlign w:val="bottom"/>
            <w:hideMark/>
          </w:tcPr>
          <w:p w14:paraId="749F33D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A95841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BDF1CB1" w14:textId="77777777" w:rsidTr="004C5635">
        <w:trPr>
          <w:trHeight w:val="320"/>
        </w:trPr>
        <w:tc>
          <w:tcPr>
            <w:tcW w:w="3500" w:type="dxa"/>
            <w:shd w:val="clear" w:color="auto" w:fill="auto"/>
            <w:noWrap/>
            <w:vAlign w:val="bottom"/>
            <w:hideMark/>
          </w:tcPr>
          <w:p w14:paraId="7B1A29A6"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Achamia leai</w:t>
            </w:r>
          </w:p>
        </w:tc>
        <w:tc>
          <w:tcPr>
            <w:tcW w:w="1300" w:type="dxa"/>
            <w:shd w:val="clear" w:color="auto" w:fill="auto"/>
            <w:noWrap/>
            <w:vAlign w:val="bottom"/>
            <w:hideMark/>
          </w:tcPr>
          <w:p w14:paraId="35BCCE8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74ACE7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8ACB145" w14:textId="77777777" w:rsidTr="004C5635">
        <w:trPr>
          <w:trHeight w:val="320"/>
        </w:trPr>
        <w:tc>
          <w:tcPr>
            <w:tcW w:w="3500" w:type="dxa"/>
            <w:shd w:val="clear" w:color="auto" w:fill="auto"/>
            <w:noWrap/>
            <w:vAlign w:val="bottom"/>
            <w:hideMark/>
          </w:tcPr>
          <w:p w14:paraId="395CA95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Aetobates narinari</w:t>
            </w:r>
          </w:p>
        </w:tc>
        <w:tc>
          <w:tcPr>
            <w:tcW w:w="1300" w:type="dxa"/>
            <w:shd w:val="clear" w:color="auto" w:fill="auto"/>
            <w:noWrap/>
            <w:vAlign w:val="bottom"/>
            <w:hideMark/>
          </w:tcPr>
          <w:p w14:paraId="32DA206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5195A5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4C0948BA" w14:textId="77777777" w:rsidTr="004C5635">
        <w:trPr>
          <w:trHeight w:val="320"/>
        </w:trPr>
        <w:tc>
          <w:tcPr>
            <w:tcW w:w="3500" w:type="dxa"/>
            <w:shd w:val="clear" w:color="auto" w:fill="auto"/>
            <w:noWrap/>
            <w:vAlign w:val="bottom"/>
            <w:hideMark/>
          </w:tcPr>
          <w:p w14:paraId="44199E46"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Amblyeleotris sp.</w:t>
            </w:r>
          </w:p>
        </w:tc>
        <w:tc>
          <w:tcPr>
            <w:tcW w:w="1300" w:type="dxa"/>
            <w:shd w:val="clear" w:color="auto" w:fill="auto"/>
            <w:noWrap/>
            <w:vAlign w:val="bottom"/>
            <w:hideMark/>
          </w:tcPr>
          <w:p w14:paraId="25D9C71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2EB760C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455E839" w14:textId="77777777" w:rsidTr="004C5635">
        <w:trPr>
          <w:trHeight w:val="320"/>
        </w:trPr>
        <w:tc>
          <w:tcPr>
            <w:tcW w:w="3500" w:type="dxa"/>
            <w:shd w:val="clear" w:color="auto" w:fill="auto"/>
            <w:noWrap/>
            <w:vAlign w:val="bottom"/>
            <w:hideMark/>
          </w:tcPr>
          <w:p w14:paraId="1B37E08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Amblyglyphidodon curacao</w:t>
            </w:r>
          </w:p>
        </w:tc>
        <w:tc>
          <w:tcPr>
            <w:tcW w:w="1300" w:type="dxa"/>
            <w:shd w:val="clear" w:color="auto" w:fill="auto"/>
            <w:noWrap/>
            <w:vAlign w:val="bottom"/>
            <w:hideMark/>
          </w:tcPr>
          <w:p w14:paraId="49ACCC5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52916A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4D8F6F1" w14:textId="77777777" w:rsidTr="004C5635">
        <w:trPr>
          <w:trHeight w:val="320"/>
        </w:trPr>
        <w:tc>
          <w:tcPr>
            <w:tcW w:w="3500" w:type="dxa"/>
            <w:shd w:val="clear" w:color="auto" w:fill="auto"/>
            <w:noWrap/>
            <w:vAlign w:val="bottom"/>
            <w:hideMark/>
          </w:tcPr>
          <w:p w14:paraId="3EBA7BF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Amblygobius bynoensis</w:t>
            </w:r>
          </w:p>
        </w:tc>
        <w:tc>
          <w:tcPr>
            <w:tcW w:w="1300" w:type="dxa"/>
            <w:shd w:val="clear" w:color="auto" w:fill="auto"/>
            <w:noWrap/>
            <w:vAlign w:val="bottom"/>
            <w:hideMark/>
          </w:tcPr>
          <w:p w14:paraId="13339C5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E0159A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CD1D2B8" w14:textId="77777777" w:rsidTr="004C5635">
        <w:trPr>
          <w:trHeight w:val="320"/>
        </w:trPr>
        <w:tc>
          <w:tcPr>
            <w:tcW w:w="3500" w:type="dxa"/>
            <w:shd w:val="clear" w:color="auto" w:fill="auto"/>
            <w:noWrap/>
            <w:vAlign w:val="bottom"/>
            <w:hideMark/>
          </w:tcPr>
          <w:p w14:paraId="228659E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Amblygobius phalaena</w:t>
            </w:r>
          </w:p>
        </w:tc>
        <w:tc>
          <w:tcPr>
            <w:tcW w:w="1300" w:type="dxa"/>
            <w:shd w:val="clear" w:color="auto" w:fill="auto"/>
            <w:noWrap/>
            <w:vAlign w:val="bottom"/>
            <w:hideMark/>
          </w:tcPr>
          <w:p w14:paraId="1733273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0753DD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0FB91FE" w14:textId="77777777" w:rsidTr="004C5635">
        <w:trPr>
          <w:trHeight w:val="320"/>
        </w:trPr>
        <w:tc>
          <w:tcPr>
            <w:tcW w:w="3500" w:type="dxa"/>
            <w:shd w:val="clear" w:color="auto" w:fill="auto"/>
            <w:noWrap/>
            <w:vAlign w:val="bottom"/>
            <w:hideMark/>
          </w:tcPr>
          <w:p w14:paraId="288DBB7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Amblygobius sp.</w:t>
            </w:r>
          </w:p>
        </w:tc>
        <w:tc>
          <w:tcPr>
            <w:tcW w:w="1300" w:type="dxa"/>
            <w:shd w:val="clear" w:color="auto" w:fill="auto"/>
            <w:noWrap/>
            <w:vAlign w:val="bottom"/>
            <w:hideMark/>
          </w:tcPr>
          <w:p w14:paraId="605E20F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1623A84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9A4AF99" w14:textId="77777777" w:rsidTr="004C5635">
        <w:trPr>
          <w:trHeight w:val="320"/>
        </w:trPr>
        <w:tc>
          <w:tcPr>
            <w:tcW w:w="3500" w:type="dxa"/>
            <w:shd w:val="clear" w:color="auto" w:fill="auto"/>
            <w:noWrap/>
            <w:vAlign w:val="bottom"/>
            <w:hideMark/>
          </w:tcPr>
          <w:p w14:paraId="7E1CB42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Amphiprion akindynos</w:t>
            </w:r>
          </w:p>
        </w:tc>
        <w:tc>
          <w:tcPr>
            <w:tcW w:w="1300" w:type="dxa"/>
            <w:shd w:val="clear" w:color="auto" w:fill="auto"/>
            <w:noWrap/>
            <w:vAlign w:val="bottom"/>
            <w:hideMark/>
          </w:tcPr>
          <w:p w14:paraId="2E39531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835F92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2DEE08E7" w14:textId="77777777" w:rsidTr="004C5635">
        <w:trPr>
          <w:trHeight w:val="320"/>
        </w:trPr>
        <w:tc>
          <w:tcPr>
            <w:tcW w:w="3500" w:type="dxa"/>
            <w:shd w:val="clear" w:color="auto" w:fill="auto"/>
            <w:noWrap/>
            <w:vAlign w:val="bottom"/>
            <w:hideMark/>
          </w:tcPr>
          <w:p w14:paraId="3DF17DA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Amphiprion melanopus</w:t>
            </w:r>
          </w:p>
        </w:tc>
        <w:tc>
          <w:tcPr>
            <w:tcW w:w="1300" w:type="dxa"/>
            <w:shd w:val="clear" w:color="auto" w:fill="auto"/>
            <w:noWrap/>
            <w:vAlign w:val="bottom"/>
            <w:hideMark/>
          </w:tcPr>
          <w:p w14:paraId="746DB63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FF3902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35802647" w14:textId="77777777" w:rsidTr="004C5635">
        <w:trPr>
          <w:trHeight w:val="320"/>
        </w:trPr>
        <w:tc>
          <w:tcPr>
            <w:tcW w:w="3500" w:type="dxa"/>
            <w:shd w:val="clear" w:color="auto" w:fill="auto"/>
            <w:noWrap/>
            <w:vAlign w:val="bottom"/>
            <w:hideMark/>
          </w:tcPr>
          <w:p w14:paraId="1FD84C8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Anampses geographicus</w:t>
            </w:r>
          </w:p>
        </w:tc>
        <w:tc>
          <w:tcPr>
            <w:tcW w:w="1300" w:type="dxa"/>
            <w:shd w:val="clear" w:color="auto" w:fill="auto"/>
            <w:noWrap/>
            <w:vAlign w:val="bottom"/>
            <w:hideMark/>
          </w:tcPr>
          <w:p w14:paraId="47FBA86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C77A84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4804D15" w14:textId="77777777" w:rsidTr="004C5635">
        <w:trPr>
          <w:trHeight w:val="320"/>
        </w:trPr>
        <w:tc>
          <w:tcPr>
            <w:tcW w:w="3500" w:type="dxa"/>
            <w:shd w:val="clear" w:color="auto" w:fill="auto"/>
            <w:noWrap/>
            <w:vAlign w:val="bottom"/>
            <w:hideMark/>
          </w:tcPr>
          <w:p w14:paraId="1049544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Apogon doederleini</w:t>
            </w:r>
          </w:p>
        </w:tc>
        <w:tc>
          <w:tcPr>
            <w:tcW w:w="1300" w:type="dxa"/>
            <w:shd w:val="clear" w:color="auto" w:fill="auto"/>
            <w:noWrap/>
            <w:vAlign w:val="bottom"/>
            <w:hideMark/>
          </w:tcPr>
          <w:p w14:paraId="6831E8A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DB71A7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9550DDA" w14:textId="77777777" w:rsidTr="004C5635">
        <w:trPr>
          <w:trHeight w:val="320"/>
        </w:trPr>
        <w:tc>
          <w:tcPr>
            <w:tcW w:w="3500" w:type="dxa"/>
            <w:shd w:val="clear" w:color="auto" w:fill="auto"/>
            <w:noWrap/>
            <w:vAlign w:val="bottom"/>
            <w:hideMark/>
          </w:tcPr>
          <w:p w14:paraId="5919FB6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Apogon sp.</w:t>
            </w:r>
          </w:p>
        </w:tc>
        <w:tc>
          <w:tcPr>
            <w:tcW w:w="1300" w:type="dxa"/>
            <w:shd w:val="clear" w:color="auto" w:fill="auto"/>
            <w:noWrap/>
            <w:vAlign w:val="bottom"/>
            <w:hideMark/>
          </w:tcPr>
          <w:p w14:paraId="54CE003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DEB5CD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36E3F75" w14:textId="77777777" w:rsidTr="004C5635">
        <w:trPr>
          <w:trHeight w:val="320"/>
        </w:trPr>
        <w:tc>
          <w:tcPr>
            <w:tcW w:w="3500" w:type="dxa"/>
            <w:shd w:val="clear" w:color="auto" w:fill="auto"/>
            <w:noWrap/>
            <w:vAlign w:val="bottom"/>
            <w:hideMark/>
          </w:tcPr>
          <w:p w14:paraId="5F01402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Belonidae  </w:t>
            </w:r>
          </w:p>
        </w:tc>
        <w:tc>
          <w:tcPr>
            <w:tcW w:w="1300" w:type="dxa"/>
            <w:shd w:val="clear" w:color="auto" w:fill="auto"/>
            <w:noWrap/>
            <w:vAlign w:val="bottom"/>
            <w:hideMark/>
          </w:tcPr>
          <w:p w14:paraId="4E062D5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E057BE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3265F4FE" w14:textId="77777777" w:rsidTr="004C5635">
        <w:trPr>
          <w:trHeight w:val="320"/>
        </w:trPr>
        <w:tc>
          <w:tcPr>
            <w:tcW w:w="3500" w:type="dxa"/>
            <w:shd w:val="clear" w:color="auto" w:fill="auto"/>
            <w:noWrap/>
            <w:vAlign w:val="bottom"/>
            <w:hideMark/>
          </w:tcPr>
          <w:p w14:paraId="0785216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Blenniidae  </w:t>
            </w:r>
          </w:p>
        </w:tc>
        <w:tc>
          <w:tcPr>
            <w:tcW w:w="1300" w:type="dxa"/>
            <w:shd w:val="clear" w:color="auto" w:fill="auto"/>
            <w:noWrap/>
            <w:vAlign w:val="bottom"/>
            <w:hideMark/>
          </w:tcPr>
          <w:p w14:paraId="195E50B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24B6B7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EE0CA9D" w14:textId="77777777" w:rsidTr="004C5635">
        <w:trPr>
          <w:trHeight w:val="320"/>
        </w:trPr>
        <w:tc>
          <w:tcPr>
            <w:tcW w:w="3500" w:type="dxa"/>
            <w:shd w:val="clear" w:color="auto" w:fill="auto"/>
            <w:noWrap/>
            <w:vAlign w:val="bottom"/>
            <w:hideMark/>
          </w:tcPr>
          <w:p w14:paraId="0C74826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Caesio teres</w:t>
            </w:r>
          </w:p>
        </w:tc>
        <w:tc>
          <w:tcPr>
            <w:tcW w:w="1300" w:type="dxa"/>
            <w:shd w:val="clear" w:color="auto" w:fill="auto"/>
            <w:noWrap/>
            <w:vAlign w:val="bottom"/>
            <w:hideMark/>
          </w:tcPr>
          <w:p w14:paraId="6CBC546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FFE03B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3EE4026" w14:textId="77777777" w:rsidTr="004C5635">
        <w:trPr>
          <w:trHeight w:val="320"/>
        </w:trPr>
        <w:tc>
          <w:tcPr>
            <w:tcW w:w="3500" w:type="dxa"/>
            <w:shd w:val="clear" w:color="auto" w:fill="auto"/>
            <w:noWrap/>
            <w:vAlign w:val="bottom"/>
            <w:hideMark/>
          </w:tcPr>
          <w:p w14:paraId="30C9A1A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Canthigaster valentini</w:t>
            </w:r>
          </w:p>
        </w:tc>
        <w:tc>
          <w:tcPr>
            <w:tcW w:w="1300" w:type="dxa"/>
            <w:shd w:val="clear" w:color="auto" w:fill="auto"/>
            <w:noWrap/>
            <w:vAlign w:val="bottom"/>
            <w:hideMark/>
          </w:tcPr>
          <w:p w14:paraId="424C765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A64B13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982ECB8" w14:textId="77777777" w:rsidTr="004C5635">
        <w:trPr>
          <w:trHeight w:val="320"/>
        </w:trPr>
        <w:tc>
          <w:tcPr>
            <w:tcW w:w="3500" w:type="dxa"/>
            <w:shd w:val="clear" w:color="auto" w:fill="auto"/>
            <w:noWrap/>
            <w:vAlign w:val="bottom"/>
            <w:hideMark/>
          </w:tcPr>
          <w:p w14:paraId="761FD71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Carangoides sp.</w:t>
            </w:r>
          </w:p>
        </w:tc>
        <w:tc>
          <w:tcPr>
            <w:tcW w:w="1300" w:type="dxa"/>
            <w:shd w:val="clear" w:color="auto" w:fill="auto"/>
            <w:noWrap/>
            <w:vAlign w:val="bottom"/>
            <w:hideMark/>
          </w:tcPr>
          <w:p w14:paraId="3E8C16D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F548BC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3EA86915" w14:textId="77777777" w:rsidTr="004C5635">
        <w:trPr>
          <w:trHeight w:val="320"/>
        </w:trPr>
        <w:tc>
          <w:tcPr>
            <w:tcW w:w="3500" w:type="dxa"/>
            <w:shd w:val="clear" w:color="auto" w:fill="auto"/>
            <w:noWrap/>
            <w:vAlign w:val="bottom"/>
            <w:hideMark/>
          </w:tcPr>
          <w:p w14:paraId="7EC014C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Caranx ignobilis</w:t>
            </w:r>
          </w:p>
        </w:tc>
        <w:tc>
          <w:tcPr>
            <w:tcW w:w="1300" w:type="dxa"/>
            <w:shd w:val="clear" w:color="auto" w:fill="auto"/>
            <w:noWrap/>
            <w:vAlign w:val="bottom"/>
            <w:hideMark/>
          </w:tcPr>
          <w:p w14:paraId="29E8F5A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6924AA5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C77D737" w14:textId="77777777" w:rsidTr="004C5635">
        <w:trPr>
          <w:trHeight w:val="320"/>
        </w:trPr>
        <w:tc>
          <w:tcPr>
            <w:tcW w:w="3500" w:type="dxa"/>
            <w:shd w:val="clear" w:color="auto" w:fill="auto"/>
            <w:noWrap/>
            <w:vAlign w:val="bottom"/>
            <w:hideMark/>
          </w:tcPr>
          <w:p w14:paraId="5DD4266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Caranx sp.</w:t>
            </w:r>
          </w:p>
        </w:tc>
        <w:tc>
          <w:tcPr>
            <w:tcW w:w="1300" w:type="dxa"/>
            <w:shd w:val="clear" w:color="auto" w:fill="auto"/>
            <w:noWrap/>
            <w:vAlign w:val="bottom"/>
            <w:hideMark/>
          </w:tcPr>
          <w:p w14:paraId="2ED29DE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6100884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5762D25" w14:textId="77777777" w:rsidTr="004C5635">
        <w:trPr>
          <w:trHeight w:val="320"/>
        </w:trPr>
        <w:tc>
          <w:tcPr>
            <w:tcW w:w="3500" w:type="dxa"/>
            <w:shd w:val="clear" w:color="auto" w:fill="auto"/>
            <w:noWrap/>
            <w:vAlign w:val="bottom"/>
            <w:hideMark/>
          </w:tcPr>
          <w:p w14:paraId="4C883C4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Carcharhinus melanopterus</w:t>
            </w:r>
          </w:p>
        </w:tc>
        <w:tc>
          <w:tcPr>
            <w:tcW w:w="1300" w:type="dxa"/>
            <w:shd w:val="clear" w:color="auto" w:fill="auto"/>
            <w:noWrap/>
            <w:vAlign w:val="bottom"/>
            <w:hideMark/>
          </w:tcPr>
          <w:p w14:paraId="217CA3B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5A27BD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2097031A" w14:textId="77777777" w:rsidTr="004C5635">
        <w:trPr>
          <w:trHeight w:val="320"/>
        </w:trPr>
        <w:tc>
          <w:tcPr>
            <w:tcW w:w="3500" w:type="dxa"/>
            <w:shd w:val="clear" w:color="auto" w:fill="auto"/>
            <w:noWrap/>
            <w:vAlign w:val="bottom"/>
            <w:hideMark/>
          </w:tcPr>
          <w:p w14:paraId="21AE9AD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Cephalopholis sp.</w:t>
            </w:r>
          </w:p>
        </w:tc>
        <w:tc>
          <w:tcPr>
            <w:tcW w:w="1300" w:type="dxa"/>
            <w:shd w:val="clear" w:color="auto" w:fill="auto"/>
            <w:noWrap/>
            <w:vAlign w:val="bottom"/>
            <w:hideMark/>
          </w:tcPr>
          <w:p w14:paraId="4276FF0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A21751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60780B0" w14:textId="77777777" w:rsidTr="004C5635">
        <w:trPr>
          <w:trHeight w:val="320"/>
        </w:trPr>
        <w:tc>
          <w:tcPr>
            <w:tcW w:w="3500" w:type="dxa"/>
            <w:shd w:val="clear" w:color="auto" w:fill="auto"/>
            <w:noWrap/>
            <w:vAlign w:val="bottom"/>
            <w:hideMark/>
          </w:tcPr>
          <w:p w14:paraId="5C5EB1F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auriga</w:t>
            </w:r>
          </w:p>
        </w:tc>
        <w:tc>
          <w:tcPr>
            <w:tcW w:w="1300" w:type="dxa"/>
            <w:shd w:val="clear" w:color="auto" w:fill="auto"/>
            <w:noWrap/>
            <w:vAlign w:val="bottom"/>
            <w:hideMark/>
          </w:tcPr>
          <w:p w14:paraId="37DD5EE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28F143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2A5ACB0" w14:textId="77777777" w:rsidTr="004C5635">
        <w:trPr>
          <w:trHeight w:val="320"/>
        </w:trPr>
        <w:tc>
          <w:tcPr>
            <w:tcW w:w="3500" w:type="dxa"/>
            <w:shd w:val="clear" w:color="auto" w:fill="auto"/>
            <w:noWrap/>
            <w:vAlign w:val="bottom"/>
            <w:hideMark/>
          </w:tcPr>
          <w:p w14:paraId="68E0995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flavirostris</w:t>
            </w:r>
          </w:p>
        </w:tc>
        <w:tc>
          <w:tcPr>
            <w:tcW w:w="1300" w:type="dxa"/>
            <w:shd w:val="clear" w:color="auto" w:fill="auto"/>
            <w:noWrap/>
            <w:vAlign w:val="bottom"/>
            <w:hideMark/>
          </w:tcPr>
          <w:p w14:paraId="0B6730F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0CE3A7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AB05807" w14:textId="77777777" w:rsidTr="004C5635">
        <w:trPr>
          <w:trHeight w:val="320"/>
        </w:trPr>
        <w:tc>
          <w:tcPr>
            <w:tcW w:w="3500" w:type="dxa"/>
            <w:shd w:val="clear" w:color="auto" w:fill="auto"/>
            <w:noWrap/>
            <w:vAlign w:val="bottom"/>
            <w:hideMark/>
          </w:tcPr>
          <w:p w14:paraId="38DEC46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lunula</w:t>
            </w:r>
          </w:p>
        </w:tc>
        <w:tc>
          <w:tcPr>
            <w:tcW w:w="1300" w:type="dxa"/>
            <w:shd w:val="clear" w:color="auto" w:fill="auto"/>
            <w:noWrap/>
            <w:vAlign w:val="bottom"/>
            <w:hideMark/>
          </w:tcPr>
          <w:p w14:paraId="5520EBB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B00D9C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311047AE" w14:textId="77777777" w:rsidTr="004C5635">
        <w:trPr>
          <w:trHeight w:val="320"/>
        </w:trPr>
        <w:tc>
          <w:tcPr>
            <w:tcW w:w="3500" w:type="dxa"/>
            <w:shd w:val="clear" w:color="auto" w:fill="auto"/>
            <w:noWrap/>
            <w:vAlign w:val="bottom"/>
            <w:hideMark/>
          </w:tcPr>
          <w:p w14:paraId="7A2DD43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melannotus</w:t>
            </w:r>
          </w:p>
        </w:tc>
        <w:tc>
          <w:tcPr>
            <w:tcW w:w="1300" w:type="dxa"/>
            <w:shd w:val="clear" w:color="auto" w:fill="auto"/>
            <w:noWrap/>
            <w:vAlign w:val="bottom"/>
            <w:hideMark/>
          </w:tcPr>
          <w:p w14:paraId="4B3238D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0BC40D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ACC51B8" w14:textId="77777777" w:rsidTr="004C5635">
        <w:trPr>
          <w:trHeight w:val="320"/>
        </w:trPr>
        <w:tc>
          <w:tcPr>
            <w:tcW w:w="3500" w:type="dxa"/>
            <w:shd w:val="clear" w:color="auto" w:fill="auto"/>
            <w:noWrap/>
            <w:vAlign w:val="bottom"/>
            <w:hideMark/>
          </w:tcPr>
          <w:p w14:paraId="589AB44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plebeius</w:t>
            </w:r>
          </w:p>
        </w:tc>
        <w:tc>
          <w:tcPr>
            <w:tcW w:w="1300" w:type="dxa"/>
            <w:shd w:val="clear" w:color="auto" w:fill="auto"/>
            <w:noWrap/>
            <w:vAlign w:val="bottom"/>
            <w:hideMark/>
          </w:tcPr>
          <w:p w14:paraId="4203E2D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A22F98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FDD8351" w14:textId="77777777" w:rsidTr="004C5635">
        <w:trPr>
          <w:trHeight w:val="320"/>
        </w:trPr>
        <w:tc>
          <w:tcPr>
            <w:tcW w:w="3500" w:type="dxa"/>
            <w:shd w:val="clear" w:color="auto" w:fill="auto"/>
            <w:noWrap/>
            <w:vAlign w:val="bottom"/>
            <w:hideMark/>
          </w:tcPr>
          <w:p w14:paraId="2B67BBD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rainfordi</w:t>
            </w:r>
          </w:p>
        </w:tc>
        <w:tc>
          <w:tcPr>
            <w:tcW w:w="1300" w:type="dxa"/>
            <w:shd w:val="clear" w:color="auto" w:fill="auto"/>
            <w:noWrap/>
            <w:vAlign w:val="bottom"/>
            <w:hideMark/>
          </w:tcPr>
          <w:p w14:paraId="459ED3B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92D09C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285BE099" w14:textId="77777777" w:rsidTr="004C5635">
        <w:trPr>
          <w:trHeight w:val="320"/>
        </w:trPr>
        <w:tc>
          <w:tcPr>
            <w:tcW w:w="3500" w:type="dxa"/>
            <w:shd w:val="clear" w:color="auto" w:fill="auto"/>
            <w:noWrap/>
            <w:vAlign w:val="bottom"/>
            <w:hideMark/>
          </w:tcPr>
          <w:p w14:paraId="00039AD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vagabundus</w:t>
            </w:r>
          </w:p>
        </w:tc>
        <w:tc>
          <w:tcPr>
            <w:tcW w:w="1300" w:type="dxa"/>
            <w:shd w:val="clear" w:color="auto" w:fill="auto"/>
            <w:noWrap/>
            <w:vAlign w:val="bottom"/>
            <w:hideMark/>
          </w:tcPr>
          <w:p w14:paraId="2558BAF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80A90A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0F123E6" w14:textId="77777777" w:rsidTr="004C5635">
        <w:trPr>
          <w:trHeight w:val="320"/>
        </w:trPr>
        <w:tc>
          <w:tcPr>
            <w:tcW w:w="3500" w:type="dxa"/>
            <w:shd w:val="clear" w:color="auto" w:fill="auto"/>
            <w:noWrap/>
            <w:vAlign w:val="bottom"/>
            <w:hideMark/>
          </w:tcPr>
          <w:p w14:paraId="67C416D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Chanos chanos</w:t>
            </w:r>
          </w:p>
        </w:tc>
        <w:tc>
          <w:tcPr>
            <w:tcW w:w="1300" w:type="dxa"/>
            <w:shd w:val="clear" w:color="auto" w:fill="auto"/>
            <w:noWrap/>
            <w:vAlign w:val="bottom"/>
            <w:hideMark/>
          </w:tcPr>
          <w:p w14:paraId="68ADE87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72BCD2D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DF5C577" w14:textId="77777777" w:rsidTr="004C5635">
        <w:trPr>
          <w:trHeight w:val="320"/>
        </w:trPr>
        <w:tc>
          <w:tcPr>
            <w:tcW w:w="3500" w:type="dxa"/>
            <w:shd w:val="clear" w:color="auto" w:fill="auto"/>
            <w:noWrap/>
            <w:vAlign w:val="bottom"/>
            <w:hideMark/>
          </w:tcPr>
          <w:p w14:paraId="4DFB056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Cheilinus fasciatus</w:t>
            </w:r>
          </w:p>
        </w:tc>
        <w:tc>
          <w:tcPr>
            <w:tcW w:w="1300" w:type="dxa"/>
            <w:shd w:val="clear" w:color="auto" w:fill="auto"/>
            <w:noWrap/>
            <w:vAlign w:val="bottom"/>
            <w:hideMark/>
          </w:tcPr>
          <w:p w14:paraId="320AE18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67B298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C31C395" w14:textId="77777777" w:rsidTr="004C5635">
        <w:trPr>
          <w:trHeight w:val="320"/>
        </w:trPr>
        <w:tc>
          <w:tcPr>
            <w:tcW w:w="3500" w:type="dxa"/>
            <w:shd w:val="clear" w:color="auto" w:fill="auto"/>
            <w:noWrap/>
            <w:vAlign w:val="bottom"/>
            <w:hideMark/>
          </w:tcPr>
          <w:p w14:paraId="78A5256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Cheilinus trilobatus</w:t>
            </w:r>
          </w:p>
        </w:tc>
        <w:tc>
          <w:tcPr>
            <w:tcW w:w="1300" w:type="dxa"/>
            <w:shd w:val="clear" w:color="auto" w:fill="auto"/>
            <w:noWrap/>
            <w:vAlign w:val="bottom"/>
            <w:hideMark/>
          </w:tcPr>
          <w:p w14:paraId="7298724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D63E41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EE7C14F" w14:textId="77777777" w:rsidTr="004C5635">
        <w:trPr>
          <w:trHeight w:val="320"/>
        </w:trPr>
        <w:tc>
          <w:tcPr>
            <w:tcW w:w="3500" w:type="dxa"/>
            <w:shd w:val="clear" w:color="auto" w:fill="auto"/>
            <w:noWrap/>
            <w:vAlign w:val="bottom"/>
            <w:hideMark/>
          </w:tcPr>
          <w:p w14:paraId="7C290FA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Chelmon rostratus</w:t>
            </w:r>
          </w:p>
        </w:tc>
        <w:tc>
          <w:tcPr>
            <w:tcW w:w="1300" w:type="dxa"/>
            <w:shd w:val="clear" w:color="auto" w:fill="auto"/>
            <w:noWrap/>
            <w:vAlign w:val="bottom"/>
            <w:hideMark/>
          </w:tcPr>
          <w:p w14:paraId="4E4B7D4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111B20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C03B867" w14:textId="77777777" w:rsidTr="004C5635">
        <w:trPr>
          <w:trHeight w:val="320"/>
        </w:trPr>
        <w:tc>
          <w:tcPr>
            <w:tcW w:w="3500" w:type="dxa"/>
            <w:shd w:val="clear" w:color="auto" w:fill="auto"/>
            <w:noWrap/>
            <w:vAlign w:val="bottom"/>
            <w:hideMark/>
          </w:tcPr>
          <w:p w14:paraId="7BEFDCD2"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Choerodon sp.</w:t>
            </w:r>
          </w:p>
        </w:tc>
        <w:tc>
          <w:tcPr>
            <w:tcW w:w="1300" w:type="dxa"/>
            <w:shd w:val="clear" w:color="auto" w:fill="auto"/>
            <w:noWrap/>
            <w:vAlign w:val="bottom"/>
            <w:hideMark/>
          </w:tcPr>
          <w:p w14:paraId="3BF75E6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BEE321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553F1DA" w14:textId="77777777" w:rsidTr="004C5635">
        <w:trPr>
          <w:trHeight w:val="320"/>
        </w:trPr>
        <w:tc>
          <w:tcPr>
            <w:tcW w:w="3500" w:type="dxa"/>
            <w:shd w:val="clear" w:color="auto" w:fill="auto"/>
            <w:noWrap/>
            <w:vAlign w:val="bottom"/>
            <w:hideMark/>
          </w:tcPr>
          <w:p w14:paraId="55C6156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Chromis nitida</w:t>
            </w:r>
          </w:p>
        </w:tc>
        <w:tc>
          <w:tcPr>
            <w:tcW w:w="1300" w:type="dxa"/>
            <w:shd w:val="clear" w:color="auto" w:fill="auto"/>
            <w:noWrap/>
            <w:vAlign w:val="bottom"/>
            <w:hideMark/>
          </w:tcPr>
          <w:p w14:paraId="2B30871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FBB08F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D602C73" w14:textId="77777777" w:rsidTr="004C5635">
        <w:trPr>
          <w:trHeight w:val="320"/>
        </w:trPr>
        <w:tc>
          <w:tcPr>
            <w:tcW w:w="3500" w:type="dxa"/>
            <w:shd w:val="clear" w:color="auto" w:fill="auto"/>
            <w:noWrap/>
            <w:vAlign w:val="bottom"/>
            <w:hideMark/>
          </w:tcPr>
          <w:p w14:paraId="4072176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Chromis ternatensis</w:t>
            </w:r>
          </w:p>
        </w:tc>
        <w:tc>
          <w:tcPr>
            <w:tcW w:w="1300" w:type="dxa"/>
            <w:shd w:val="clear" w:color="auto" w:fill="auto"/>
            <w:noWrap/>
            <w:vAlign w:val="bottom"/>
            <w:hideMark/>
          </w:tcPr>
          <w:p w14:paraId="73F9ABA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C3A231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F65E8F9" w14:textId="77777777" w:rsidTr="004C5635">
        <w:trPr>
          <w:trHeight w:val="320"/>
        </w:trPr>
        <w:tc>
          <w:tcPr>
            <w:tcW w:w="3500" w:type="dxa"/>
            <w:shd w:val="clear" w:color="auto" w:fill="auto"/>
            <w:noWrap/>
            <w:vAlign w:val="bottom"/>
            <w:hideMark/>
          </w:tcPr>
          <w:p w14:paraId="1D96197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Chrysiptera cyanea</w:t>
            </w:r>
          </w:p>
        </w:tc>
        <w:tc>
          <w:tcPr>
            <w:tcW w:w="1300" w:type="dxa"/>
            <w:shd w:val="clear" w:color="auto" w:fill="auto"/>
            <w:noWrap/>
            <w:vAlign w:val="bottom"/>
            <w:hideMark/>
          </w:tcPr>
          <w:p w14:paraId="225C7E7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16D767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7D1D4E4A" w14:textId="77777777" w:rsidTr="004C5635">
        <w:trPr>
          <w:trHeight w:val="320"/>
        </w:trPr>
        <w:tc>
          <w:tcPr>
            <w:tcW w:w="3500" w:type="dxa"/>
            <w:shd w:val="clear" w:color="auto" w:fill="auto"/>
            <w:noWrap/>
            <w:vAlign w:val="bottom"/>
            <w:hideMark/>
          </w:tcPr>
          <w:p w14:paraId="33A7987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Chrysiptera rollandi</w:t>
            </w:r>
          </w:p>
        </w:tc>
        <w:tc>
          <w:tcPr>
            <w:tcW w:w="1300" w:type="dxa"/>
            <w:shd w:val="clear" w:color="auto" w:fill="auto"/>
            <w:noWrap/>
            <w:vAlign w:val="bottom"/>
            <w:hideMark/>
          </w:tcPr>
          <w:p w14:paraId="3F8FBD7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863F0E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31CD380" w14:textId="77777777" w:rsidTr="004C5635">
        <w:trPr>
          <w:trHeight w:val="320"/>
        </w:trPr>
        <w:tc>
          <w:tcPr>
            <w:tcW w:w="3500" w:type="dxa"/>
            <w:shd w:val="clear" w:color="auto" w:fill="auto"/>
            <w:noWrap/>
            <w:vAlign w:val="bottom"/>
            <w:hideMark/>
          </w:tcPr>
          <w:p w14:paraId="6851699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Coris batuensis</w:t>
            </w:r>
          </w:p>
        </w:tc>
        <w:tc>
          <w:tcPr>
            <w:tcW w:w="1300" w:type="dxa"/>
            <w:shd w:val="clear" w:color="auto" w:fill="auto"/>
            <w:noWrap/>
            <w:vAlign w:val="bottom"/>
            <w:hideMark/>
          </w:tcPr>
          <w:p w14:paraId="164B9CB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DC9004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5B37B07" w14:textId="77777777" w:rsidTr="004C5635">
        <w:trPr>
          <w:trHeight w:val="320"/>
        </w:trPr>
        <w:tc>
          <w:tcPr>
            <w:tcW w:w="3500" w:type="dxa"/>
            <w:shd w:val="clear" w:color="auto" w:fill="auto"/>
            <w:noWrap/>
            <w:vAlign w:val="bottom"/>
            <w:hideMark/>
          </w:tcPr>
          <w:p w14:paraId="13EAAD6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Coris gaimardi</w:t>
            </w:r>
          </w:p>
        </w:tc>
        <w:tc>
          <w:tcPr>
            <w:tcW w:w="1300" w:type="dxa"/>
            <w:shd w:val="clear" w:color="auto" w:fill="auto"/>
            <w:noWrap/>
            <w:vAlign w:val="bottom"/>
            <w:hideMark/>
          </w:tcPr>
          <w:p w14:paraId="2D0AB1A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E4DB20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334D88A" w14:textId="77777777" w:rsidTr="004C5635">
        <w:trPr>
          <w:trHeight w:val="320"/>
        </w:trPr>
        <w:tc>
          <w:tcPr>
            <w:tcW w:w="3500" w:type="dxa"/>
            <w:shd w:val="clear" w:color="auto" w:fill="auto"/>
            <w:noWrap/>
            <w:vAlign w:val="bottom"/>
            <w:hideMark/>
          </w:tcPr>
          <w:p w14:paraId="6183962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Ctenochaetus striatus</w:t>
            </w:r>
          </w:p>
        </w:tc>
        <w:tc>
          <w:tcPr>
            <w:tcW w:w="1300" w:type="dxa"/>
            <w:shd w:val="clear" w:color="auto" w:fill="auto"/>
            <w:noWrap/>
            <w:vAlign w:val="bottom"/>
            <w:hideMark/>
          </w:tcPr>
          <w:p w14:paraId="102360F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84C53B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6716DAD" w14:textId="77777777" w:rsidTr="004C5635">
        <w:trPr>
          <w:trHeight w:val="320"/>
        </w:trPr>
        <w:tc>
          <w:tcPr>
            <w:tcW w:w="3500" w:type="dxa"/>
            <w:shd w:val="clear" w:color="auto" w:fill="auto"/>
            <w:noWrap/>
            <w:vAlign w:val="bottom"/>
            <w:hideMark/>
          </w:tcPr>
          <w:p w14:paraId="7D641B6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Dascyllus aruanus</w:t>
            </w:r>
          </w:p>
        </w:tc>
        <w:tc>
          <w:tcPr>
            <w:tcW w:w="1300" w:type="dxa"/>
            <w:shd w:val="clear" w:color="auto" w:fill="auto"/>
            <w:noWrap/>
            <w:vAlign w:val="bottom"/>
            <w:hideMark/>
          </w:tcPr>
          <w:p w14:paraId="047BD5C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DC5C05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2D0B3DB0" w14:textId="77777777" w:rsidTr="004C5635">
        <w:trPr>
          <w:trHeight w:val="320"/>
        </w:trPr>
        <w:tc>
          <w:tcPr>
            <w:tcW w:w="3500" w:type="dxa"/>
            <w:shd w:val="clear" w:color="auto" w:fill="auto"/>
            <w:noWrap/>
            <w:vAlign w:val="bottom"/>
            <w:hideMark/>
          </w:tcPr>
          <w:p w14:paraId="0889610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Diodon histrix</w:t>
            </w:r>
          </w:p>
        </w:tc>
        <w:tc>
          <w:tcPr>
            <w:tcW w:w="1300" w:type="dxa"/>
            <w:shd w:val="clear" w:color="auto" w:fill="auto"/>
            <w:noWrap/>
            <w:vAlign w:val="bottom"/>
            <w:hideMark/>
          </w:tcPr>
          <w:p w14:paraId="195C724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0A99101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40D67F89" w14:textId="77777777" w:rsidTr="004C5635">
        <w:trPr>
          <w:trHeight w:val="320"/>
        </w:trPr>
        <w:tc>
          <w:tcPr>
            <w:tcW w:w="3500" w:type="dxa"/>
            <w:shd w:val="clear" w:color="auto" w:fill="auto"/>
            <w:noWrap/>
            <w:vAlign w:val="bottom"/>
            <w:hideMark/>
          </w:tcPr>
          <w:p w14:paraId="234A6208"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Dischistodus melanotus</w:t>
            </w:r>
          </w:p>
        </w:tc>
        <w:tc>
          <w:tcPr>
            <w:tcW w:w="1300" w:type="dxa"/>
            <w:shd w:val="clear" w:color="auto" w:fill="auto"/>
            <w:noWrap/>
            <w:vAlign w:val="bottom"/>
            <w:hideMark/>
          </w:tcPr>
          <w:p w14:paraId="779F7F4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CE1E33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E0CA6D1" w14:textId="77777777" w:rsidTr="004C5635">
        <w:trPr>
          <w:trHeight w:val="320"/>
        </w:trPr>
        <w:tc>
          <w:tcPr>
            <w:tcW w:w="3500" w:type="dxa"/>
            <w:shd w:val="clear" w:color="auto" w:fill="auto"/>
            <w:noWrap/>
            <w:vAlign w:val="bottom"/>
            <w:hideMark/>
          </w:tcPr>
          <w:p w14:paraId="7FE77A5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Dischistodus perspicillatus</w:t>
            </w:r>
          </w:p>
        </w:tc>
        <w:tc>
          <w:tcPr>
            <w:tcW w:w="1300" w:type="dxa"/>
            <w:shd w:val="clear" w:color="auto" w:fill="auto"/>
            <w:noWrap/>
            <w:vAlign w:val="bottom"/>
            <w:hideMark/>
          </w:tcPr>
          <w:p w14:paraId="6E4D580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8382C6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377DC204" w14:textId="77777777" w:rsidTr="004C5635">
        <w:trPr>
          <w:trHeight w:val="320"/>
        </w:trPr>
        <w:tc>
          <w:tcPr>
            <w:tcW w:w="3500" w:type="dxa"/>
            <w:shd w:val="clear" w:color="auto" w:fill="auto"/>
            <w:noWrap/>
            <w:vAlign w:val="bottom"/>
            <w:hideMark/>
          </w:tcPr>
          <w:p w14:paraId="16685E4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Echeneis naucrates</w:t>
            </w:r>
          </w:p>
        </w:tc>
        <w:tc>
          <w:tcPr>
            <w:tcW w:w="1300" w:type="dxa"/>
            <w:shd w:val="clear" w:color="auto" w:fill="auto"/>
            <w:noWrap/>
            <w:vAlign w:val="bottom"/>
            <w:hideMark/>
          </w:tcPr>
          <w:p w14:paraId="3CF5355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60C0DE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89F9F94" w14:textId="77777777" w:rsidTr="004C5635">
        <w:trPr>
          <w:trHeight w:val="320"/>
        </w:trPr>
        <w:tc>
          <w:tcPr>
            <w:tcW w:w="3500" w:type="dxa"/>
            <w:shd w:val="clear" w:color="auto" w:fill="auto"/>
            <w:noWrap/>
            <w:vAlign w:val="bottom"/>
            <w:hideMark/>
          </w:tcPr>
          <w:p w14:paraId="6E88D34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Fistularia sp.</w:t>
            </w:r>
          </w:p>
        </w:tc>
        <w:tc>
          <w:tcPr>
            <w:tcW w:w="1300" w:type="dxa"/>
            <w:shd w:val="clear" w:color="auto" w:fill="auto"/>
            <w:noWrap/>
            <w:vAlign w:val="bottom"/>
            <w:hideMark/>
          </w:tcPr>
          <w:p w14:paraId="121EB4C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3F0AB3C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F0CA839" w14:textId="77777777" w:rsidTr="004C5635">
        <w:trPr>
          <w:trHeight w:val="320"/>
        </w:trPr>
        <w:tc>
          <w:tcPr>
            <w:tcW w:w="3500" w:type="dxa"/>
            <w:shd w:val="clear" w:color="auto" w:fill="auto"/>
            <w:noWrap/>
            <w:vAlign w:val="bottom"/>
            <w:hideMark/>
          </w:tcPr>
          <w:p w14:paraId="3EB9B2C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Flatfish  </w:t>
            </w:r>
          </w:p>
        </w:tc>
        <w:tc>
          <w:tcPr>
            <w:tcW w:w="1300" w:type="dxa"/>
            <w:shd w:val="clear" w:color="auto" w:fill="auto"/>
            <w:noWrap/>
            <w:vAlign w:val="bottom"/>
            <w:hideMark/>
          </w:tcPr>
          <w:p w14:paraId="750C571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7576865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41A7FB39" w14:textId="77777777" w:rsidTr="004C5635">
        <w:trPr>
          <w:trHeight w:val="320"/>
        </w:trPr>
        <w:tc>
          <w:tcPr>
            <w:tcW w:w="3500" w:type="dxa"/>
            <w:shd w:val="clear" w:color="auto" w:fill="auto"/>
            <w:noWrap/>
            <w:vAlign w:val="bottom"/>
            <w:hideMark/>
          </w:tcPr>
          <w:p w14:paraId="039E6CD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Galeocerdo  cuvier</w:t>
            </w:r>
          </w:p>
        </w:tc>
        <w:tc>
          <w:tcPr>
            <w:tcW w:w="1300" w:type="dxa"/>
            <w:shd w:val="clear" w:color="auto" w:fill="auto"/>
            <w:noWrap/>
            <w:vAlign w:val="bottom"/>
            <w:hideMark/>
          </w:tcPr>
          <w:p w14:paraId="6FC2880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14E8CA5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E4DD419" w14:textId="77777777" w:rsidTr="004C5635">
        <w:trPr>
          <w:trHeight w:val="320"/>
        </w:trPr>
        <w:tc>
          <w:tcPr>
            <w:tcW w:w="3500" w:type="dxa"/>
            <w:shd w:val="clear" w:color="auto" w:fill="auto"/>
            <w:noWrap/>
            <w:vAlign w:val="bottom"/>
            <w:hideMark/>
          </w:tcPr>
          <w:p w14:paraId="645D7E5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Gerres oyena</w:t>
            </w:r>
          </w:p>
        </w:tc>
        <w:tc>
          <w:tcPr>
            <w:tcW w:w="1300" w:type="dxa"/>
            <w:shd w:val="clear" w:color="auto" w:fill="auto"/>
            <w:noWrap/>
            <w:vAlign w:val="bottom"/>
            <w:hideMark/>
          </w:tcPr>
          <w:p w14:paraId="71C4B82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2D8B2B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79FD52D" w14:textId="77777777" w:rsidTr="004C5635">
        <w:trPr>
          <w:trHeight w:val="320"/>
        </w:trPr>
        <w:tc>
          <w:tcPr>
            <w:tcW w:w="3500" w:type="dxa"/>
            <w:shd w:val="clear" w:color="auto" w:fill="auto"/>
            <w:noWrap/>
            <w:vAlign w:val="bottom"/>
            <w:hideMark/>
          </w:tcPr>
          <w:p w14:paraId="3ACEC25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Gnathodon speciosus</w:t>
            </w:r>
          </w:p>
        </w:tc>
        <w:tc>
          <w:tcPr>
            <w:tcW w:w="1300" w:type="dxa"/>
            <w:shd w:val="clear" w:color="auto" w:fill="auto"/>
            <w:noWrap/>
            <w:vAlign w:val="bottom"/>
            <w:hideMark/>
          </w:tcPr>
          <w:p w14:paraId="29013B0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2F42255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70771B3" w14:textId="77777777" w:rsidTr="004C5635">
        <w:trPr>
          <w:trHeight w:val="320"/>
        </w:trPr>
        <w:tc>
          <w:tcPr>
            <w:tcW w:w="3500" w:type="dxa"/>
            <w:shd w:val="clear" w:color="auto" w:fill="auto"/>
            <w:noWrap/>
            <w:vAlign w:val="bottom"/>
            <w:hideMark/>
          </w:tcPr>
          <w:p w14:paraId="69C1CCE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Gymnothorax javanicus</w:t>
            </w:r>
          </w:p>
        </w:tc>
        <w:tc>
          <w:tcPr>
            <w:tcW w:w="1300" w:type="dxa"/>
            <w:shd w:val="clear" w:color="auto" w:fill="auto"/>
            <w:noWrap/>
            <w:vAlign w:val="bottom"/>
            <w:hideMark/>
          </w:tcPr>
          <w:p w14:paraId="4ADEA48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A5B2E2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19218A9" w14:textId="77777777" w:rsidTr="004C5635">
        <w:trPr>
          <w:trHeight w:val="320"/>
        </w:trPr>
        <w:tc>
          <w:tcPr>
            <w:tcW w:w="3500" w:type="dxa"/>
            <w:shd w:val="clear" w:color="auto" w:fill="auto"/>
            <w:noWrap/>
            <w:vAlign w:val="bottom"/>
            <w:hideMark/>
          </w:tcPr>
          <w:p w14:paraId="73A1DBC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Hemigyminus melapterus</w:t>
            </w:r>
          </w:p>
        </w:tc>
        <w:tc>
          <w:tcPr>
            <w:tcW w:w="1300" w:type="dxa"/>
            <w:shd w:val="clear" w:color="auto" w:fill="auto"/>
            <w:noWrap/>
            <w:vAlign w:val="bottom"/>
            <w:hideMark/>
          </w:tcPr>
          <w:p w14:paraId="237A70B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B43C2B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6B32FB1" w14:textId="77777777" w:rsidTr="004C5635">
        <w:trPr>
          <w:trHeight w:val="320"/>
        </w:trPr>
        <w:tc>
          <w:tcPr>
            <w:tcW w:w="3500" w:type="dxa"/>
            <w:shd w:val="clear" w:color="auto" w:fill="auto"/>
            <w:noWrap/>
            <w:vAlign w:val="bottom"/>
            <w:hideMark/>
          </w:tcPr>
          <w:p w14:paraId="3CC8E2F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Heniochus acuminatus</w:t>
            </w:r>
          </w:p>
        </w:tc>
        <w:tc>
          <w:tcPr>
            <w:tcW w:w="1300" w:type="dxa"/>
            <w:shd w:val="clear" w:color="auto" w:fill="auto"/>
            <w:noWrap/>
            <w:vAlign w:val="bottom"/>
            <w:hideMark/>
          </w:tcPr>
          <w:p w14:paraId="01B8C45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8516C4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37D669E2" w14:textId="77777777" w:rsidTr="004C5635">
        <w:trPr>
          <w:trHeight w:val="320"/>
        </w:trPr>
        <w:tc>
          <w:tcPr>
            <w:tcW w:w="3500" w:type="dxa"/>
            <w:shd w:val="clear" w:color="auto" w:fill="auto"/>
            <w:noWrap/>
            <w:vAlign w:val="bottom"/>
            <w:hideMark/>
          </w:tcPr>
          <w:p w14:paraId="3339729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Kyphosus sp.</w:t>
            </w:r>
          </w:p>
        </w:tc>
        <w:tc>
          <w:tcPr>
            <w:tcW w:w="1300" w:type="dxa"/>
            <w:shd w:val="clear" w:color="auto" w:fill="auto"/>
            <w:noWrap/>
            <w:vAlign w:val="bottom"/>
            <w:hideMark/>
          </w:tcPr>
          <w:p w14:paraId="3DEEDEA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FE0A2E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0C100E7" w14:textId="77777777" w:rsidTr="004C5635">
        <w:trPr>
          <w:trHeight w:val="320"/>
        </w:trPr>
        <w:tc>
          <w:tcPr>
            <w:tcW w:w="3500" w:type="dxa"/>
            <w:shd w:val="clear" w:color="auto" w:fill="auto"/>
            <w:noWrap/>
            <w:vAlign w:val="bottom"/>
            <w:hideMark/>
          </w:tcPr>
          <w:p w14:paraId="37A8E782"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Labroides dimidiatus</w:t>
            </w:r>
          </w:p>
        </w:tc>
        <w:tc>
          <w:tcPr>
            <w:tcW w:w="1300" w:type="dxa"/>
            <w:shd w:val="clear" w:color="auto" w:fill="auto"/>
            <w:noWrap/>
            <w:vAlign w:val="bottom"/>
            <w:hideMark/>
          </w:tcPr>
          <w:p w14:paraId="65C628F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E1F45A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3673A88" w14:textId="77777777" w:rsidTr="004C5635">
        <w:trPr>
          <w:trHeight w:val="320"/>
        </w:trPr>
        <w:tc>
          <w:tcPr>
            <w:tcW w:w="3500" w:type="dxa"/>
            <w:shd w:val="clear" w:color="auto" w:fill="auto"/>
            <w:noWrap/>
            <w:vAlign w:val="bottom"/>
            <w:hideMark/>
          </w:tcPr>
          <w:p w14:paraId="574C458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Lethrinus sp.</w:t>
            </w:r>
          </w:p>
        </w:tc>
        <w:tc>
          <w:tcPr>
            <w:tcW w:w="1300" w:type="dxa"/>
            <w:shd w:val="clear" w:color="auto" w:fill="auto"/>
            <w:noWrap/>
            <w:vAlign w:val="bottom"/>
            <w:hideMark/>
          </w:tcPr>
          <w:p w14:paraId="241535C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CBDAB7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A6AB5BD" w14:textId="77777777" w:rsidTr="004C5635">
        <w:trPr>
          <w:trHeight w:val="320"/>
        </w:trPr>
        <w:tc>
          <w:tcPr>
            <w:tcW w:w="3500" w:type="dxa"/>
            <w:shd w:val="clear" w:color="auto" w:fill="auto"/>
            <w:noWrap/>
            <w:vAlign w:val="bottom"/>
            <w:hideMark/>
          </w:tcPr>
          <w:p w14:paraId="5A3D78D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Lutjanus carponotatus</w:t>
            </w:r>
          </w:p>
        </w:tc>
        <w:tc>
          <w:tcPr>
            <w:tcW w:w="1300" w:type="dxa"/>
            <w:shd w:val="clear" w:color="auto" w:fill="auto"/>
            <w:noWrap/>
            <w:vAlign w:val="bottom"/>
            <w:hideMark/>
          </w:tcPr>
          <w:p w14:paraId="0352305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316529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638EDDD" w14:textId="77777777" w:rsidTr="004C5635">
        <w:trPr>
          <w:trHeight w:val="320"/>
        </w:trPr>
        <w:tc>
          <w:tcPr>
            <w:tcW w:w="3500" w:type="dxa"/>
            <w:shd w:val="clear" w:color="auto" w:fill="auto"/>
            <w:noWrap/>
            <w:vAlign w:val="bottom"/>
            <w:hideMark/>
          </w:tcPr>
          <w:p w14:paraId="3ACAC01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Lutjanus fulviflamma</w:t>
            </w:r>
          </w:p>
        </w:tc>
        <w:tc>
          <w:tcPr>
            <w:tcW w:w="1300" w:type="dxa"/>
            <w:shd w:val="clear" w:color="auto" w:fill="auto"/>
            <w:noWrap/>
            <w:vAlign w:val="bottom"/>
            <w:hideMark/>
          </w:tcPr>
          <w:p w14:paraId="0F37F98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16DA3F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78F7E22E" w14:textId="77777777" w:rsidTr="004C5635">
        <w:trPr>
          <w:trHeight w:val="320"/>
        </w:trPr>
        <w:tc>
          <w:tcPr>
            <w:tcW w:w="3500" w:type="dxa"/>
            <w:shd w:val="clear" w:color="auto" w:fill="auto"/>
            <w:noWrap/>
            <w:vAlign w:val="bottom"/>
            <w:hideMark/>
          </w:tcPr>
          <w:p w14:paraId="2109FFB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Lutjanus lemniscatus</w:t>
            </w:r>
          </w:p>
        </w:tc>
        <w:tc>
          <w:tcPr>
            <w:tcW w:w="1300" w:type="dxa"/>
            <w:shd w:val="clear" w:color="auto" w:fill="auto"/>
            <w:noWrap/>
            <w:vAlign w:val="bottom"/>
            <w:hideMark/>
          </w:tcPr>
          <w:p w14:paraId="17A4E84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C70A85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31E28E9" w14:textId="77777777" w:rsidTr="004C5635">
        <w:trPr>
          <w:trHeight w:val="320"/>
        </w:trPr>
        <w:tc>
          <w:tcPr>
            <w:tcW w:w="3500" w:type="dxa"/>
            <w:shd w:val="clear" w:color="auto" w:fill="auto"/>
            <w:noWrap/>
            <w:vAlign w:val="bottom"/>
            <w:hideMark/>
          </w:tcPr>
          <w:p w14:paraId="58ACFC3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Monotaxis grandoculis</w:t>
            </w:r>
          </w:p>
        </w:tc>
        <w:tc>
          <w:tcPr>
            <w:tcW w:w="1300" w:type="dxa"/>
            <w:shd w:val="clear" w:color="auto" w:fill="auto"/>
            <w:noWrap/>
            <w:vAlign w:val="bottom"/>
            <w:hideMark/>
          </w:tcPr>
          <w:p w14:paraId="7F54AD6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E8D706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F3F7A34" w14:textId="77777777" w:rsidTr="004C5635">
        <w:trPr>
          <w:trHeight w:val="320"/>
        </w:trPr>
        <w:tc>
          <w:tcPr>
            <w:tcW w:w="3500" w:type="dxa"/>
            <w:shd w:val="clear" w:color="auto" w:fill="auto"/>
            <w:noWrap/>
            <w:vAlign w:val="bottom"/>
            <w:hideMark/>
          </w:tcPr>
          <w:p w14:paraId="77145878"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Naso annulatus</w:t>
            </w:r>
          </w:p>
        </w:tc>
        <w:tc>
          <w:tcPr>
            <w:tcW w:w="1300" w:type="dxa"/>
            <w:shd w:val="clear" w:color="auto" w:fill="auto"/>
            <w:noWrap/>
            <w:vAlign w:val="bottom"/>
            <w:hideMark/>
          </w:tcPr>
          <w:p w14:paraId="6292EE0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9C254E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5169AD9" w14:textId="77777777" w:rsidTr="004C5635">
        <w:trPr>
          <w:trHeight w:val="320"/>
        </w:trPr>
        <w:tc>
          <w:tcPr>
            <w:tcW w:w="3500" w:type="dxa"/>
            <w:shd w:val="clear" w:color="auto" w:fill="auto"/>
            <w:noWrap/>
            <w:vAlign w:val="bottom"/>
            <w:hideMark/>
          </w:tcPr>
          <w:p w14:paraId="714012C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Naso unicornis</w:t>
            </w:r>
          </w:p>
        </w:tc>
        <w:tc>
          <w:tcPr>
            <w:tcW w:w="1300" w:type="dxa"/>
            <w:shd w:val="clear" w:color="auto" w:fill="auto"/>
            <w:noWrap/>
            <w:vAlign w:val="bottom"/>
            <w:hideMark/>
          </w:tcPr>
          <w:p w14:paraId="421C455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19BE7C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E34C40D" w14:textId="77777777" w:rsidTr="004C5635">
        <w:trPr>
          <w:trHeight w:val="320"/>
        </w:trPr>
        <w:tc>
          <w:tcPr>
            <w:tcW w:w="3500" w:type="dxa"/>
            <w:shd w:val="clear" w:color="auto" w:fill="auto"/>
            <w:noWrap/>
            <w:vAlign w:val="bottom"/>
            <w:hideMark/>
          </w:tcPr>
          <w:p w14:paraId="2F3F587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Negaprion acutidens</w:t>
            </w:r>
          </w:p>
        </w:tc>
        <w:tc>
          <w:tcPr>
            <w:tcW w:w="1300" w:type="dxa"/>
            <w:shd w:val="clear" w:color="auto" w:fill="auto"/>
            <w:noWrap/>
            <w:vAlign w:val="bottom"/>
            <w:hideMark/>
          </w:tcPr>
          <w:p w14:paraId="2C319AB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608E48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24651F85" w14:textId="77777777" w:rsidTr="004C5635">
        <w:trPr>
          <w:trHeight w:val="320"/>
        </w:trPr>
        <w:tc>
          <w:tcPr>
            <w:tcW w:w="3500" w:type="dxa"/>
            <w:shd w:val="clear" w:color="auto" w:fill="auto"/>
            <w:noWrap/>
            <w:vAlign w:val="bottom"/>
            <w:hideMark/>
          </w:tcPr>
          <w:p w14:paraId="6951DD7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Neoglyphidodon melas</w:t>
            </w:r>
          </w:p>
        </w:tc>
        <w:tc>
          <w:tcPr>
            <w:tcW w:w="1300" w:type="dxa"/>
            <w:shd w:val="clear" w:color="auto" w:fill="auto"/>
            <w:noWrap/>
            <w:vAlign w:val="bottom"/>
            <w:hideMark/>
          </w:tcPr>
          <w:p w14:paraId="04AB228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457B91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B2E8934" w14:textId="77777777" w:rsidTr="004C5635">
        <w:trPr>
          <w:trHeight w:val="320"/>
        </w:trPr>
        <w:tc>
          <w:tcPr>
            <w:tcW w:w="3500" w:type="dxa"/>
            <w:shd w:val="clear" w:color="auto" w:fill="auto"/>
            <w:noWrap/>
            <w:vAlign w:val="bottom"/>
            <w:hideMark/>
          </w:tcPr>
          <w:p w14:paraId="5676FB92"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Neoglyphidodon polyacanthus</w:t>
            </w:r>
          </w:p>
        </w:tc>
        <w:tc>
          <w:tcPr>
            <w:tcW w:w="1300" w:type="dxa"/>
            <w:shd w:val="clear" w:color="auto" w:fill="auto"/>
            <w:noWrap/>
            <w:vAlign w:val="bottom"/>
            <w:hideMark/>
          </w:tcPr>
          <w:p w14:paraId="2D9DEA1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E2ACE0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BB23972" w14:textId="77777777" w:rsidTr="004C5635">
        <w:trPr>
          <w:trHeight w:val="320"/>
        </w:trPr>
        <w:tc>
          <w:tcPr>
            <w:tcW w:w="3500" w:type="dxa"/>
            <w:shd w:val="clear" w:color="auto" w:fill="auto"/>
            <w:noWrap/>
            <w:vAlign w:val="bottom"/>
            <w:hideMark/>
          </w:tcPr>
          <w:p w14:paraId="7352859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Ogilbina queenslandie</w:t>
            </w:r>
          </w:p>
        </w:tc>
        <w:tc>
          <w:tcPr>
            <w:tcW w:w="1300" w:type="dxa"/>
            <w:shd w:val="clear" w:color="auto" w:fill="auto"/>
            <w:noWrap/>
            <w:vAlign w:val="bottom"/>
            <w:hideMark/>
          </w:tcPr>
          <w:p w14:paraId="3FDC4C9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1725EF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44E5776" w14:textId="77777777" w:rsidTr="004C5635">
        <w:trPr>
          <w:trHeight w:val="320"/>
        </w:trPr>
        <w:tc>
          <w:tcPr>
            <w:tcW w:w="3500" w:type="dxa"/>
            <w:shd w:val="clear" w:color="auto" w:fill="auto"/>
            <w:noWrap/>
            <w:vAlign w:val="bottom"/>
            <w:hideMark/>
          </w:tcPr>
          <w:p w14:paraId="1F528CB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Ostracion cubicus</w:t>
            </w:r>
          </w:p>
        </w:tc>
        <w:tc>
          <w:tcPr>
            <w:tcW w:w="1300" w:type="dxa"/>
            <w:shd w:val="clear" w:color="auto" w:fill="auto"/>
            <w:noWrap/>
            <w:vAlign w:val="bottom"/>
            <w:hideMark/>
          </w:tcPr>
          <w:p w14:paraId="3CED976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1D5DB6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5965A85" w14:textId="77777777" w:rsidTr="004C5635">
        <w:trPr>
          <w:trHeight w:val="320"/>
        </w:trPr>
        <w:tc>
          <w:tcPr>
            <w:tcW w:w="3500" w:type="dxa"/>
            <w:shd w:val="clear" w:color="auto" w:fill="auto"/>
            <w:noWrap/>
            <w:vAlign w:val="bottom"/>
            <w:hideMark/>
          </w:tcPr>
          <w:p w14:paraId="4C7DEBF6"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Parapercis sp.</w:t>
            </w:r>
          </w:p>
        </w:tc>
        <w:tc>
          <w:tcPr>
            <w:tcW w:w="1300" w:type="dxa"/>
            <w:shd w:val="clear" w:color="auto" w:fill="auto"/>
            <w:noWrap/>
            <w:vAlign w:val="bottom"/>
            <w:hideMark/>
          </w:tcPr>
          <w:p w14:paraId="15D21FA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914949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E98E5C7" w14:textId="77777777" w:rsidTr="004C5635">
        <w:trPr>
          <w:trHeight w:val="320"/>
        </w:trPr>
        <w:tc>
          <w:tcPr>
            <w:tcW w:w="3500" w:type="dxa"/>
            <w:shd w:val="clear" w:color="auto" w:fill="auto"/>
            <w:noWrap/>
            <w:vAlign w:val="bottom"/>
            <w:hideMark/>
          </w:tcPr>
          <w:p w14:paraId="541B9A7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Parrotfish  </w:t>
            </w:r>
          </w:p>
        </w:tc>
        <w:tc>
          <w:tcPr>
            <w:tcW w:w="1300" w:type="dxa"/>
            <w:shd w:val="clear" w:color="auto" w:fill="auto"/>
            <w:noWrap/>
            <w:vAlign w:val="bottom"/>
            <w:hideMark/>
          </w:tcPr>
          <w:p w14:paraId="42010A7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CFB452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647AC8C" w14:textId="77777777" w:rsidTr="004C5635">
        <w:trPr>
          <w:trHeight w:val="320"/>
        </w:trPr>
        <w:tc>
          <w:tcPr>
            <w:tcW w:w="3500" w:type="dxa"/>
            <w:shd w:val="clear" w:color="auto" w:fill="auto"/>
            <w:noWrap/>
            <w:vAlign w:val="bottom"/>
            <w:hideMark/>
          </w:tcPr>
          <w:p w14:paraId="1AB3B96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Pipefish  </w:t>
            </w:r>
          </w:p>
        </w:tc>
        <w:tc>
          <w:tcPr>
            <w:tcW w:w="1300" w:type="dxa"/>
            <w:shd w:val="clear" w:color="auto" w:fill="auto"/>
            <w:noWrap/>
            <w:vAlign w:val="bottom"/>
            <w:hideMark/>
          </w:tcPr>
          <w:p w14:paraId="7BDC10B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479F8B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32B99AE0" w14:textId="77777777" w:rsidTr="004C5635">
        <w:trPr>
          <w:trHeight w:val="320"/>
        </w:trPr>
        <w:tc>
          <w:tcPr>
            <w:tcW w:w="3500" w:type="dxa"/>
            <w:shd w:val="clear" w:color="auto" w:fill="auto"/>
            <w:noWrap/>
            <w:vAlign w:val="bottom"/>
            <w:hideMark/>
          </w:tcPr>
          <w:p w14:paraId="56B33A72"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 xml:space="preserve">Platax </w:t>
            </w:r>
            <w:r w:rsidRPr="00B90197">
              <w:t>sp.</w:t>
            </w:r>
          </w:p>
        </w:tc>
        <w:tc>
          <w:tcPr>
            <w:tcW w:w="1300" w:type="dxa"/>
            <w:shd w:val="clear" w:color="auto" w:fill="auto"/>
            <w:noWrap/>
            <w:vAlign w:val="bottom"/>
            <w:hideMark/>
          </w:tcPr>
          <w:p w14:paraId="34D5FB1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100F36E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3BDD6AEE" w14:textId="77777777" w:rsidTr="004C5635">
        <w:trPr>
          <w:trHeight w:val="320"/>
        </w:trPr>
        <w:tc>
          <w:tcPr>
            <w:tcW w:w="3500" w:type="dxa"/>
            <w:shd w:val="clear" w:color="auto" w:fill="auto"/>
            <w:noWrap/>
            <w:vAlign w:val="bottom"/>
            <w:hideMark/>
          </w:tcPr>
          <w:p w14:paraId="1577593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Plectorhinchus albovittatus</w:t>
            </w:r>
          </w:p>
        </w:tc>
        <w:tc>
          <w:tcPr>
            <w:tcW w:w="1300" w:type="dxa"/>
            <w:shd w:val="clear" w:color="auto" w:fill="auto"/>
            <w:noWrap/>
            <w:vAlign w:val="bottom"/>
            <w:hideMark/>
          </w:tcPr>
          <w:p w14:paraId="1EA77F8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AD36BD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2BFFEFE" w14:textId="77777777" w:rsidTr="004C5635">
        <w:trPr>
          <w:trHeight w:val="320"/>
        </w:trPr>
        <w:tc>
          <w:tcPr>
            <w:tcW w:w="3500" w:type="dxa"/>
            <w:shd w:val="clear" w:color="auto" w:fill="auto"/>
            <w:noWrap/>
            <w:vAlign w:val="bottom"/>
            <w:hideMark/>
          </w:tcPr>
          <w:p w14:paraId="385BF30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Plectorhinchus </w:t>
            </w:r>
            <w:r w:rsidRPr="00B90197">
              <w:t>sp</w:t>
            </w:r>
            <w:r w:rsidRPr="00B90197">
              <w:rPr>
                <w:i/>
              </w:rPr>
              <w:t>.</w:t>
            </w:r>
          </w:p>
        </w:tc>
        <w:tc>
          <w:tcPr>
            <w:tcW w:w="1300" w:type="dxa"/>
            <w:shd w:val="clear" w:color="auto" w:fill="auto"/>
            <w:noWrap/>
            <w:vAlign w:val="bottom"/>
            <w:hideMark/>
          </w:tcPr>
          <w:p w14:paraId="3A87CAE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67F0A6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031DB7D" w14:textId="77777777" w:rsidTr="004C5635">
        <w:trPr>
          <w:trHeight w:val="320"/>
        </w:trPr>
        <w:tc>
          <w:tcPr>
            <w:tcW w:w="3500" w:type="dxa"/>
            <w:shd w:val="clear" w:color="auto" w:fill="auto"/>
            <w:noWrap/>
            <w:vAlign w:val="bottom"/>
            <w:hideMark/>
          </w:tcPr>
          <w:p w14:paraId="2AA638B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Plectropomus </w:t>
            </w:r>
            <w:r w:rsidRPr="00B90197">
              <w:t>sp.</w:t>
            </w:r>
          </w:p>
        </w:tc>
        <w:tc>
          <w:tcPr>
            <w:tcW w:w="1300" w:type="dxa"/>
            <w:shd w:val="clear" w:color="auto" w:fill="auto"/>
            <w:noWrap/>
            <w:vAlign w:val="bottom"/>
            <w:hideMark/>
          </w:tcPr>
          <w:p w14:paraId="45DB2B5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41A4E1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01CF03E" w14:textId="77777777" w:rsidTr="004C5635">
        <w:trPr>
          <w:trHeight w:val="320"/>
        </w:trPr>
        <w:tc>
          <w:tcPr>
            <w:tcW w:w="3500" w:type="dxa"/>
            <w:shd w:val="clear" w:color="auto" w:fill="auto"/>
            <w:noWrap/>
            <w:vAlign w:val="bottom"/>
            <w:hideMark/>
          </w:tcPr>
          <w:p w14:paraId="13BE00D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Pomacanthus sextriatus</w:t>
            </w:r>
          </w:p>
        </w:tc>
        <w:tc>
          <w:tcPr>
            <w:tcW w:w="1300" w:type="dxa"/>
            <w:shd w:val="clear" w:color="auto" w:fill="auto"/>
            <w:noWrap/>
            <w:vAlign w:val="bottom"/>
            <w:hideMark/>
          </w:tcPr>
          <w:p w14:paraId="7B31DA1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288AB3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8A4108D" w14:textId="77777777" w:rsidTr="004C5635">
        <w:trPr>
          <w:trHeight w:val="320"/>
        </w:trPr>
        <w:tc>
          <w:tcPr>
            <w:tcW w:w="3500" w:type="dxa"/>
            <w:shd w:val="clear" w:color="auto" w:fill="auto"/>
            <w:noWrap/>
            <w:vAlign w:val="bottom"/>
            <w:hideMark/>
          </w:tcPr>
          <w:p w14:paraId="413921C9"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Pomacentrus amboinensis</w:t>
            </w:r>
          </w:p>
        </w:tc>
        <w:tc>
          <w:tcPr>
            <w:tcW w:w="1300" w:type="dxa"/>
            <w:shd w:val="clear" w:color="auto" w:fill="auto"/>
            <w:noWrap/>
            <w:vAlign w:val="bottom"/>
            <w:hideMark/>
          </w:tcPr>
          <w:p w14:paraId="47D1FCC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DDA3EB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DD7D8F2" w14:textId="77777777" w:rsidTr="004C5635">
        <w:trPr>
          <w:trHeight w:val="320"/>
        </w:trPr>
        <w:tc>
          <w:tcPr>
            <w:tcW w:w="3500" w:type="dxa"/>
            <w:shd w:val="clear" w:color="auto" w:fill="auto"/>
            <w:noWrap/>
            <w:vAlign w:val="bottom"/>
            <w:hideMark/>
          </w:tcPr>
          <w:p w14:paraId="691BBB8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Pomacentrus australis</w:t>
            </w:r>
          </w:p>
        </w:tc>
        <w:tc>
          <w:tcPr>
            <w:tcW w:w="1300" w:type="dxa"/>
            <w:shd w:val="clear" w:color="auto" w:fill="auto"/>
            <w:noWrap/>
            <w:vAlign w:val="bottom"/>
            <w:hideMark/>
          </w:tcPr>
          <w:p w14:paraId="67F6F14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7922D1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7334F2A2" w14:textId="77777777" w:rsidTr="004C5635">
        <w:trPr>
          <w:trHeight w:val="320"/>
        </w:trPr>
        <w:tc>
          <w:tcPr>
            <w:tcW w:w="3500" w:type="dxa"/>
            <w:shd w:val="clear" w:color="auto" w:fill="auto"/>
            <w:noWrap/>
            <w:vAlign w:val="bottom"/>
            <w:hideMark/>
          </w:tcPr>
          <w:p w14:paraId="2CAA616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Pomacentrus molluccensis</w:t>
            </w:r>
          </w:p>
        </w:tc>
        <w:tc>
          <w:tcPr>
            <w:tcW w:w="1300" w:type="dxa"/>
            <w:shd w:val="clear" w:color="auto" w:fill="auto"/>
            <w:noWrap/>
            <w:vAlign w:val="bottom"/>
            <w:hideMark/>
          </w:tcPr>
          <w:p w14:paraId="1F66993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E0F7CD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DD7DBFC" w14:textId="77777777" w:rsidTr="004C5635">
        <w:trPr>
          <w:trHeight w:val="320"/>
        </w:trPr>
        <w:tc>
          <w:tcPr>
            <w:tcW w:w="3500" w:type="dxa"/>
            <w:shd w:val="clear" w:color="auto" w:fill="auto"/>
            <w:noWrap/>
            <w:vAlign w:val="bottom"/>
            <w:hideMark/>
          </w:tcPr>
          <w:p w14:paraId="514D2956"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Pomacentrus </w:t>
            </w:r>
            <w:r w:rsidRPr="00B90197">
              <w:t>sp.</w:t>
            </w:r>
          </w:p>
        </w:tc>
        <w:tc>
          <w:tcPr>
            <w:tcW w:w="1300" w:type="dxa"/>
            <w:shd w:val="clear" w:color="auto" w:fill="auto"/>
            <w:noWrap/>
            <w:vAlign w:val="bottom"/>
            <w:hideMark/>
          </w:tcPr>
          <w:p w14:paraId="1837A51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29C4CC2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919F279" w14:textId="77777777" w:rsidTr="004C5635">
        <w:trPr>
          <w:trHeight w:val="320"/>
        </w:trPr>
        <w:tc>
          <w:tcPr>
            <w:tcW w:w="3500" w:type="dxa"/>
            <w:shd w:val="clear" w:color="auto" w:fill="auto"/>
            <w:noWrap/>
            <w:vAlign w:val="bottom"/>
            <w:hideMark/>
          </w:tcPr>
          <w:p w14:paraId="5D1F561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Ptereleotris </w:t>
            </w:r>
            <w:r w:rsidRPr="00B90197">
              <w:t>sp.</w:t>
            </w:r>
          </w:p>
        </w:tc>
        <w:tc>
          <w:tcPr>
            <w:tcW w:w="1300" w:type="dxa"/>
            <w:shd w:val="clear" w:color="auto" w:fill="auto"/>
            <w:noWrap/>
            <w:vAlign w:val="bottom"/>
            <w:hideMark/>
          </w:tcPr>
          <w:p w14:paraId="1637BB9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324E2B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D18ECE5" w14:textId="77777777" w:rsidTr="004C5635">
        <w:trPr>
          <w:trHeight w:val="320"/>
        </w:trPr>
        <w:tc>
          <w:tcPr>
            <w:tcW w:w="3500" w:type="dxa"/>
            <w:shd w:val="clear" w:color="auto" w:fill="auto"/>
            <w:noWrap/>
            <w:vAlign w:val="bottom"/>
            <w:hideMark/>
          </w:tcPr>
          <w:p w14:paraId="2377F92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Rachycentrum canadum</w:t>
            </w:r>
          </w:p>
        </w:tc>
        <w:tc>
          <w:tcPr>
            <w:tcW w:w="1300" w:type="dxa"/>
            <w:shd w:val="clear" w:color="auto" w:fill="auto"/>
            <w:noWrap/>
            <w:vAlign w:val="bottom"/>
            <w:hideMark/>
          </w:tcPr>
          <w:p w14:paraId="4C9D336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45CA4DD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8C2AB30" w14:textId="77777777" w:rsidTr="004C5635">
        <w:trPr>
          <w:trHeight w:val="320"/>
        </w:trPr>
        <w:tc>
          <w:tcPr>
            <w:tcW w:w="3500" w:type="dxa"/>
            <w:shd w:val="clear" w:color="auto" w:fill="auto"/>
            <w:noWrap/>
            <w:vAlign w:val="bottom"/>
            <w:hideMark/>
          </w:tcPr>
          <w:p w14:paraId="40450B7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Sardines  </w:t>
            </w:r>
          </w:p>
        </w:tc>
        <w:tc>
          <w:tcPr>
            <w:tcW w:w="1300" w:type="dxa"/>
            <w:shd w:val="clear" w:color="auto" w:fill="auto"/>
            <w:noWrap/>
            <w:vAlign w:val="bottom"/>
            <w:hideMark/>
          </w:tcPr>
          <w:p w14:paraId="33D4F0C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0B26C0E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29B9A1D9" w14:textId="77777777" w:rsidTr="004C5635">
        <w:trPr>
          <w:trHeight w:val="320"/>
        </w:trPr>
        <w:tc>
          <w:tcPr>
            <w:tcW w:w="3500" w:type="dxa"/>
            <w:shd w:val="clear" w:color="auto" w:fill="auto"/>
            <w:noWrap/>
            <w:vAlign w:val="bottom"/>
            <w:hideMark/>
          </w:tcPr>
          <w:p w14:paraId="0F2E51C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Scolopsis bilineatus</w:t>
            </w:r>
          </w:p>
        </w:tc>
        <w:tc>
          <w:tcPr>
            <w:tcW w:w="1300" w:type="dxa"/>
            <w:shd w:val="clear" w:color="auto" w:fill="auto"/>
            <w:noWrap/>
            <w:vAlign w:val="bottom"/>
            <w:hideMark/>
          </w:tcPr>
          <w:p w14:paraId="7F03934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737260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F8A88B4" w14:textId="77777777" w:rsidTr="004C5635">
        <w:trPr>
          <w:trHeight w:val="320"/>
        </w:trPr>
        <w:tc>
          <w:tcPr>
            <w:tcW w:w="3500" w:type="dxa"/>
            <w:shd w:val="clear" w:color="auto" w:fill="auto"/>
            <w:noWrap/>
            <w:vAlign w:val="bottom"/>
            <w:hideMark/>
          </w:tcPr>
          <w:p w14:paraId="5182BF1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Scolopsis margaritifer</w:t>
            </w:r>
          </w:p>
        </w:tc>
        <w:tc>
          <w:tcPr>
            <w:tcW w:w="1300" w:type="dxa"/>
            <w:shd w:val="clear" w:color="auto" w:fill="auto"/>
            <w:noWrap/>
            <w:vAlign w:val="bottom"/>
            <w:hideMark/>
          </w:tcPr>
          <w:p w14:paraId="1FEAF86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4496A9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721EAD1" w14:textId="77777777" w:rsidTr="004C5635">
        <w:trPr>
          <w:trHeight w:val="320"/>
        </w:trPr>
        <w:tc>
          <w:tcPr>
            <w:tcW w:w="3500" w:type="dxa"/>
            <w:shd w:val="clear" w:color="auto" w:fill="auto"/>
            <w:noWrap/>
            <w:vAlign w:val="bottom"/>
            <w:hideMark/>
          </w:tcPr>
          <w:p w14:paraId="60AB5288"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Scolopsis monogramma</w:t>
            </w:r>
          </w:p>
        </w:tc>
        <w:tc>
          <w:tcPr>
            <w:tcW w:w="1300" w:type="dxa"/>
            <w:shd w:val="clear" w:color="auto" w:fill="auto"/>
            <w:noWrap/>
            <w:vAlign w:val="bottom"/>
            <w:hideMark/>
          </w:tcPr>
          <w:p w14:paraId="278A0FE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690413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31AA188" w14:textId="77777777" w:rsidTr="004C5635">
        <w:trPr>
          <w:trHeight w:val="320"/>
        </w:trPr>
        <w:tc>
          <w:tcPr>
            <w:tcW w:w="3500" w:type="dxa"/>
            <w:shd w:val="clear" w:color="auto" w:fill="auto"/>
            <w:noWrap/>
            <w:vAlign w:val="bottom"/>
            <w:hideMark/>
          </w:tcPr>
          <w:p w14:paraId="0B3A0AB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Scolopsis taeniopterus</w:t>
            </w:r>
          </w:p>
        </w:tc>
        <w:tc>
          <w:tcPr>
            <w:tcW w:w="1300" w:type="dxa"/>
            <w:shd w:val="clear" w:color="auto" w:fill="auto"/>
            <w:noWrap/>
            <w:vAlign w:val="bottom"/>
            <w:hideMark/>
          </w:tcPr>
          <w:p w14:paraId="4CB9466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ACE9AE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72D4A79" w14:textId="77777777" w:rsidTr="004C5635">
        <w:trPr>
          <w:trHeight w:val="320"/>
        </w:trPr>
        <w:tc>
          <w:tcPr>
            <w:tcW w:w="3500" w:type="dxa"/>
            <w:shd w:val="clear" w:color="auto" w:fill="auto"/>
            <w:noWrap/>
            <w:vAlign w:val="bottom"/>
            <w:hideMark/>
          </w:tcPr>
          <w:p w14:paraId="0FB3CF0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Sea cucumber  </w:t>
            </w:r>
          </w:p>
        </w:tc>
        <w:tc>
          <w:tcPr>
            <w:tcW w:w="1300" w:type="dxa"/>
            <w:shd w:val="clear" w:color="auto" w:fill="auto"/>
            <w:noWrap/>
            <w:vAlign w:val="bottom"/>
            <w:hideMark/>
          </w:tcPr>
          <w:p w14:paraId="0019F33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E95781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180B981" w14:textId="77777777" w:rsidTr="004C5635">
        <w:trPr>
          <w:trHeight w:val="320"/>
        </w:trPr>
        <w:tc>
          <w:tcPr>
            <w:tcW w:w="3500" w:type="dxa"/>
            <w:shd w:val="clear" w:color="auto" w:fill="auto"/>
            <w:noWrap/>
            <w:vAlign w:val="bottom"/>
            <w:hideMark/>
          </w:tcPr>
          <w:p w14:paraId="2F8EE11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Sea Turtle  </w:t>
            </w:r>
          </w:p>
        </w:tc>
        <w:tc>
          <w:tcPr>
            <w:tcW w:w="1300" w:type="dxa"/>
            <w:shd w:val="clear" w:color="auto" w:fill="auto"/>
            <w:noWrap/>
            <w:vAlign w:val="bottom"/>
            <w:hideMark/>
          </w:tcPr>
          <w:p w14:paraId="175E271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20E813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4FCC0BC2" w14:textId="77777777" w:rsidTr="004C5635">
        <w:trPr>
          <w:trHeight w:val="320"/>
        </w:trPr>
        <w:tc>
          <w:tcPr>
            <w:tcW w:w="3500" w:type="dxa"/>
            <w:shd w:val="clear" w:color="auto" w:fill="auto"/>
            <w:noWrap/>
            <w:vAlign w:val="bottom"/>
            <w:hideMark/>
          </w:tcPr>
          <w:p w14:paraId="52597A7B" w14:textId="77777777" w:rsidR="000377B5" w:rsidRPr="00B90197" w:rsidRDefault="000377B5" w:rsidP="004C5635">
            <w:pPr>
              <w:widowControl w:val="0"/>
              <w:autoSpaceDE w:val="0"/>
              <w:autoSpaceDN w:val="0"/>
              <w:adjustRightInd w:val="0"/>
              <w:spacing w:before="100" w:after="100" w:line="480" w:lineRule="auto"/>
              <w:ind w:left="480" w:hanging="480"/>
            </w:pPr>
            <w:r w:rsidRPr="00B90197">
              <w:lastRenderedPageBreak/>
              <w:t xml:space="preserve">Un. Ray  </w:t>
            </w:r>
          </w:p>
        </w:tc>
        <w:tc>
          <w:tcPr>
            <w:tcW w:w="1300" w:type="dxa"/>
            <w:shd w:val="clear" w:color="auto" w:fill="auto"/>
            <w:noWrap/>
            <w:vAlign w:val="bottom"/>
            <w:hideMark/>
          </w:tcPr>
          <w:p w14:paraId="4DBC9AB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578977F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1A73FCD" w14:textId="77777777" w:rsidTr="004C5635">
        <w:trPr>
          <w:trHeight w:val="320"/>
        </w:trPr>
        <w:tc>
          <w:tcPr>
            <w:tcW w:w="3500" w:type="dxa"/>
            <w:shd w:val="clear" w:color="auto" w:fill="auto"/>
            <w:noWrap/>
            <w:vAlign w:val="bottom"/>
            <w:hideMark/>
          </w:tcPr>
          <w:p w14:paraId="61EBE0D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canaliculatus</w:t>
            </w:r>
          </w:p>
        </w:tc>
        <w:tc>
          <w:tcPr>
            <w:tcW w:w="1300" w:type="dxa"/>
            <w:shd w:val="clear" w:color="auto" w:fill="auto"/>
            <w:noWrap/>
            <w:vAlign w:val="bottom"/>
            <w:hideMark/>
          </w:tcPr>
          <w:p w14:paraId="311CE63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CB833C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468F24F7" w14:textId="77777777" w:rsidTr="004C5635">
        <w:trPr>
          <w:trHeight w:val="320"/>
        </w:trPr>
        <w:tc>
          <w:tcPr>
            <w:tcW w:w="3500" w:type="dxa"/>
            <w:shd w:val="clear" w:color="auto" w:fill="auto"/>
            <w:noWrap/>
            <w:vAlign w:val="bottom"/>
            <w:hideMark/>
          </w:tcPr>
          <w:p w14:paraId="08473B2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doliatus</w:t>
            </w:r>
          </w:p>
        </w:tc>
        <w:tc>
          <w:tcPr>
            <w:tcW w:w="1300" w:type="dxa"/>
            <w:shd w:val="clear" w:color="auto" w:fill="auto"/>
            <w:noWrap/>
            <w:vAlign w:val="bottom"/>
            <w:hideMark/>
          </w:tcPr>
          <w:p w14:paraId="2FB5B41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8CAC90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2D2A268D" w14:textId="77777777" w:rsidTr="004C5635">
        <w:trPr>
          <w:trHeight w:val="320"/>
        </w:trPr>
        <w:tc>
          <w:tcPr>
            <w:tcW w:w="3500" w:type="dxa"/>
            <w:shd w:val="clear" w:color="auto" w:fill="auto"/>
            <w:noWrap/>
            <w:vAlign w:val="bottom"/>
            <w:hideMark/>
          </w:tcPr>
          <w:p w14:paraId="7C89ECD8"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fuscescens</w:t>
            </w:r>
          </w:p>
        </w:tc>
        <w:tc>
          <w:tcPr>
            <w:tcW w:w="1300" w:type="dxa"/>
            <w:shd w:val="clear" w:color="auto" w:fill="auto"/>
            <w:noWrap/>
            <w:vAlign w:val="bottom"/>
            <w:hideMark/>
          </w:tcPr>
          <w:p w14:paraId="525027D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815F37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D57C136" w14:textId="77777777" w:rsidTr="004C5635">
        <w:trPr>
          <w:trHeight w:val="320"/>
        </w:trPr>
        <w:tc>
          <w:tcPr>
            <w:tcW w:w="3500" w:type="dxa"/>
            <w:shd w:val="clear" w:color="auto" w:fill="auto"/>
            <w:noWrap/>
            <w:vAlign w:val="bottom"/>
            <w:hideMark/>
          </w:tcPr>
          <w:p w14:paraId="4515AE89"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lineatus</w:t>
            </w:r>
          </w:p>
        </w:tc>
        <w:tc>
          <w:tcPr>
            <w:tcW w:w="1300" w:type="dxa"/>
            <w:shd w:val="clear" w:color="auto" w:fill="auto"/>
            <w:noWrap/>
            <w:vAlign w:val="bottom"/>
            <w:hideMark/>
          </w:tcPr>
          <w:p w14:paraId="6BD5AA4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EF1CD2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405A484" w14:textId="77777777" w:rsidTr="004C5635">
        <w:trPr>
          <w:trHeight w:val="320"/>
        </w:trPr>
        <w:tc>
          <w:tcPr>
            <w:tcW w:w="3500" w:type="dxa"/>
            <w:shd w:val="clear" w:color="auto" w:fill="auto"/>
            <w:noWrap/>
            <w:vAlign w:val="bottom"/>
            <w:hideMark/>
          </w:tcPr>
          <w:p w14:paraId="4A9BF41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puellus</w:t>
            </w:r>
          </w:p>
        </w:tc>
        <w:tc>
          <w:tcPr>
            <w:tcW w:w="1300" w:type="dxa"/>
            <w:shd w:val="clear" w:color="auto" w:fill="auto"/>
            <w:noWrap/>
            <w:vAlign w:val="bottom"/>
            <w:hideMark/>
          </w:tcPr>
          <w:p w14:paraId="5BEF9DB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281AE3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325B312" w14:textId="77777777" w:rsidTr="004C5635">
        <w:trPr>
          <w:trHeight w:val="320"/>
        </w:trPr>
        <w:tc>
          <w:tcPr>
            <w:tcW w:w="3500" w:type="dxa"/>
            <w:shd w:val="clear" w:color="auto" w:fill="auto"/>
            <w:noWrap/>
            <w:vAlign w:val="bottom"/>
            <w:hideMark/>
          </w:tcPr>
          <w:p w14:paraId="37850D5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punctatissimus</w:t>
            </w:r>
          </w:p>
        </w:tc>
        <w:tc>
          <w:tcPr>
            <w:tcW w:w="1300" w:type="dxa"/>
            <w:shd w:val="clear" w:color="auto" w:fill="auto"/>
            <w:noWrap/>
            <w:vAlign w:val="bottom"/>
            <w:hideMark/>
          </w:tcPr>
          <w:p w14:paraId="065D444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3104B4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6E679A9" w14:textId="77777777" w:rsidTr="004C5635">
        <w:trPr>
          <w:trHeight w:val="320"/>
        </w:trPr>
        <w:tc>
          <w:tcPr>
            <w:tcW w:w="3500" w:type="dxa"/>
            <w:shd w:val="clear" w:color="auto" w:fill="auto"/>
            <w:noWrap/>
            <w:vAlign w:val="bottom"/>
            <w:hideMark/>
          </w:tcPr>
          <w:p w14:paraId="38539B2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Sphyraena </w:t>
            </w:r>
            <w:r w:rsidRPr="00B90197">
              <w:t>sp.</w:t>
            </w:r>
          </w:p>
        </w:tc>
        <w:tc>
          <w:tcPr>
            <w:tcW w:w="1300" w:type="dxa"/>
            <w:shd w:val="clear" w:color="auto" w:fill="auto"/>
            <w:noWrap/>
            <w:vAlign w:val="bottom"/>
            <w:hideMark/>
          </w:tcPr>
          <w:p w14:paraId="7A74B47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A3BE5A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1C54ABD" w14:textId="77777777" w:rsidTr="004C5635">
        <w:trPr>
          <w:trHeight w:val="320"/>
        </w:trPr>
        <w:tc>
          <w:tcPr>
            <w:tcW w:w="3500" w:type="dxa"/>
            <w:shd w:val="clear" w:color="auto" w:fill="auto"/>
            <w:noWrap/>
            <w:vAlign w:val="bottom"/>
            <w:hideMark/>
          </w:tcPr>
          <w:p w14:paraId="22D6062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Squids  </w:t>
            </w:r>
          </w:p>
        </w:tc>
        <w:tc>
          <w:tcPr>
            <w:tcW w:w="1300" w:type="dxa"/>
            <w:shd w:val="clear" w:color="auto" w:fill="auto"/>
            <w:noWrap/>
            <w:vAlign w:val="bottom"/>
            <w:hideMark/>
          </w:tcPr>
          <w:p w14:paraId="07B639F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74DA9CF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6D99EA8" w14:textId="77777777" w:rsidTr="004C5635">
        <w:trPr>
          <w:trHeight w:val="320"/>
        </w:trPr>
        <w:tc>
          <w:tcPr>
            <w:tcW w:w="3500" w:type="dxa"/>
            <w:shd w:val="clear" w:color="auto" w:fill="auto"/>
            <w:noWrap/>
            <w:vAlign w:val="bottom"/>
            <w:hideMark/>
          </w:tcPr>
          <w:p w14:paraId="08D0EA6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Stegastes apicalis</w:t>
            </w:r>
          </w:p>
        </w:tc>
        <w:tc>
          <w:tcPr>
            <w:tcW w:w="1300" w:type="dxa"/>
            <w:shd w:val="clear" w:color="auto" w:fill="auto"/>
            <w:noWrap/>
            <w:vAlign w:val="bottom"/>
            <w:hideMark/>
          </w:tcPr>
          <w:p w14:paraId="51BC948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A9A271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A256C20" w14:textId="77777777" w:rsidTr="004C5635">
        <w:trPr>
          <w:trHeight w:val="320"/>
        </w:trPr>
        <w:tc>
          <w:tcPr>
            <w:tcW w:w="3500" w:type="dxa"/>
            <w:shd w:val="clear" w:color="auto" w:fill="auto"/>
            <w:noWrap/>
            <w:vAlign w:val="bottom"/>
            <w:hideMark/>
          </w:tcPr>
          <w:p w14:paraId="35A8409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Stegastes </w:t>
            </w:r>
            <w:r w:rsidRPr="00B90197">
              <w:t>sp.</w:t>
            </w:r>
          </w:p>
        </w:tc>
        <w:tc>
          <w:tcPr>
            <w:tcW w:w="1300" w:type="dxa"/>
            <w:shd w:val="clear" w:color="auto" w:fill="auto"/>
            <w:noWrap/>
            <w:vAlign w:val="bottom"/>
            <w:hideMark/>
          </w:tcPr>
          <w:p w14:paraId="12C2A51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045359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7A9B726" w14:textId="77777777" w:rsidTr="004C5635">
        <w:trPr>
          <w:trHeight w:val="320"/>
        </w:trPr>
        <w:tc>
          <w:tcPr>
            <w:tcW w:w="3500" w:type="dxa"/>
            <w:shd w:val="clear" w:color="auto" w:fill="auto"/>
            <w:noWrap/>
            <w:vAlign w:val="bottom"/>
            <w:hideMark/>
          </w:tcPr>
          <w:p w14:paraId="58B1B6A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Un. Stingray</w:t>
            </w:r>
          </w:p>
        </w:tc>
        <w:tc>
          <w:tcPr>
            <w:tcW w:w="1300" w:type="dxa"/>
            <w:shd w:val="clear" w:color="auto" w:fill="auto"/>
            <w:noWrap/>
            <w:vAlign w:val="bottom"/>
            <w:hideMark/>
          </w:tcPr>
          <w:p w14:paraId="34BA0DC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0AE3EB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3A4B213" w14:textId="77777777" w:rsidTr="004C5635">
        <w:trPr>
          <w:trHeight w:val="320"/>
        </w:trPr>
        <w:tc>
          <w:tcPr>
            <w:tcW w:w="3500" w:type="dxa"/>
            <w:shd w:val="clear" w:color="auto" w:fill="auto"/>
            <w:noWrap/>
            <w:vAlign w:val="bottom"/>
            <w:hideMark/>
          </w:tcPr>
          <w:p w14:paraId="64E3E22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Symphorus nematophorus</w:t>
            </w:r>
          </w:p>
        </w:tc>
        <w:tc>
          <w:tcPr>
            <w:tcW w:w="1300" w:type="dxa"/>
            <w:shd w:val="clear" w:color="auto" w:fill="auto"/>
            <w:noWrap/>
            <w:vAlign w:val="bottom"/>
            <w:hideMark/>
          </w:tcPr>
          <w:p w14:paraId="1567D89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BED24A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35FAE63" w14:textId="77777777" w:rsidTr="004C5635">
        <w:trPr>
          <w:trHeight w:val="320"/>
        </w:trPr>
        <w:tc>
          <w:tcPr>
            <w:tcW w:w="3500" w:type="dxa"/>
            <w:shd w:val="clear" w:color="auto" w:fill="auto"/>
            <w:noWrap/>
            <w:vAlign w:val="bottom"/>
            <w:hideMark/>
          </w:tcPr>
          <w:p w14:paraId="405069B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Thalassoma  lunare</w:t>
            </w:r>
          </w:p>
        </w:tc>
        <w:tc>
          <w:tcPr>
            <w:tcW w:w="1300" w:type="dxa"/>
            <w:shd w:val="clear" w:color="auto" w:fill="auto"/>
            <w:noWrap/>
            <w:vAlign w:val="bottom"/>
            <w:hideMark/>
          </w:tcPr>
          <w:p w14:paraId="67F4005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6BD332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3BE46B0" w14:textId="77777777" w:rsidTr="004C5635">
        <w:trPr>
          <w:trHeight w:val="320"/>
        </w:trPr>
        <w:tc>
          <w:tcPr>
            <w:tcW w:w="3500" w:type="dxa"/>
            <w:shd w:val="clear" w:color="auto" w:fill="auto"/>
            <w:noWrap/>
            <w:vAlign w:val="bottom"/>
            <w:hideMark/>
          </w:tcPr>
          <w:p w14:paraId="38B202A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Thalassoma hardwicke</w:t>
            </w:r>
          </w:p>
        </w:tc>
        <w:tc>
          <w:tcPr>
            <w:tcW w:w="1300" w:type="dxa"/>
            <w:shd w:val="clear" w:color="auto" w:fill="auto"/>
            <w:noWrap/>
            <w:vAlign w:val="bottom"/>
            <w:hideMark/>
          </w:tcPr>
          <w:p w14:paraId="201C8FB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2C2518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ABD0F06" w14:textId="77777777" w:rsidTr="004C5635">
        <w:trPr>
          <w:trHeight w:val="320"/>
        </w:trPr>
        <w:tc>
          <w:tcPr>
            <w:tcW w:w="3500" w:type="dxa"/>
            <w:shd w:val="clear" w:color="auto" w:fill="auto"/>
            <w:noWrap/>
            <w:vAlign w:val="bottom"/>
            <w:hideMark/>
          </w:tcPr>
          <w:p w14:paraId="65AAB2F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Thalassoma lunare</w:t>
            </w:r>
          </w:p>
        </w:tc>
        <w:tc>
          <w:tcPr>
            <w:tcW w:w="1300" w:type="dxa"/>
            <w:shd w:val="clear" w:color="auto" w:fill="auto"/>
            <w:noWrap/>
            <w:vAlign w:val="bottom"/>
            <w:hideMark/>
          </w:tcPr>
          <w:p w14:paraId="609FB2C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99A2CF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24D2EFE" w14:textId="77777777" w:rsidTr="004C5635">
        <w:trPr>
          <w:trHeight w:val="320"/>
        </w:trPr>
        <w:tc>
          <w:tcPr>
            <w:tcW w:w="3500" w:type="dxa"/>
            <w:shd w:val="clear" w:color="auto" w:fill="auto"/>
            <w:noWrap/>
            <w:vAlign w:val="bottom"/>
            <w:hideMark/>
          </w:tcPr>
          <w:p w14:paraId="21F63199"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Thalassoma</w:t>
            </w:r>
            <w:r w:rsidRPr="00B90197">
              <w:t xml:space="preserve"> sp</w:t>
            </w:r>
            <w:r w:rsidRPr="00B90197">
              <w:rPr>
                <w:i/>
              </w:rPr>
              <w:t>.</w:t>
            </w:r>
          </w:p>
        </w:tc>
        <w:tc>
          <w:tcPr>
            <w:tcW w:w="1300" w:type="dxa"/>
            <w:shd w:val="clear" w:color="auto" w:fill="auto"/>
            <w:noWrap/>
            <w:vAlign w:val="bottom"/>
            <w:hideMark/>
          </w:tcPr>
          <w:p w14:paraId="7CD97AF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3E4E70E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778C103" w14:textId="77777777" w:rsidTr="004C5635">
        <w:trPr>
          <w:trHeight w:val="320"/>
        </w:trPr>
        <w:tc>
          <w:tcPr>
            <w:tcW w:w="3500" w:type="dxa"/>
            <w:shd w:val="clear" w:color="auto" w:fill="auto"/>
            <w:noWrap/>
            <w:vAlign w:val="bottom"/>
            <w:hideMark/>
          </w:tcPr>
          <w:p w14:paraId="4610BC8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Trachinocephalus myops</w:t>
            </w:r>
          </w:p>
        </w:tc>
        <w:tc>
          <w:tcPr>
            <w:tcW w:w="1300" w:type="dxa"/>
            <w:shd w:val="clear" w:color="auto" w:fill="auto"/>
            <w:noWrap/>
            <w:vAlign w:val="bottom"/>
            <w:hideMark/>
          </w:tcPr>
          <w:p w14:paraId="0B1CB93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67F9713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E6B44A5" w14:textId="77777777" w:rsidTr="004C5635">
        <w:trPr>
          <w:trHeight w:val="320"/>
        </w:trPr>
        <w:tc>
          <w:tcPr>
            <w:tcW w:w="3500" w:type="dxa"/>
            <w:shd w:val="clear" w:color="auto" w:fill="auto"/>
            <w:noWrap/>
            <w:vAlign w:val="bottom"/>
            <w:hideMark/>
          </w:tcPr>
          <w:p w14:paraId="1E918A3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Triaenodon obesus</w:t>
            </w:r>
          </w:p>
        </w:tc>
        <w:tc>
          <w:tcPr>
            <w:tcW w:w="1300" w:type="dxa"/>
            <w:shd w:val="clear" w:color="auto" w:fill="auto"/>
            <w:noWrap/>
            <w:vAlign w:val="bottom"/>
            <w:hideMark/>
          </w:tcPr>
          <w:p w14:paraId="5070896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853B59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2FF271CA" w14:textId="77777777" w:rsidTr="004C5635">
        <w:trPr>
          <w:trHeight w:val="320"/>
        </w:trPr>
        <w:tc>
          <w:tcPr>
            <w:tcW w:w="3500" w:type="dxa"/>
            <w:shd w:val="clear" w:color="auto" w:fill="auto"/>
            <w:noWrap/>
            <w:vAlign w:val="bottom"/>
            <w:hideMark/>
          </w:tcPr>
          <w:p w14:paraId="4435240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Labrids  </w:t>
            </w:r>
          </w:p>
        </w:tc>
        <w:tc>
          <w:tcPr>
            <w:tcW w:w="1300" w:type="dxa"/>
            <w:shd w:val="clear" w:color="auto" w:fill="auto"/>
            <w:noWrap/>
            <w:vAlign w:val="bottom"/>
            <w:hideMark/>
          </w:tcPr>
          <w:p w14:paraId="45B4730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6AD430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340AB7E" w14:textId="77777777" w:rsidTr="004C5635">
        <w:trPr>
          <w:trHeight w:val="320"/>
        </w:trPr>
        <w:tc>
          <w:tcPr>
            <w:tcW w:w="3500" w:type="dxa"/>
            <w:shd w:val="clear" w:color="auto" w:fill="auto"/>
            <w:noWrap/>
            <w:vAlign w:val="bottom"/>
            <w:hideMark/>
          </w:tcPr>
          <w:p w14:paraId="030415F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Pomacentrid  </w:t>
            </w:r>
          </w:p>
        </w:tc>
        <w:tc>
          <w:tcPr>
            <w:tcW w:w="1300" w:type="dxa"/>
            <w:shd w:val="clear" w:color="auto" w:fill="auto"/>
            <w:noWrap/>
            <w:vAlign w:val="bottom"/>
            <w:hideMark/>
          </w:tcPr>
          <w:p w14:paraId="4ECB9EC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497811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2FF177F" w14:textId="77777777" w:rsidTr="004C5635">
        <w:trPr>
          <w:trHeight w:val="320"/>
        </w:trPr>
        <w:tc>
          <w:tcPr>
            <w:tcW w:w="3500" w:type="dxa"/>
            <w:shd w:val="clear" w:color="auto" w:fill="auto"/>
            <w:noWrap/>
            <w:vAlign w:val="bottom"/>
            <w:hideMark/>
          </w:tcPr>
          <w:p w14:paraId="12FFF41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Sand goby  </w:t>
            </w:r>
          </w:p>
        </w:tc>
        <w:tc>
          <w:tcPr>
            <w:tcW w:w="1300" w:type="dxa"/>
            <w:shd w:val="clear" w:color="auto" w:fill="auto"/>
            <w:noWrap/>
            <w:vAlign w:val="bottom"/>
            <w:hideMark/>
          </w:tcPr>
          <w:p w14:paraId="0043DED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46C79DD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606205F" w14:textId="77777777" w:rsidTr="004C5635">
        <w:trPr>
          <w:trHeight w:val="320"/>
        </w:trPr>
        <w:tc>
          <w:tcPr>
            <w:tcW w:w="3500" w:type="dxa"/>
            <w:shd w:val="clear" w:color="auto" w:fill="auto"/>
            <w:noWrap/>
            <w:vAlign w:val="bottom"/>
            <w:hideMark/>
          </w:tcPr>
          <w:p w14:paraId="3F355BE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Shrimp goby  </w:t>
            </w:r>
          </w:p>
        </w:tc>
        <w:tc>
          <w:tcPr>
            <w:tcW w:w="1300" w:type="dxa"/>
            <w:shd w:val="clear" w:color="auto" w:fill="auto"/>
            <w:noWrap/>
            <w:vAlign w:val="bottom"/>
            <w:hideMark/>
          </w:tcPr>
          <w:p w14:paraId="7D143F1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0CC4D40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037CFAE" w14:textId="77777777" w:rsidTr="004C5635">
        <w:trPr>
          <w:trHeight w:val="320"/>
        </w:trPr>
        <w:tc>
          <w:tcPr>
            <w:tcW w:w="3500" w:type="dxa"/>
            <w:shd w:val="clear" w:color="auto" w:fill="auto"/>
            <w:noWrap/>
            <w:vAlign w:val="bottom"/>
            <w:hideMark/>
          </w:tcPr>
          <w:p w14:paraId="6414DFE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Valenciennea longipinnis</w:t>
            </w:r>
          </w:p>
        </w:tc>
        <w:tc>
          <w:tcPr>
            <w:tcW w:w="1300" w:type="dxa"/>
            <w:shd w:val="clear" w:color="auto" w:fill="auto"/>
            <w:noWrap/>
            <w:vAlign w:val="bottom"/>
            <w:hideMark/>
          </w:tcPr>
          <w:p w14:paraId="0FDFC4B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68B7C9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3E391476" w14:textId="77777777" w:rsidTr="004C5635">
        <w:trPr>
          <w:trHeight w:val="320"/>
        </w:trPr>
        <w:tc>
          <w:tcPr>
            <w:tcW w:w="3500" w:type="dxa"/>
            <w:shd w:val="clear" w:color="auto" w:fill="auto"/>
            <w:noWrap/>
            <w:vAlign w:val="bottom"/>
            <w:hideMark/>
          </w:tcPr>
          <w:p w14:paraId="7826EE5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Zebrasoma veliferum</w:t>
            </w:r>
          </w:p>
        </w:tc>
        <w:tc>
          <w:tcPr>
            <w:tcW w:w="1300" w:type="dxa"/>
            <w:shd w:val="clear" w:color="auto" w:fill="auto"/>
            <w:noWrap/>
            <w:vAlign w:val="bottom"/>
            <w:hideMark/>
          </w:tcPr>
          <w:p w14:paraId="08939A2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18D210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bl>
    <w:p w14:paraId="2ED2C391" w14:textId="77777777" w:rsidR="000377B5" w:rsidRPr="00B90197" w:rsidRDefault="000377B5" w:rsidP="000377B5">
      <w:pPr>
        <w:widowControl w:val="0"/>
        <w:autoSpaceDE w:val="0"/>
        <w:autoSpaceDN w:val="0"/>
        <w:adjustRightInd w:val="0"/>
        <w:spacing w:before="100" w:after="100" w:line="480" w:lineRule="auto"/>
        <w:ind w:left="480" w:hanging="480"/>
      </w:pPr>
    </w:p>
    <w:p w14:paraId="66A55D34" w14:textId="77777777" w:rsidR="000377B5" w:rsidRPr="00B90197" w:rsidRDefault="000377B5" w:rsidP="000377B5">
      <w:pPr>
        <w:rPr>
          <w:b/>
        </w:rPr>
      </w:pPr>
      <w:r w:rsidRPr="00B90197">
        <w:rPr>
          <w:b/>
        </w:rPr>
        <w:br w:type="page"/>
      </w:r>
    </w:p>
    <w:p w14:paraId="4B64650D" w14:textId="62C69DE7" w:rsidR="002A357F" w:rsidRPr="00742060" w:rsidRDefault="000377B5" w:rsidP="00742060">
      <w:pPr>
        <w:spacing w:line="480" w:lineRule="auto"/>
        <w:jc w:val="both"/>
        <w:outlineLvl w:val="0"/>
        <w:rPr>
          <w:b/>
        </w:rPr>
      </w:pPr>
      <w:r w:rsidRPr="00B90197">
        <w:rPr>
          <w:b/>
        </w:rPr>
        <w:lastRenderedPageBreak/>
        <w:t>Supplementary figures</w:t>
      </w:r>
    </w:p>
    <w:p w14:paraId="42A42554" w14:textId="78A484A6" w:rsidR="00F94A30" w:rsidRPr="00B90197" w:rsidRDefault="00F94A30" w:rsidP="0050080D">
      <w:pPr>
        <w:widowControl w:val="0"/>
        <w:autoSpaceDE w:val="0"/>
        <w:autoSpaceDN w:val="0"/>
        <w:adjustRightInd w:val="0"/>
        <w:spacing w:before="100" w:after="100" w:line="480" w:lineRule="auto"/>
      </w:pPr>
    </w:p>
    <w:p w14:paraId="1C2841BB" w14:textId="77777777" w:rsidR="000377B5" w:rsidRPr="00B90197" w:rsidRDefault="000377B5" w:rsidP="000377B5">
      <w:pPr>
        <w:spacing w:line="480" w:lineRule="auto"/>
        <w:outlineLvl w:val="0"/>
        <w:rPr>
          <w:i/>
        </w:rPr>
      </w:pPr>
    </w:p>
    <w:p w14:paraId="4F6E5702" w14:textId="77777777" w:rsidR="000377B5" w:rsidRPr="00B90197" w:rsidRDefault="000377B5" w:rsidP="000377B5">
      <w:pPr>
        <w:spacing w:line="480" w:lineRule="auto"/>
        <w:outlineLvl w:val="0"/>
      </w:pPr>
      <w:r w:rsidRPr="00B90197">
        <w:rPr>
          <w:noProof/>
          <w:lang w:eastAsia="en-GB"/>
        </w:rPr>
        <w:drawing>
          <wp:inline distT="0" distB="0" distL="0" distR="0" wp14:anchorId="28A7D79A" wp14:editId="3D22DE11">
            <wp:extent cx="2756535" cy="2608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d_byZone.pdf"/>
                    <pic:cNvPicPr/>
                  </pic:nvPicPr>
                  <pic:blipFill>
                    <a:blip r:embed="rId7">
                      <a:extLst>
                        <a:ext uri="{28A0092B-C50C-407E-A947-70E740481C1C}">
                          <a14:useLocalDpi xmlns:a14="http://schemas.microsoft.com/office/drawing/2010/main" val="0"/>
                        </a:ext>
                      </a:extLst>
                    </a:blip>
                    <a:stretch>
                      <a:fillRect/>
                    </a:stretch>
                  </pic:blipFill>
                  <pic:spPr>
                    <a:xfrm>
                      <a:off x="0" y="0"/>
                      <a:ext cx="2843088" cy="2690778"/>
                    </a:xfrm>
                    <a:prstGeom prst="rect">
                      <a:avLst/>
                    </a:prstGeom>
                  </pic:spPr>
                </pic:pic>
              </a:graphicData>
            </a:graphic>
          </wp:inline>
        </w:drawing>
      </w:r>
      <w:r w:rsidRPr="00B90197">
        <w:rPr>
          <w:noProof/>
          <w:lang w:eastAsia="en-GB"/>
        </w:rPr>
        <w:drawing>
          <wp:inline distT="0" distB="0" distL="0" distR="0" wp14:anchorId="067F2B85" wp14:editId="34AD4A60">
            <wp:extent cx="2868412" cy="2626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b2_byZone.pdf"/>
                    <pic:cNvPicPr/>
                  </pic:nvPicPr>
                  <pic:blipFill>
                    <a:blip r:embed="rId8">
                      <a:extLst>
                        <a:ext uri="{28A0092B-C50C-407E-A947-70E740481C1C}">
                          <a14:useLocalDpi xmlns:a14="http://schemas.microsoft.com/office/drawing/2010/main" val="0"/>
                        </a:ext>
                      </a:extLst>
                    </a:blip>
                    <a:stretch>
                      <a:fillRect/>
                    </a:stretch>
                  </pic:blipFill>
                  <pic:spPr>
                    <a:xfrm>
                      <a:off x="0" y="0"/>
                      <a:ext cx="2925937" cy="2678996"/>
                    </a:xfrm>
                    <a:prstGeom prst="rect">
                      <a:avLst/>
                    </a:prstGeom>
                  </pic:spPr>
                </pic:pic>
              </a:graphicData>
            </a:graphic>
          </wp:inline>
        </w:drawing>
      </w:r>
    </w:p>
    <w:p w14:paraId="570CCAC8" w14:textId="77777777" w:rsidR="000377B5" w:rsidRPr="00B90197" w:rsidRDefault="000377B5" w:rsidP="000377B5">
      <w:pPr>
        <w:spacing w:line="480" w:lineRule="auto"/>
        <w:outlineLvl w:val="0"/>
        <w:rPr>
          <w:i/>
        </w:rPr>
      </w:pPr>
    </w:p>
    <w:p w14:paraId="20CC3971" w14:textId="116DAA26" w:rsidR="000377B5" w:rsidRPr="00B90197" w:rsidRDefault="000377B5" w:rsidP="000377B5">
      <w:pPr>
        <w:spacing w:line="480" w:lineRule="auto"/>
        <w:outlineLvl w:val="0"/>
      </w:pPr>
      <w:r w:rsidRPr="00B90197">
        <w:rPr>
          <w:b/>
        </w:rPr>
        <w:t>Figure S</w:t>
      </w:r>
      <w:r w:rsidR="007774AF">
        <w:rPr>
          <w:b/>
        </w:rPr>
        <w:t>1</w:t>
      </w:r>
      <w:r w:rsidRPr="00B90197">
        <w:rPr>
          <w:b/>
        </w:rPr>
        <w:t>. Abundance of halo-feeding herbivorous species and their predators in nominally fished (</w:t>
      </w:r>
      <w:r w:rsidR="0006742C">
        <w:rPr>
          <w:b/>
        </w:rPr>
        <w:t>y</w:t>
      </w:r>
      <w:r w:rsidRPr="00B90197">
        <w:rPr>
          <w:b/>
        </w:rPr>
        <w:t xml:space="preserve">ellow </w:t>
      </w:r>
      <w:r w:rsidR="0006742C">
        <w:rPr>
          <w:b/>
        </w:rPr>
        <w:t>z</w:t>
      </w:r>
      <w:r w:rsidRPr="00B90197">
        <w:rPr>
          <w:b/>
        </w:rPr>
        <w:t>one) and unfished (</w:t>
      </w:r>
      <w:r w:rsidR="0006742C">
        <w:rPr>
          <w:b/>
        </w:rPr>
        <w:t>g</w:t>
      </w:r>
      <w:r w:rsidRPr="00B90197">
        <w:rPr>
          <w:b/>
        </w:rPr>
        <w:t xml:space="preserve">reen </w:t>
      </w:r>
      <w:r w:rsidR="0006742C">
        <w:rPr>
          <w:b/>
        </w:rPr>
        <w:t>z</w:t>
      </w:r>
      <w:r w:rsidRPr="00B90197">
        <w:rPr>
          <w:b/>
        </w:rPr>
        <w:t>one) portions of Heron Island lagoon.</w:t>
      </w:r>
      <w:r w:rsidRPr="00B90197">
        <w:t xml:space="preserve"> Although the </w:t>
      </w:r>
      <w:r w:rsidR="0006742C">
        <w:t>y</w:t>
      </w:r>
      <w:r w:rsidRPr="00B90197">
        <w:t xml:space="preserve">ellow </w:t>
      </w:r>
      <w:r w:rsidR="0006742C">
        <w:t>z</w:t>
      </w:r>
      <w:r w:rsidRPr="00B90197">
        <w:t>one portion of Heron Island lagoon can legally be fished</w:t>
      </w:r>
      <w:r w:rsidR="00323A19">
        <w:t xml:space="preserve"> (it is </w:t>
      </w:r>
      <w:r w:rsidR="009A47CC">
        <w:t>a “Conservation Park Zone” with limited fishing allowed)</w:t>
      </w:r>
      <w:r w:rsidRPr="00B90197">
        <w:t xml:space="preserve">, the geomorphology of the lagoon means that access to it is difficult to navigate and strongly tidally-dependent. As a result, the level of fishing pressure within the lagoon is minimal (Heron Island Research Station manager, </w:t>
      </w:r>
      <w:r w:rsidRPr="00B90197">
        <w:rPr>
          <w:i/>
        </w:rPr>
        <w:t>pers. comm.</w:t>
      </w:r>
      <w:r w:rsidRPr="00B90197">
        <w:t xml:space="preserve">). Bars are means (+/- SE) for all patch reefs/halos within Heron Island lagoon. </w:t>
      </w:r>
      <w:r w:rsidR="00E47535" w:rsidRPr="00B90197">
        <w:t>Fifteen</w:t>
      </w:r>
      <w:r w:rsidR="00097926" w:rsidRPr="00B90197">
        <w:t xml:space="preserve"> of our </w:t>
      </w:r>
      <w:r w:rsidR="00E47535" w:rsidRPr="00B90197">
        <w:t>22 patch reefs are located in the protected, unfished section (</w:t>
      </w:r>
      <w:r w:rsidR="0006742C">
        <w:t>g</w:t>
      </w:r>
      <w:r w:rsidR="00E47535" w:rsidRPr="00B90197">
        <w:t xml:space="preserve">reen </w:t>
      </w:r>
      <w:r w:rsidR="0006742C">
        <w:t>z</w:t>
      </w:r>
      <w:r w:rsidR="00E47535" w:rsidRPr="00B90197">
        <w:t>one) of Heron Island lagoon, whereas the remaining seven are in the fished section (</w:t>
      </w:r>
      <w:r w:rsidR="0006742C">
        <w:t>y</w:t>
      </w:r>
      <w:r w:rsidR="00E47535" w:rsidRPr="00B90197">
        <w:t xml:space="preserve">ellow </w:t>
      </w:r>
      <w:r w:rsidR="0006742C">
        <w:t>z</w:t>
      </w:r>
      <w:r w:rsidR="00E47535" w:rsidRPr="00B90197">
        <w:t xml:space="preserve">one). </w:t>
      </w:r>
      <w:r w:rsidRPr="00B90197">
        <w:t>Higher camera numbers indicate farther distances into the halo from patch reef (camera 1 = 0 m, on reef; camera 2 = 2.5 m from reef; camera 3 = 7.5 m from reef). Herbivores include only those species observed to feed in the halo at any reef</w:t>
      </w:r>
      <w:r w:rsidR="00504206" w:rsidRPr="00B90197">
        <w:t xml:space="preserve"> (i.e., </w:t>
      </w:r>
      <w:r w:rsidR="00504206" w:rsidRPr="00B90197">
        <w:rPr>
          <w:i/>
        </w:rPr>
        <w:t>Acanthurus</w:t>
      </w:r>
      <w:r w:rsidR="00504206" w:rsidRPr="00B90197">
        <w:t xml:space="preserve"> spp., </w:t>
      </w:r>
      <w:r w:rsidR="00504206" w:rsidRPr="00B90197">
        <w:rPr>
          <w:i/>
        </w:rPr>
        <w:t>Signaus</w:t>
      </w:r>
      <w:r w:rsidR="00504206" w:rsidRPr="00B90197">
        <w:t xml:space="preserve"> spp., </w:t>
      </w:r>
      <w:r w:rsidR="00504206" w:rsidRPr="00B90197">
        <w:rPr>
          <w:i/>
        </w:rPr>
        <w:t>Zebrasoma veliferum</w:t>
      </w:r>
      <w:r w:rsidR="00504206" w:rsidRPr="00B90197">
        <w:t xml:space="preserve">, and </w:t>
      </w:r>
      <w:r w:rsidR="00504206" w:rsidRPr="00B90197">
        <w:rPr>
          <w:i/>
        </w:rPr>
        <w:t>Naso unicornis</w:t>
      </w:r>
      <w:r w:rsidR="00504206" w:rsidRPr="00B90197">
        <w:t>)</w:t>
      </w:r>
      <w:r w:rsidRPr="00B90197">
        <w:t xml:space="preserve">. Predators include </w:t>
      </w:r>
      <w:r w:rsidRPr="00B90197">
        <w:lastRenderedPageBreak/>
        <w:t xml:space="preserve">only jacks (family Carangidae) and sharks, whose large body size renders them capable of consuming adults of all halo-feeding herbivore species.  </w:t>
      </w:r>
    </w:p>
    <w:p w14:paraId="55C47546" w14:textId="77777777" w:rsidR="000377B5" w:rsidRPr="00B90197" w:rsidRDefault="000377B5" w:rsidP="000377B5">
      <w:pPr>
        <w:spacing w:line="480" w:lineRule="auto"/>
        <w:outlineLvl w:val="0"/>
        <w:rPr>
          <w:b/>
        </w:rPr>
      </w:pPr>
    </w:p>
    <w:p w14:paraId="6CD3D45F" w14:textId="77777777" w:rsidR="000377B5" w:rsidRPr="00B90197" w:rsidRDefault="000377B5" w:rsidP="000377B5">
      <w:pPr>
        <w:spacing w:line="480" w:lineRule="auto"/>
        <w:outlineLvl w:val="0"/>
        <w:rPr>
          <w:i/>
        </w:rPr>
      </w:pPr>
    </w:p>
    <w:p w14:paraId="15872777" w14:textId="1CE2FC23" w:rsidR="000377B5" w:rsidRPr="00B90197" w:rsidRDefault="00332EA6" w:rsidP="000377B5">
      <w:pPr>
        <w:spacing w:line="480" w:lineRule="auto"/>
        <w:outlineLvl w:val="0"/>
        <w:rPr>
          <w:b/>
        </w:rPr>
      </w:pPr>
      <w:r w:rsidRPr="00B90197">
        <w:rPr>
          <w:b/>
        </w:rPr>
        <w:t>Supplementary experimental p</w:t>
      </w:r>
      <w:r w:rsidR="000377B5" w:rsidRPr="00B90197">
        <w:rPr>
          <w:b/>
        </w:rPr>
        <w:t xml:space="preserve">rocedures </w:t>
      </w:r>
    </w:p>
    <w:p w14:paraId="7D01C9E2" w14:textId="77777777" w:rsidR="000377B5" w:rsidRPr="00B90197" w:rsidRDefault="000377B5" w:rsidP="000377B5">
      <w:pPr>
        <w:spacing w:line="480" w:lineRule="auto"/>
      </w:pPr>
    </w:p>
    <w:p w14:paraId="48AAD225" w14:textId="77777777" w:rsidR="000377B5" w:rsidRPr="00B90197" w:rsidRDefault="000377B5" w:rsidP="000377B5">
      <w:pPr>
        <w:spacing w:line="480" w:lineRule="auto"/>
        <w:outlineLvl w:val="0"/>
        <w:rPr>
          <w:i/>
        </w:rPr>
      </w:pPr>
      <w:r w:rsidRPr="00B90197">
        <w:rPr>
          <w:i/>
        </w:rPr>
        <w:t>In-situ surveys</w:t>
      </w:r>
    </w:p>
    <w:p w14:paraId="5C4CB6C6" w14:textId="77777777" w:rsidR="000377B5" w:rsidRPr="00B90197" w:rsidRDefault="000377B5" w:rsidP="000377B5">
      <w:pPr>
        <w:spacing w:line="480" w:lineRule="auto"/>
      </w:pPr>
    </w:p>
    <w:p w14:paraId="060CA1E6" w14:textId="64A0F07D" w:rsidR="000377B5" w:rsidRPr="00B90197" w:rsidRDefault="000377B5" w:rsidP="000377B5">
      <w:pPr>
        <w:tabs>
          <w:tab w:val="center" w:pos="4150"/>
        </w:tabs>
        <w:spacing w:line="480" w:lineRule="auto"/>
        <w:ind w:firstLine="709"/>
      </w:pPr>
      <w:r w:rsidRPr="00B90197">
        <w:tab/>
        <w:t>Grazing halos were surveyed within the GBR</w:t>
      </w:r>
      <w:r w:rsidR="00F66391">
        <w:t xml:space="preserve">’s Heron Island lagoon (adjacent to Heron Island; </w:t>
      </w:r>
      <w:r w:rsidRPr="00B90197">
        <w:t>23</w:t>
      </w:r>
      <w:r w:rsidRPr="00B90197">
        <w:rPr>
          <w:rFonts w:ascii="Helvetica" w:eastAsia="Helvetica" w:hAnsi="Helvetica" w:cs="Helvetica"/>
        </w:rPr>
        <w:t>°</w:t>
      </w:r>
      <w:r w:rsidR="00F66391">
        <w:rPr>
          <w:rFonts w:ascii="Helvetica" w:eastAsia="Helvetica" w:hAnsi="Helvetica" w:cs="Helvetica"/>
        </w:rPr>
        <w:t xml:space="preserve"> </w:t>
      </w:r>
      <w:r w:rsidR="00F66391">
        <w:rPr>
          <w:rFonts w:eastAsia="Helvetica"/>
        </w:rPr>
        <w:t>27’ S, 151</w:t>
      </w:r>
      <w:r w:rsidR="00F66391" w:rsidRPr="00B90197">
        <w:rPr>
          <w:rFonts w:ascii="Helvetica" w:eastAsia="Helvetica" w:hAnsi="Helvetica" w:cs="Helvetica"/>
        </w:rPr>
        <w:t>°</w:t>
      </w:r>
      <w:r w:rsidR="00F66391">
        <w:rPr>
          <w:rFonts w:eastAsia="Helvetica"/>
        </w:rPr>
        <w:t xml:space="preserve"> 55’ E)</w:t>
      </w:r>
      <w:r w:rsidRPr="00B90197">
        <w:rPr>
          <w:rFonts w:ascii="Helvetica" w:eastAsia="Helvetica" w:hAnsi="Helvetica" w:cs="Helvetica"/>
        </w:rPr>
        <w:t xml:space="preserve"> </w:t>
      </w:r>
      <w:r w:rsidRPr="00B90197">
        <w:t xml:space="preserve">at each of 22 replicate patch reefs. Study site characteristics are described in Madin et al. </w:t>
      </w:r>
      <w:r w:rsidRPr="00B90197">
        <w:fldChar w:fldCharType="begin" w:fldLock="1"/>
      </w:r>
      <w:r w:rsidR="00662924">
        <w:instrText>ADDIN CSL_CITATION {"citationItems":[{"id":"ITEM-1","itemData":{"DOI":"10.1038/srep00014","ISSN":"2045-2322","PMID":"22355533","abstract":"By linking ecological theory with freely-available Google Earth satellite imagery, landscape-scale footprints of behavioural interactions between predators and prey can be observed remotely. A Google Earth image survey of the lagoon habitat at Heron Island within Australia's Great Barrier Reef revealed distinct halo patterns within algal beds surrounding patch reefs. Ground truth surveys confirmed that, as predicted, algal canopy height increases with distance from reef edges. A grazing assay subsequently demonstrated that herbivore grazing was responsible for this pattern. In conjunction with recent behavioural ecology studies, these findings demonstrate that herbivores' collective antipredator behavioural patterns can shape vegetation distributions on a scale clearly visible from space. By using sequential Google Earth images of specific locations over time, this technique could potentially allow rapid, inexpensive remote monitoring of cascading, indirect effects of predator removals (e.g., fishing; hunting) and/or recovery and reintroductions (e.g., marine or terrestrial reserves) nearly anywhere on earth.","author":[{"dropping-particle":"","family":"Madin","given":"Elizabeth M P","non-dropping-particle":"","parse-names":false,"suffix":""},{"dropping-particle":"","family":"Madin","given":"Joshua S","non-dropping-particle":"","parse-names":false,"suffix":""},{"dropping-particle":"","family":"Booth","given":"David J","non-dropping-particle":"","parse-names":false,"suffix":""}],"container-title":"Scientific Reports","id":"ITEM-1","issued":{"date-parts":[["2011","1"]]},"page":"14","title":"Landscape of fear visible from space.","type":"article-journal","volume":"1"},"suppress-author":1,"uris":["http://www.mendeley.com/documents/?uuid=a46a4aa3-fcc4-40a7-8918-7e36efd3d2dd"]}],"mendeley":{"formattedCitation":"[2]","plainTextFormattedCitation":"[2]","previouslyFormattedCitation":"[3]"},"properties":{"noteIndex":0},"schema":"https://github.com/citation-style-language/schema/raw/master/csl-citation.json"}</w:instrText>
      </w:r>
      <w:r w:rsidRPr="00B90197">
        <w:fldChar w:fldCharType="separate"/>
      </w:r>
      <w:r w:rsidR="00662924" w:rsidRPr="00662924">
        <w:rPr>
          <w:noProof/>
        </w:rPr>
        <w:t>[2]</w:t>
      </w:r>
      <w:r w:rsidRPr="00B90197">
        <w:fldChar w:fldCharType="end"/>
      </w:r>
      <w:r w:rsidRPr="00B90197">
        <w:t xml:space="preserve">. In-situ grazing assays and algal canopy height measurements were conducted at a subset of three of these patch reefs/halos in July 2010 following the protocol outlined in Madin et al. </w:t>
      </w:r>
      <w:r w:rsidRPr="00B90197">
        <w:fldChar w:fldCharType="begin" w:fldLock="1"/>
      </w:r>
      <w:r w:rsidR="00662924">
        <w:instrText>ADDIN CSL_CITATION {"citationItems":[{"id":"ITEM-1","itemData":{"DOI":"10.1038/srep00014","ISSN":"2045-2322","PMID":"22355533","abstract":"By linking ecological theory with freely-available Google Earth satellite imagery, landscape-scale footprints of behavioural interactions between predators and prey can be observed remotely. A Google Earth image survey of the lagoon habitat at Heron Island within Australia's Great Barrier Reef revealed distinct halo patterns within algal beds surrounding patch reefs. Ground truth surveys confirmed that, as predicted, algal canopy height increases with distance from reef edges. A grazing assay subsequently demonstrated that herbivore grazing was responsible for this pattern. In conjunction with recent behavioural ecology studies, these findings demonstrate that herbivores' collective antipredator behavioural patterns can shape vegetation distributions on a scale clearly visible from space. By using sequential Google Earth images of specific locations over time, this technique could potentially allow rapid, inexpensive remote monitoring of cascading, indirect effects of predator removals (e.g., fishing; hunting) and/or recovery and reintroductions (e.g., marine or terrestrial reserves) nearly anywhere on earth.","author":[{"dropping-particle":"","family":"Madin","given":"Elizabeth M P","non-dropping-particle":"","parse-names":false,"suffix":""},{"dropping-particle":"","family":"Madin","given":"Joshua S","non-dropping-particle":"","parse-names":false,"suffix":""},{"dropping-particle":"","family":"Booth","given":"David J","non-dropping-particle":"","parse-names":false,"suffix":""}],"container-title":"Scientific Reports","id":"ITEM-1","issued":{"date-parts":[["2011","1"]]},"page":"14","title":"Landscape of fear visible from space.","type":"article-journal","volume":"1"},"suppress-author":1,"uris":["http://www.mendeley.com/documents/?uuid=a46a4aa3-fcc4-40a7-8918-7e36efd3d2dd"]}],"mendeley":{"formattedCitation":"[2]","plainTextFormattedCitation":"[2]","previouslyFormattedCitation":"[3]"},"properties":{"noteIndex":0},"schema":"https://github.com/citation-style-language/schema/raw/master/csl-citation.json"}</w:instrText>
      </w:r>
      <w:r w:rsidRPr="00B90197">
        <w:fldChar w:fldCharType="separate"/>
      </w:r>
      <w:r w:rsidR="00662924" w:rsidRPr="00662924">
        <w:rPr>
          <w:noProof/>
        </w:rPr>
        <w:t>[2]</w:t>
      </w:r>
      <w:r w:rsidRPr="00B90197">
        <w:fldChar w:fldCharType="end"/>
      </w:r>
      <w:r w:rsidRPr="00B90197">
        <w:t xml:space="preserve">. </w:t>
      </w:r>
      <w:r w:rsidR="00AA6623">
        <w:t xml:space="preserve">For </w:t>
      </w:r>
      <w:r w:rsidR="00276C16">
        <w:t xml:space="preserve">our 2013 </w:t>
      </w:r>
      <w:r w:rsidR="00AA6623">
        <w:t>camera trap surveys, a</w:t>
      </w:r>
      <w:r w:rsidRPr="00B90197">
        <w:t xml:space="preserve"> marker was positioned at a distance of 3 m in front of each camera to mark the end of the observation area. The camera</w:t>
      </w:r>
      <w:r w:rsidR="004519CF">
        <w:t xml:space="preserve">’s field of view was 5.6m wide. Recording times ranged from 119 to 285 min (mean </w:t>
      </w:r>
      <w:r w:rsidR="004519CF" w:rsidRPr="004519CF">
        <w:t>±</w:t>
      </w:r>
      <w:r w:rsidR="004519CF">
        <w:t xml:space="preserve"> SD: 215.49 </w:t>
      </w:r>
      <w:r w:rsidR="004519CF" w:rsidRPr="004519CF">
        <w:t>±</w:t>
      </w:r>
      <w:r w:rsidR="004519CF">
        <w:t xml:space="preserve"> 48.6 min) per camera. </w:t>
      </w:r>
      <w:r w:rsidRPr="00B90197">
        <w:t xml:space="preserve">Herbivorous non-cryptic invertebrates (e.g., urchins) were not included in analyses because none were observed in our surveys. Other non-fish herbivores (e.g., turtles) were likewise not included because they appeared in negligible numbers (N = 6 observations) within our surveys and were never observed to feed on the benthic algae that forms the grazing halos in this system, despite it being a potential food source for them. </w:t>
      </w:r>
    </w:p>
    <w:p w14:paraId="2DABB179" w14:textId="77777777" w:rsidR="000377B5" w:rsidRPr="00B90197" w:rsidRDefault="000377B5" w:rsidP="000377B5">
      <w:pPr>
        <w:tabs>
          <w:tab w:val="center" w:pos="4150"/>
        </w:tabs>
        <w:spacing w:line="480" w:lineRule="auto"/>
      </w:pPr>
    </w:p>
    <w:p w14:paraId="7589F29F" w14:textId="77777777" w:rsidR="001165E3" w:rsidRPr="00B90197" w:rsidRDefault="001165E3" w:rsidP="001165E3">
      <w:pPr>
        <w:spacing w:line="480" w:lineRule="auto"/>
        <w:jc w:val="both"/>
        <w:rPr>
          <w:i/>
        </w:rPr>
      </w:pPr>
      <w:r w:rsidRPr="00B90197">
        <w:rPr>
          <w:i/>
        </w:rPr>
        <w:t xml:space="preserve">Details of Heron lagoon species interactions </w:t>
      </w:r>
    </w:p>
    <w:p w14:paraId="482DC3E2" w14:textId="77777777" w:rsidR="001165E3" w:rsidRPr="00B90197" w:rsidRDefault="001165E3" w:rsidP="001165E3">
      <w:pPr>
        <w:spacing w:line="480" w:lineRule="auto"/>
        <w:jc w:val="both"/>
        <w:rPr>
          <w:i/>
        </w:rPr>
      </w:pPr>
    </w:p>
    <w:p w14:paraId="1EC09456" w14:textId="52C637DC" w:rsidR="001165E3" w:rsidRPr="00B90197" w:rsidRDefault="001165E3" w:rsidP="001165E3">
      <w:pPr>
        <w:spacing w:line="480" w:lineRule="auto"/>
        <w:ind w:firstLine="720"/>
        <w:jc w:val="both"/>
      </w:pPr>
      <w:r w:rsidRPr="00B90197">
        <w:lastRenderedPageBreak/>
        <w:t xml:space="preserve">The effect that herbivores will have on the benthos </w:t>
      </w:r>
      <w:r w:rsidRPr="00DD73F9">
        <w:t>may depend on the herbivore</w:t>
      </w:r>
      <w:r w:rsidRPr="00DD73F9">
        <w:rPr>
          <w:rFonts w:eastAsia="Helvetica"/>
        </w:rPr>
        <w:t>’s diet preferences,</w:t>
      </w:r>
      <w:r w:rsidRPr="00DD73F9" w:rsidDel="004E6A6B">
        <w:t xml:space="preserve"> </w:t>
      </w:r>
      <w:r w:rsidRPr="00DD73F9">
        <w:t>the nature of the habitat</w:t>
      </w:r>
      <w:r w:rsidRPr="00DD73F9">
        <w:rPr>
          <w:rFonts w:eastAsia="Helvetica"/>
        </w:rPr>
        <w:t xml:space="preserve">’s structure, the </w:t>
      </w:r>
      <w:r w:rsidRPr="00DD73F9">
        <w:t>herbivore</w:t>
      </w:r>
      <w:r w:rsidRPr="00DD73F9">
        <w:rPr>
          <w:rFonts w:eastAsia="Helvetica"/>
        </w:rPr>
        <w:t xml:space="preserve">’s need for and use of shelter, and </w:t>
      </w:r>
      <w:r w:rsidRPr="00DD73F9">
        <w:t>the location, type and extent of constraints on the herbivore</w:t>
      </w:r>
      <w:r w:rsidRPr="00DD73F9">
        <w:rPr>
          <w:rFonts w:eastAsia="Helvetica"/>
        </w:rPr>
        <w:t>’s spatial foraging patterns</w:t>
      </w:r>
      <w:r w:rsidRPr="00DD73F9">
        <w:t xml:space="preserve">. </w:t>
      </w:r>
      <w:r w:rsidRPr="00DD73F9">
        <w:rPr>
          <w:lang w:val="en-AU"/>
        </w:rPr>
        <w:t xml:space="preserve">The algae that constitutes the </w:t>
      </w:r>
      <w:r w:rsidRPr="00DD73F9">
        <w:rPr>
          <w:rFonts w:eastAsia="Helvetica"/>
          <w:lang w:val="en-AU"/>
        </w:rPr>
        <w:t xml:space="preserve">‘algal meadows’ atop the sandy matrix within which the halos are found consists largely of a mix of </w:t>
      </w:r>
      <w:r w:rsidRPr="00DD73F9">
        <w:rPr>
          <w:i/>
          <w:lang w:val="en-AU"/>
        </w:rPr>
        <w:t>E</w:t>
      </w:r>
      <w:r w:rsidRPr="00B90197">
        <w:rPr>
          <w:i/>
          <w:lang w:val="en-AU"/>
        </w:rPr>
        <w:t>nteromorpha spp</w:t>
      </w:r>
      <w:r w:rsidRPr="00B90197">
        <w:rPr>
          <w:lang w:val="en-AU"/>
        </w:rPr>
        <w:t>. (</w:t>
      </w:r>
      <w:r w:rsidRPr="00B90197">
        <w:t xml:space="preserve">synonimised now under genus </w:t>
      </w:r>
      <w:r w:rsidRPr="00B90197">
        <w:rPr>
          <w:i/>
        </w:rPr>
        <w:t>Ulva</w:t>
      </w:r>
      <w:r w:rsidRPr="00B90197">
        <w:rPr>
          <w:lang w:val="en-AU"/>
        </w:rPr>
        <w:t xml:space="preserve">) and </w:t>
      </w:r>
      <w:r w:rsidRPr="00B90197">
        <w:rPr>
          <w:i/>
          <w:lang w:val="en-AU"/>
        </w:rPr>
        <w:t>Cladophora spp</w:t>
      </w:r>
      <w:r w:rsidRPr="00B90197">
        <w:rPr>
          <w:lang w:val="en-AU"/>
        </w:rPr>
        <w:t xml:space="preserve">. (both green alga), </w:t>
      </w:r>
      <w:r w:rsidRPr="00B90197">
        <w:rPr>
          <w:i/>
          <w:lang w:val="en-AU"/>
        </w:rPr>
        <w:t>Hincksia spp</w:t>
      </w:r>
      <w:r w:rsidRPr="00B90197">
        <w:rPr>
          <w:lang w:val="en-AU"/>
        </w:rPr>
        <w:t>. (a small, fine brown algae), and various other species to lesser degrees (G. Diaz-Pulido,</w:t>
      </w:r>
      <w:r w:rsidRPr="00B90197">
        <w:rPr>
          <w:i/>
          <w:lang w:val="en-AU"/>
        </w:rPr>
        <w:t xml:space="preserve"> pers. comm. </w:t>
      </w:r>
      <w:r w:rsidRPr="00B90197">
        <w:rPr>
          <w:lang w:val="en-AU"/>
        </w:rPr>
        <w:t xml:space="preserve">based on specimens collected from the study site). This algal matrix provides a palatable and likely nutritious mix of species that both grazers and browsers are likely to consume. The at times </w:t>
      </w:r>
      <w:r w:rsidRPr="00DD73F9">
        <w:rPr>
          <w:lang w:val="en-AU"/>
        </w:rPr>
        <w:t xml:space="preserve">lush </w:t>
      </w:r>
      <w:r w:rsidRPr="00DD73F9">
        <w:rPr>
          <w:rFonts w:eastAsia="Helvetica"/>
          <w:lang w:val="en-AU"/>
        </w:rPr>
        <w:t>‘meadows’ of this algal matrix found at and beyond the edge of the halos should thus provide a strong nutritional incentive for herbivorous fishes to travel off the reef to consume it. This assertion is supported by our grazing assay conducted using thi</w:t>
      </w:r>
      <w:r w:rsidRPr="00DD73F9">
        <w:rPr>
          <w:lang w:val="en-AU"/>
        </w:rPr>
        <w:t>s algal matrix (Fig. 1B</w:t>
      </w:r>
      <w:r w:rsidR="006661C8">
        <w:rPr>
          <w:lang w:val="en-AU"/>
        </w:rPr>
        <w:t>, light green bars</w:t>
      </w:r>
      <w:r w:rsidRPr="00DD73F9">
        <w:rPr>
          <w:lang w:val="en-AU"/>
        </w:rPr>
        <w:t>) which shows that algae placed within the halo is rapidly consumed</w:t>
      </w:r>
      <w:r w:rsidRPr="00B90197">
        <w:rPr>
          <w:lang w:val="en-AU"/>
        </w:rPr>
        <w:t>, particularly in areas closest to the patch reefs.</w:t>
      </w:r>
      <w:r w:rsidRPr="00B90197">
        <w:t xml:space="preserve"> </w:t>
      </w:r>
    </w:p>
    <w:p w14:paraId="5D077BE9" w14:textId="77777777" w:rsidR="001165E3" w:rsidRPr="00B90197" w:rsidRDefault="001165E3" w:rsidP="001165E3">
      <w:pPr>
        <w:spacing w:line="480" w:lineRule="auto"/>
        <w:ind w:firstLine="720"/>
        <w:jc w:val="both"/>
      </w:pPr>
    </w:p>
    <w:p w14:paraId="03297D3A" w14:textId="6CA1D582" w:rsidR="001165E3" w:rsidRPr="00B90197" w:rsidRDefault="001165E3" w:rsidP="001165E3">
      <w:pPr>
        <w:spacing w:line="480" w:lineRule="auto"/>
        <w:ind w:firstLine="720"/>
        <w:jc w:val="both"/>
      </w:pPr>
      <w:r w:rsidRPr="00B90197">
        <w:t xml:space="preserve">In terms of foragers, the herbivore guild is dominated by the functional groups of grazers, scrapers, and detritivores (e.g., including some Acanthurids, Pomacanthids, Labrids/Scarids, and some Siganids), or those species that feed largely on </w:t>
      </w:r>
      <w:r w:rsidRPr="00B90197">
        <w:rPr>
          <w:lang w:val="en-AU"/>
        </w:rPr>
        <w:t xml:space="preserve">epilithic algal turfs growing on hard substratum </w:t>
      </w:r>
      <w:r w:rsidRPr="00B90197">
        <w:rPr>
          <w:lang w:val="en-AU"/>
        </w:rPr>
        <w:fldChar w:fldCharType="begin" w:fldLock="1"/>
      </w:r>
      <w:r w:rsidR="00662924">
        <w:rPr>
          <w:lang w:val="en-AU"/>
        </w:rPr>
        <w:instrText>ADDIN CSL_CITATION {"citationItems":[{"id":"ITEM-1","itemData":{"ISBN":"9782831711690","author":[{"dropping-particle":"","family":"Green","given":"Alison L.","non-dropping-particle":"","parse-names":false,"suffix":""},{"dropping-particle":"","family":"Bellwood","given":"David R.","non-dropping-particle":"","parse-names":false,"suffix":""}],"container-title":"IUCN working group on Climate Change and Coral Reefs","id":"ITEM-1","issued":{"date-parts":[["2009"]]},"number-of-pages":"70","publisher-place":"Gland, Switzerland","title":"Monitoring functional groups of herbivorous reef fishes as indicators of coral reef resilience – A practical guide for coral reef managers in the Asia Pacific region","type":"report"},"uris":["http://www.mendeley.com/documents/?uuid=df1c1793-4dd6-4799-8075-021e3fbb162d"]}],"mendeley":{"formattedCitation":"[3]","plainTextFormattedCitation":"[3]","previouslyFormattedCitation":"[6]"},"properties":{"noteIndex":0},"schema":"https://github.com/citation-style-language/schema/raw/master/csl-citation.json"}</w:instrText>
      </w:r>
      <w:r w:rsidRPr="00B90197">
        <w:rPr>
          <w:lang w:val="en-AU"/>
        </w:rPr>
        <w:fldChar w:fldCharType="separate"/>
      </w:r>
      <w:r w:rsidR="00662924" w:rsidRPr="00662924">
        <w:rPr>
          <w:noProof/>
          <w:lang w:val="en-AU"/>
        </w:rPr>
        <w:t>[3]</w:t>
      </w:r>
      <w:r w:rsidRPr="00B90197">
        <w:rPr>
          <w:lang w:val="en-AU"/>
        </w:rPr>
        <w:fldChar w:fldCharType="end"/>
      </w:r>
      <w:r w:rsidRPr="00B90197">
        <w:rPr>
          <w:lang w:val="en-AU"/>
        </w:rPr>
        <w:t xml:space="preserve">. Browsers, by contrast, </w:t>
      </w:r>
      <w:r w:rsidRPr="00B90197">
        <w:t xml:space="preserve">consistently feed on fleshy macroalgae </w:t>
      </w:r>
      <w:r w:rsidRPr="00B90197">
        <w:rPr>
          <w:lang w:val="en-AU"/>
        </w:rPr>
        <w:fldChar w:fldCharType="begin" w:fldLock="1"/>
      </w:r>
      <w:r w:rsidR="00662924">
        <w:rPr>
          <w:lang w:val="en-AU"/>
        </w:rPr>
        <w:instrText>ADDIN CSL_CITATION {"citationItems":[{"id":"ITEM-1","itemData":{"ISBN":"9782831711690","author":[{"dropping-particle":"","family":"Green","given":"Alison L.","non-dropping-particle":"","parse-names":false,"suffix":""},{"dropping-particle":"","family":"Bellwood","given":"David R.","non-dropping-particle":"","parse-names":false,"suffix":""}],"container-title":"IUCN working group on Climate Change and Coral Reefs","id":"ITEM-1","issued":{"date-parts":[["2009"]]},"number-of-pages":"70","publisher-place":"Gland, Switzerland","title":"Monitoring functional groups of herbivorous reef fishes as indicators of coral reef resilience – A practical guide for coral reef managers in the Asia Pacific region","type":"report"},"uris":["http://www.mendeley.com/documents/?uuid=df1c1793-4dd6-4799-8075-021e3fbb162d"]}],"mendeley":{"formattedCitation":"[3]","plainTextFormattedCitation":"[3]","previouslyFormattedCitation":"[6]"},"properties":{"noteIndex":0},"schema":"https://github.com/citation-style-language/schema/raw/master/csl-citation.json"}</w:instrText>
      </w:r>
      <w:r w:rsidRPr="00B90197">
        <w:rPr>
          <w:lang w:val="en-AU"/>
        </w:rPr>
        <w:fldChar w:fldCharType="separate"/>
      </w:r>
      <w:r w:rsidR="00662924" w:rsidRPr="00662924">
        <w:rPr>
          <w:noProof/>
          <w:lang w:val="en-AU"/>
        </w:rPr>
        <w:t>[3]</w:t>
      </w:r>
      <w:r w:rsidRPr="00B90197">
        <w:rPr>
          <w:lang w:val="en-AU"/>
        </w:rPr>
        <w:fldChar w:fldCharType="end"/>
      </w:r>
      <w:r w:rsidRPr="00B90197">
        <w:rPr>
          <w:lang w:val="en-AU"/>
        </w:rPr>
        <w:t xml:space="preserve"> or seagrass </w:t>
      </w:r>
      <w:r w:rsidRPr="00B90197">
        <w:t xml:space="preserve">(e.g., including some Acathurids [primarily genus Naso], </w:t>
      </w:r>
      <w:r w:rsidRPr="00B90197">
        <w:rPr>
          <w:lang w:val="en-AU"/>
        </w:rPr>
        <w:t xml:space="preserve">Ephippids, Kyphosids, some Labrids/Scarids, </w:t>
      </w:r>
      <w:r w:rsidRPr="00B90197">
        <w:t>and some Siganids) and make up the remaining component of the herbivore guild</w:t>
      </w:r>
      <w:r w:rsidRPr="00B90197">
        <w:rPr>
          <w:lang w:val="en-AU"/>
        </w:rPr>
        <w:t>. We observed many individuals (often in groups of 5 or more) of both the former and the latter groups on our study reefs and/or within the bare, halo areas themselves (i.e., adjacent to or away from patch reefs). We observed a subset of these groups actively feeding on benthic algae in the halo (</w:t>
      </w:r>
      <w:r w:rsidRPr="00B90197">
        <w:rPr>
          <w:i/>
        </w:rPr>
        <w:t>Acanthurus</w:t>
      </w:r>
      <w:r w:rsidRPr="00B90197">
        <w:t xml:space="preserve"> </w:t>
      </w:r>
      <w:r w:rsidRPr="00B90197">
        <w:rPr>
          <w:i/>
        </w:rPr>
        <w:t>spp</w:t>
      </w:r>
      <w:r w:rsidRPr="00B90197">
        <w:t xml:space="preserve">., </w:t>
      </w:r>
      <w:r w:rsidRPr="00B90197">
        <w:rPr>
          <w:i/>
        </w:rPr>
        <w:t>Signaus</w:t>
      </w:r>
      <w:r w:rsidRPr="00B90197">
        <w:t xml:space="preserve"> spp., </w:t>
      </w:r>
      <w:r w:rsidRPr="00B90197">
        <w:rPr>
          <w:i/>
        </w:rPr>
        <w:t>Zebrasoma veliferum</w:t>
      </w:r>
      <w:r w:rsidRPr="00B90197">
        <w:t xml:space="preserve">, and </w:t>
      </w:r>
      <w:r w:rsidRPr="00B90197">
        <w:rPr>
          <w:i/>
        </w:rPr>
        <w:lastRenderedPageBreak/>
        <w:t>Naso unicornis</w:t>
      </w:r>
      <w:r w:rsidRPr="00B90197">
        <w:t xml:space="preserve">). </w:t>
      </w:r>
      <w:r w:rsidRPr="00B90197">
        <w:rPr>
          <w:lang w:val="en-AU"/>
        </w:rPr>
        <w:t xml:space="preserve">While larger-bodied adults of these functional groups will not generally remain within the shelter of the reef matrix during the day, they will quickly and predictably retreat to these shelters when confronted with real or perceived risk (E. Madin, </w:t>
      </w:r>
      <w:r w:rsidRPr="00B90197">
        <w:rPr>
          <w:i/>
          <w:lang w:val="en-AU"/>
        </w:rPr>
        <w:t>pers. obs.</w:t>
      </w:r>
      <w:r w:rsidRPr="00B90197">
        <w:rPr>
          <w:lang w:val="en-AU"/>
        </w:rPr>
        <w:t>). This suggests that regardless of where their primary food source is located (i.e., on or adjacent to the reef), all individuals of these groups likely benefit to some extent from remaining in close proximity to the reef</w:t>
      </w:r>
      <w:r w:rsidRPr="00B90197">
        <w:rPr>
          <w:rFonts w:ascii="Helvetica" w:eastAsia="Helvetica" w:hAnsi="Helvetica" w:cs="Helvetica"/>
          <w:lang w:val="en-AU"/>
        </w:rPr>
        <w:t>’s shelter.</w:t>
      </w:r>
    </w:p>
    <w:p w14:paraId="222D98CE" w14:textId="77777777" w:rsidR="001165E3" w:rsidRDefault="001165E3" w:rsidP="000377B5">
      <w:pPr>
        <w:tabs>
          <w:tab w:val="center" w:pos="4150"/>
        </w:tabs>
        <w:spacing w:line="480" w:lineRule="auto"/>
        <w:outlineLvl w:val="0"/>
        <w:rPr>
          <w:i/>
        </w:rPr>
      </w:pPr>
    </w:p>
    <w:p w14:paraId="2EC43C49" w14:textId="77777777" w:rsidR="000377B5" w:rsidRPr="00B90197" w:rsidRDefault="000377B5" w:rsidP="000377B5">
      <w:pPr>
        <w:tabs>
          <w:tab w:val="center" w:pos="4150"/>
        </w:tabs>
        <w:spacing w:line="480" w:lineRule="auto"/>
        <w:outlineLvl w:val="0"/>
        <w:rPr>
          <w:i/>
        </w:rPr>
      </w:pPr>
      <w:r w:rsidRPr="00B90197">
        <w:rPr>
          <w:i/>
        </w:rPr>
        <w:t>Satellite imagery surveys</w:t>
      </w:r>
    </w:p>
    <w:p w14:paraId="39498161" w14:textId="77777777" w:rsidR="000377B5" w:rsidRPr="00B90197" w:rsidRDefault="000377B5" w:rsidP="000377B5">
      <w:pPr>
        <w:spacing w:line="480" w:lineRule="auto"/>
        <w:rPr>
          <w:i/>
        </w:rPr>
      </w:pPr>
    </w:p>
    <w:p w14:paraId="63EDAABB" w14:textId="681C6477" w:rsidR="00F802B6" w:rsidRDefault="000377B5" w:rsidP="00F802B6">
      <w:pPr>
        <w:spacing w:line="480" w:lineRule="auto"/>
        <w:ind w:firstLine="720"/>
      </w:pPr>
      <w:r w:rsidRPr="00B90197">
        <w:t xml:space="preserve">The entire ~2300 km length of the Great Barrier Reef (GBR) was surveyed for grazing halos using high spatial resolution satellite imagery accessed through Google Earth Pro (GEP). </w:t>
      </w:r>
      <w:r w:rsidR="00CD4577">
        <w:t>The GEP</w:t>
      </w:r>
      <w:r w:rsidR="00F802B6">
        <w:t xml:space="preserve"> platform includes a mix of medium (i.e., ~30 m) to very high (i.e., &lt;3 m) spatial resolution imagery from a variety of imagery providers</w:t>
      </w:r>
      <w:r w:rsidR="00AB08B5">
        <w:t xml:space="preserve"> and satellites</w:t>
      </w:r>
      <w:r w:rsidR="00567F6A">
        <w:t>, both non-commercial (i.e., the US Geological Survey</w:t>
      </w:r>
      <w:r w:rsidR="00AB08B5">
        <w:t xml:space="preserve">’s </w:t>
      </w:r>
      <w:r w:rsidR="00AB08B5" w:rsidRPr="00283955">
        <w:rPr>
          <w:i/>
        </w:rPr>
        <w:t>Landsat</w:t>
      </w:r>
      <w:r w:rsidR="00567F6A">
        <w:t>) and commercia</w:t>
      </w:r>
      <w:r w:rsidR="007E5B87">
        <w:t>l (</w:t>
      </w:r>
      <w:r w:rsidR="00B404FD">
        <w:t>e.g.</w:t>
      </w:r>
      <w:r w:rsidR="007E5B87">
        <w:t>, DigitalGlobe</w:t>
      </w:r>
      <w:r w:rsidR="00AB08B5">
        <w:t xml:space="preserve">’s </w:t>
      </w:r>
      <w:r w:rsidR="002A3192" w:rsidRPr="00283955">
        <w:rPr>
          <w:i/>
        </w:rPr>
        <w:t>IKONOS</w:t>
      </w:r>
      <w:r w:rsidR="002A3192">
        <w:t xml:space="preserve">, </w:t>
      </w:r>
      <w:r w:rsidR="00F536FD" w:rsidRPr="00283955">
        <w:rPr>
          <w:i/>
        </w:rPr>
        <w:t>Quickbird</w:t>
      </w:r>
      <w:r w:rsidR="00F536FD">
        <w:t xml:space="preserve">, </w:t>
      </w:r>
      <w:r w:rsidR="00AB08B5" w:rsidRPr="00283955">
        <w:rPr>
          <w:i/>
        </w:rPr>
        <w:t>Worldview</w:t>
      </w:r>
      <w:r w:rsidR="00F536FD">
        <w:rPr>
          <w:i/>
        </w:rPr>
        <w:t xml:space="preserve">-1 and </w:t>
      </w:r>
      <w:r w:rsidR="00F536FD" w:rsidRPr="00246DA3">
        <w:rPr>
          <w:i/>
        </w:rPr>
        <w:t>Worldview</w:t>
      </w:r>
      <w:r w:rsidR="00F536FD">
        <w:rPr>
          <w:i/>
        </w:rPr>
        <w:t>-2</w:t>
      </w:r>
      <w:r w:rsidR="007E5B87">
        <w:t>; SpotImage</w:t>
      </w:r>
      <w:r w:rsidR="00AB08B5">
        <w:t xml:space="preserve">’s </w:t>
      </w:r>
      <w:r w:rsidR="00AB08B5" w:rsidRPr="00283955">
        <w:rPr>
          <w:i/>
        </w:rPr>
        <w:t>SPOT</w:t>
      </w:r>
      <w:r w:rsidR="0020096F">
        <w:rPr>
          <w:i/>
        </w:rPr>
        <w:t xml:space="preserve"> </w:t>
      </w:r>
      <w:r w:rsidR="0020096F">
        <w:t>satellites</w:t>
      </w:r>
      <w:r w:rsidR="007E5B87">
        <w:t>;</w:t>
      </w:r>
      <w:r w:rsidR="00567F6A">
        <w:t xml:space="preserve"> </w:t>
      </w:r>
      <w:r w:rsidR="007E5B87">
        <w:t>former GeoEye</w:t>
      </w:r>
      <w:r w:rsidR="0029114F">
        <w:t xml:space="preserve">’s </w:t>
      </w:r>
      <w:r w:rsidR="00116E58" w:rsidRPr="00283955">
        <w:rPr>
          <w:i/>
        </w:rPr>
        <w:t>GeoEye-1</w:t>
      </w:r>
      <w:r w:rsidR="007E5B87">
        <w:t xml:space="preserve">). </w:t>
      </w:r>
      <w:r w:rsidR="00B404FD" w:rsidRPr="00B404FD">
        <w:t xml:space="preserve">The resolution of imagery in </w:t>
      </w:r>
      <w:r w:rsidR="00D5537F">
        <w:t>GEP</w:t>
      </w:r>
      <w:r w:rsidR="00B404FD" w:rsidRPr="00B404FD">
        <w:t xml:space="preserve"> varies depending on the source of the data</w:t>
      </w:r>
      <w:r w:rsidR="00B404FD">
        <w:t xml:space="preserve">, and it is not possible from within this platform to determine the specific satellite from which a given scene (i.e., panel) of imagery </w:t>
      </w:r>
      <w:r w:rsidR="00D5537F">
        <w:t>was acquired.</w:t>
      </w:r>
      <w:r w:rsidR="00B404FD">
        <w:t xml:space="preserve"> </w:t>
      </w:r>
      <w:r w:rsidR="007E5B87">
        <w:t xml:space="preserve">The imagery used </w:t>
      </w:r>
      <w:r w:rsidR="00D5537F">
        <w:t xml:space="preserve">in the study </w:t>
      </w:r>
      <w:r w:rsidR="007E5B87">
        <w:t>was collected between 2000 and 2012, with the f</w:t>
      </w:r>
      <w:r w:rsidR="00AB08B5">
        <w:t xml:space="preserve">requency distribution of the imagery following no pattern over time. </w:t>
      </w:r>
    </w:p>
    <w:p w14:paraId="5C2B3D7F" w14:textId="77777777" w:rsidR="007E0B72" w:rsidRDefault="007E0B72" w:rsidP="002D4931">
      <w:pPr>
        <w:spacing w:line="480" w:lineRule="auto"/>
      </w:pPr>
    </w:p>
    <w:p w14:paraId="39A36791" w14:textId="5019C205" w:rsidR="007E0B72" w:rsidRDefault="000377B5" w:rsidP="000377B5">
      <w:pPr>
        <w:spacing w:line="480" w:lineRule="auto"/>
        <w:ind w:firstLine="720"/>
        <w:rPr>
          <w:lang w:val="en-US"/>
        </w:rPr>
      </w:pPr>
      <w:r w:rsidRPr="00B90197">
        <w:t>Halo visibility was variable depending on image quality (e.g., image spatial resolution, cloud cover, sea surface reflection/sun glint</w:t>
      </w:r>
      <w:r w:rsidR="006D3C10">
        <w:t>) and background</w:t>
      </w:r>
      <w:r w:rsidRPr="00B90197">
        <w:t xml:space="preserve"> benthic algal density. For whole reefs where image quality was sufficient to allow identification of individual grazing halos where they exis</w:t>
      </w:r>
      <w:r w:rsidR="00DB4D74">
        <w:t>ted (i.e., imagery was taken at</w:t>
      </w:r>
      <w:r w:rsidR="00CE3C60">
        <w:t xml:space="preserve"> </w:t>
      </w:r>
      <w:r w:rsidR="00DB4D74">
        <w:t xml:space="preserve">&lt; </w:t>
      </w:r>
      <w:r w:rsidR="00CE3C60">
        <w:t>3</w:t>
      </w:r>
      <w:r w:rsidRPr="00B90197">
        <w:t xml:space="preserve">m spatial </w:t>
      </w:r>
      <w:r w:rsidRPr="00B90197">
        <w:lastRenderedPageBreak/>
        <w:t xml:space="preserve">resolution, it provided a clear view of the </w:t>
      </w:r>
      <w:r w:rsidR="00CE3C60">
        <w:t xml:space="preserve">reef’s benthic features, and there was sufficient benthic algal coverage to permit the formation of halos), the entire reef was </w:t>
      </w:r>
      <w:r w:rsidR="001A3D4B">
        <w:t xml:space="preserve">visually </w:t>
      </w:r>
      <w:r w:rsidR="00CE3C60">
        <w:t xml:space="preserve">scanned </w:t>
      </w:r>
      <w:r w:rsidR="000C549F">
        <w:t xml:space="preserve">by a single </w:t>
      </w:r>
      <w:r w:rsidR="001A3D4B">
        <w:t xml:space="preserve">human </w:t>
      </w:r>
      <w:r w:rsidR="000C549F">
        <w:t xml:space="preserve">annotator </w:t>
      </w:r>
      <w:r w:rsidR="00CE3C60">
        <w:t>from north to south for the presence of grazing halos surrounding patch reefs.</w:t>
      </w:r>
      <w:r w:rsidRPr="00B90197">
        <w:t xml:space="preserve"> For whole reefs containing halos, the width of ten of the most visible halos and the areas of their respective interior patch reefs were measured</w:t>
      </w:r>
      <w:r w:rsidR="007E0B72">
        <w:t xml:space="preserve"> </w:t>
      </w:r>
      <w:r w:rsidR="001A3D4B">
        <w:t xml:space="preserve">manually </w:t>
      </w:r>
      <w:r w:rsidR="007E0B72">
        <w:t>by the same annotator</w:t>
      </w:r>
      <w:r w:rsidRPr="00B90197">
        <w:t xml:space="preserve">. On the small subset of whole reefs where halos were visible but fewer than ten could be measured, all halos were measured. The area of halos and the patch reefs they encircled were measured by </w:t>
      </w:r>
      <w:r w:rsidR="001A3D4B">
        <w:t xml:space="preserve">manually </w:t>
      </w:r>
      <w:r w:rsidRPr="00B90197">
        <w:t xml:space="preserve">tracing the outline of the halo and the patch reef using </w:t>
      </w:r>
      <w:r w:rsidR="006D41D9">
        <w:t>Google Earth Pro’s</w:t>
      </w:r>
      <w:r w:rsidR="006D41D9" w:rsidRPr="00B90197">
        <w:t xml:space="preserve"> </w:t>
      </w:r>
      <w:r w:rsidRPr="00B90197">
        <w:t xml:space="preserve">polygon measurement tool. </w:t>
      </w:r>
      <w:r w:rsidR="007E0B72" w:rsidRPr="007E0B72">
        <w:rPr>
          <w:lang w:val="en-US"/>
        </w:rPr>
        <w:t>When a halo being outlined included part of a neighboring patch reef or was partially merged with a neighboring halo, the outline was drawn around a visual interpolation of what the halo might look like in isolation (i.e., generally following the reef’s contour and at a width similar to the rest of the halo)</w:t>
      </w:r>
      <w:r w:rsidR="007E0B72">
        <w:rPr>
          <w:lang w:val="en-US"/>
        </w:rPr>
        <w:t xml:space="preserve">. </w:t>
      </w:r>
      <w:r w:rsidR="007E0B72" w:rsidRPr="000C549F">
        <w:rPr>
          <w:lang w:val="en-US"/>
        </w:rPr>
        <w:t>If the reef or halo was not clearly visible because of image quality, or if the reef was surrounded by sand, by sand on one side and algae on the other, or by a halo that extended less than halfway around the reef, no halo was outlined for that reef. Only halos which were clearly visible and clearly defined, within the limits of the image resolution, were outlined.</w:t>
      </w:r>
      <w:r w:rsidR="007E0B72">
        <w:rPr>
          <w:lang w:val="en-US"/>
        </w:rPr>
        <w:t xml:space="preserve"> </w:t>
      </w:r>
    </w:p>
    <w:p w14:paraId="34DD8AA5" w14:textId="77777777" w:rsidR="007E0B72" w:rsidRDefault="007E0B72" w:rsidP="000377B5">
      <w:pPr>
        <w:spacing w:line="480" w:lineRule="auto"/>
        <w:ind w:firstLine="720"/>
        <w:rPr>
          <w:lang w:val="en-US"/>
        </w:rPr>
      </w:pPr>
    </w:p>
    <w:p w14:paraId="53F53D4E" w14:textId="72E9EED0" w:rsidR="000377B5" w:rsidRPr="000230A2" w:rsidRDefault="000377B5" w:rsidP="000377B5">
      <w:pPr>
        <w:spacing w:line="480" w:lineRule="auto"/>
        <w:ind w:firstLine="720"/>
        <w:rPr>
          <w:b/>
          <w:i/>
        </w:rPr>
      </w:pPr>
      <w:r w:rsidRPr="00B90197">
        <w:t>For each whole reef, we also searched GE</w:t>
      </w:r>
      <w:r w:rsidR="00895F1C">
        <w:t>P’s historical</w:t>
      </w:r>
      <w:r w:rsidRPr="00B90197">
        <w:t xml:space="preserve"> imagery for the presence of halos in previous years and measured up to ten halos for each image date. </w:t>
      </w:r>
      <w:r w:rsidRPr="00186663">
        <w:t xml:space="preserve">Once reefs with either a) poor satellite image quality that did allow us to </w:t>
      </w:r>
      <w:r w:rsidR="006109C8" w:rsidRPr="00BE43E4">
        <w:t xml:space="preserve">visually </w:t>
      </w:r>
      <w:r w:rsidRPr="00BE43E4">
        <w:t xml:space="preserve">discern whether or not halos were present or b) lack of suitable patch reef habitat </w:t>
      </w:r>
      <w:r w:rsidR="000C549F" w:rsidRPr="00C53AC7">
        <w:t xml:space="preserve">around which halos can potentially form </w:t>
      </w:r>
      <w:r w:rsidRPr="0085527D">
        <w:t>were removed from the dataset, 214 whole ree</w:t>
      </w:r>
      <w:r w:rsidRPr="00AA6623">
        <w:t xml:space="preserve">fs (each containing </w:t>
      </w:r>
      <w:r w:rsidR="0081044A" w:rsidRPr="00AA6623">
        <w:t xml:space="preserve">hundreds to thousands of </w:t>
      </w:r>
      <w:r w:rsidRPr="00DD1637">
        <w:t>patch reefs) were used in analyses.</w:t>
      </w:r>
      <w:r w:rsidRPr="000230A2">
        <w:rPr>
          <w:b/>
        </w:rPr>
        <w:t xml:space="preserve"> </w:t>
      </w:r>
    </w:p>
    <w:p w14:paraId="023DB5BA" w14:textId="77777777" w:rsidR="000377B5" w:rsidRPr="00B90197" w:rsidRDefault="000377B5" w:rsidP="000377B5">
      <w:pPr>
        <w:spacing w:line="480" w:lineRule="auto"/>
      </w:pPr>
    </w:p>
    <w:p w14:paraId="147152A0" w14:textId="7FED8811" w:rsidR="000377B5" w:rsidRPr="00B90197" w:rsidRDefault="000377B5" w:rsidP="000377B5">
      <w:pPr>
        <w:spacing w:line="480" w:lineRule="auto"/>
        <w:ind w:firstLine="720"/>
      </w:pPr>
      <w:r w:rsidRPr="00C53AC7">
        <w:lastRenderedPageBreak/>
        <w:t>Sea surface temperature (SST) data are derived from the UK Met Office</w:t>
      </w:r>
      <w:r w:rsidR="00A63BFD" w:rsidRPr="00C53AC7">
        <w:t>’s Operational SST and Sea Ice Analysis (OS</w:t>
      </w:r>
      <w:r w:rsidR="00297205" w:rsidRPr="00C53AC7">
        <w:t>TIA) system dataset.</w:t>
      </w:r>
      <w:r w:rsidR="00297205" w:rsidRPr="000230A2">
        <w:rPr>
          <w:i/>
        </w:rPr>
        <w:t xml:space="preserve"> </w:t>
      </w:r>
      <w:r w:rsidR="00297205">
        <w:t>These data are long-term averaged SST data for the GBR in Kelvin units. The OSTIA system produces a foundation SST estimate at an output grid resolution of 1/20</w:t>
      </w:r>
      <w:r w:rsidR="00927BE8" w:rsidRPr="00927BE8">
        <w:t>°</w:t>
      </w:r>
      <w:r w:rsidR="00297205">
        <w:t xml:space="preserve"> (~6km)</w:t>
      </w:r>
      <w:r w:rsidRPr="00B90197">
        <w:t xml:space="preserve">, although the smallest analysis feature resolution is based on the correlation length scale of 10 km. Details of this dataset can be found in Donlon </w:t>
      </w:r>
      <w:r w:rsidRPr="00B90197">
        <w:rPr>
          <w:i/>
        </w:rPr>
        <w:t>et al.</w:t>
      </w:r>
      <w:r w:rsidRPr="00B90197">
        <w:t xml:space="preserve"> </w:t>
      </w:r>
      <w:r w:rsidRPr="00B90197">
        <w:fldChar w:fldCharType="begin" w:fldLock="1"/>
      </w:r>
      <w:r w:rsidR="00662924">
        <w:instrText>ADDIN CSL_CITATION {"citationItems":[{"id":"ITEM-1","itemData":{"DOI":"10.1016/j.rse.2010.10.017","ISBN":"0034-4257","ISSN":"00344257","abstract":"This paper describes a new Sea surface temperature (SST) analysis that is produced with global coverage on a daily basis at the Met Office called the Operational SST and Sea Ice Analysis (OSTIA) system. OSTIA uses satellite SST data provided by international agencies via the Group for High Resolution SST (GHRSST) Regional/Global Task Sharing (R/GTS) framework. GHRSST products include data from microwave and infrared satellite instruments with accompanying uncertainty estimates. The system also uses in situ SST data available over the Global Telecommunications System (GTS) and a sea-ice concentration product from the EUMETSAT Ocean and Sea Ice Satellite Applications Facility (OSI-SAF). The SST analysis is a multi-scale optimal interpolation that is designed for applications in numerical weather prediction and ocean forecasting systems. The background error covariance matrix is specified using ocean model data and the analysis uses correlation length scales of 10. km and 100. km. The OSTIA system produces a foundation SST estimate (SSTfnd, which is the SST free of diurnal variability) at an output grid resolution of 1/20?? (~. 6. km) although the smallest analysis feature resolution is based on the correlation length scale of 10. km. All satellite SST data are adjusted for bias errors based on a combination of ENVISAT Advanced Along Track Scanning Radiometer (AATSR) SST data and in situ SST measurements from drifting buoys. Data are filtered (based on surface wind speed data) to remove diurnal variability and AATSR data are adjusted to represent the SST at the same depth as drifting buoy measurements (0.2-1. m) before bias adjustments are made. Global coverage outputs are provided each day in GHRSST L4 netCDF format. A variety of secondary products are also provided including weekly and monthly mean data sets. OSTIA products are continuously monitored and validation/verification activities demonstrate that SST products have zero mean bias and an accuracy of ~. 0.57. K compared to in situ measurements. OSTIA is now used operationally as a boundary condition for all weather forecast models at the Met Office and at European Centre for Medium-range Weather Forecasting (ECMWF). OSTIA is produced by the Met Office as part of the European Union Global Monitoring for Environment and Security (GMES) MyOcean project. ?? 2011.","author":[{"dropping-particle":"","family":"Donlon","given":"Craig J.","non-dropping-particle":"","parse-names":false,"suffix":""},{"dropping-particle":"","family":"Martin","given":"Matthew","non-dropping-particle":"","parse-names":false,"suffix":""},{"dropping-particle":"","family":"Stark","given":"John","non-dropping-particle":"","parse-names":false,"suffix":""},{"dropping-particle":"","family":"Roberts-Jones","given":"Jonah","non-dropping-particle":"","parse-names":false,"suffix":""},{"dropping-particle":"","family":"Fiedler","given":"Emma","non-dropping-particle":"","parse-names":false,"suffix":""},{"dropping-particle":"","family":"Wimmer","given":"Werenfrid","non-dropping-particle":"","parse-names":false,"suffix":""}],"container-title":"Remote Sensing of Environment","id":"ITEM-1","issued":{"date-parts":[["2012"]]},"page":"140-158","publisher":"Elsevier B.V.","title":"The Operational Sea Surface Temperature and Sea Ice Analysis (OSTIA) system","type":"article-journal","volume":"116"},"suppress-author":1,"uris":["http://www.mendeley.com/documents/?uuid=bf491501-6159-4de7-bdbc-abe27e37c383"]}],"mendeley":{"formattedCitation":"[4]","plainTextFormattedCitation":"[4]","previouslyFormattedCitation":"[4]"},"properties":{"noteIndex":0},"schema":"https://github.com/citation-style-language/schema/raw/master/csl-citation.json"}</w:instrText>
      </w:r>
      <w:r w:rsidRPr="00B90197">
        <w:fldChar w:fldCharType="separate"/>
      </w:r>
      <w:r w:rsidR="0024192B" w:rsidRPr="0024192B">
        <w:rPr>
          <w:noProof/>
        </w:rPr>
        <w:t>[4]</w:t>
      </w:r>
      <w:r w:rsidRPr="00B90197">
        <w:fldChar w:fldCharType="end"/>
      </w:r>
      <w:r w:rsidRPr="00B90197">
        <w:t>.</w:t>
      </w:r>
    </w:p>
    <w:p w14:paraId="5A7B847D" w14:textId="77777777" w:rsidR="000377B5" w:rsidRPr="00C53AC7" w:rsidRDefault="000377B5" w:rsidP="000377B5">
      <w:pPr>
        <w:spacing w:line="480" w:lineRule="auto"/>
      </w:pPr>
    </w:p>
    <w:p w14:paraId="4F96A160" w14:textId="77777777" w:rsidR="000377B5" w:rsidRPr="00B90197" w:rsidRDefault="000377B5" w:rsidP="000377B5">
      <w:pPr>
        <w:spacing w:line="480" w:lineRule="auto"/>
        <w:ind w:firstLine="720"/>
      </w:pPr>
      <w:r w:rsidRPr="000230A2">
        <w:t xml:space="preserve">Chlorophyll a </w:t>
      </w:r>
      <w:r w:rsidRPr="00C53AC7">
        <w:t xml:space="preserve">concentration (Chl </w:t>
      </w:r>
      <w:r w:rsidRPr="000230A2">
        <w:t>a</w:t>
      </w:r>
      <w:r w:rsidRPr="00C53AC7">
        <w:t xml:space="preserve">) data are derived from MERIS (the </w:t>
      </w:r>
      <w:r w:rsidRPr="000230A2">
        <w:rPr>
          <w:bCs/>
        </w:rPr>
        <w:t>MEdium Resolution Imaging Spectrometer</w:t>
      </w:r>
      <w:r w:rsidRPr="0085527D">
        <w:t>;</w:t>
      </w:r>
      <w:r w:rsidRPr="00B90197">
        <w:t xml:space="preserve"> </w:t>
      </w:r>
      <w:hyperlink r:id="rId9" w:history="1">
        <w:r w:rsidRPr="00B90197">
          <w:rPr>
            <w:rStyle w:val="Hyperlink"/>
          </w:rPr>
          <w:t>https://earth.esa.int/web/guest/missions/esa-operational-eo-missions/envisat/instruments/meris</w:t>
        </w:r>
      </w:hyperlink>
      <w:r w:rsidRPr="00B90197">
        <w:t>). These data are monthly averages from 2003-2011, based on daily chlorophyll concentrations, and are spatially interpolated to ~9 km. The algorithm used to extract these chlorophyll data is optimized for coastal areas and takes into account high turbidity and bottom reflectance, and is thus presumed to be reflective of phytoplankton chlorophyll values. Despite the fact that algae and seagrass are best discerned by shorter wavelengths than the shortest (390nm) MERIS band, and thus the assumption that these data reflect phytoplankton chlorophyll values is likely to be correct, chlorophyll values for shallow areas such as ours should always be interpreted with some caution.</w:t>
      </w:r>
    </w:p>
    <w:p w14:paraId="60B9C447" w14:textId="77777777" w:rsidR="000377B5" w:rsidRPr="00B90197" w:rsidRDefault="000377B5" w:rsidP="000377B5">
      <w:pPr>
        <w:spacing w:line="480" w:lineRule="auto"/>
        <w:ind w:firstLine="720"/>
        <w:jc w:val="both"/>
      </w:pPr>
    </w:p>
    <w:p w14:paraId="4514CB24" w14:textId="30471893" w:rsidR="000377B5" w:rsidRPr="00B90197" w:rsidRDefault="001165E3" w:rsidP="000377B5">
      <w:pPr>
        <w:spacing w:line="480" w:lineRule="auto"/>
      </w:pPr>
      <w:r w:rsidRPr="00B90197">
        <w:rPr>
          <w:i/>
        </w:rPr>
        <w:t>Variable selection</w:t>
      </w:r>
    </w:p>
    <w:p w14:paraId="6441EA6C" w14:textId="774DFB5F" w:rsidR="004B67DE" w:rsidRPr="00C320AE" w:rsidRDefault="000377B5" w:rsidP="000377B5">
      <w:pPr>
        <w:spacing w:line="480" w:lineRule="auto"/>
        <w:rPr>
          <w:b/>
          <w:i/>
        </w:rPr>
      </w:pPr>
      <w:r w:rsidRPr="00B90197">
        <w:tab/>
      </w:r>
    </w:p>
    <w:p w14:paraId="5261DC5B" w14:textId="4C2A30A5" w:rsidR="004B67DE" w:rsidRDefault="004B67DE" w:rsidP="00C320AE">
      <w:pPr>
        <w:spacing w:line="480" w:lineRule="auto"/>
        <w:ind w:firstLine="720"/>
      </w:pPr>
      <w:r w:rsidRPr="004B67DE">
        <w:t xml:space="preserve">A subset of reefs within the Great Barrier Reef (GBR) are regularly surveyed to determine population sizes of a subset of herbivorous and predatory fishes </w:t>
      </w:r>
      <w:r w:rsidRPr="004B67DE">
        <w:fldChar w:fldCharType="begin" w:fldLock="1"/>
      </w:r>
      <w:r w:rsidR="00662924">
        <w:instrText>ADDIN CSL_CITATION {"citationItems":[{"id":"ITEM-1","itemData":{"DOI":"10.1016/j.cub.2015.01.073","ISSN":"0960-9822","abstract":"Networks of no-take marine reserves (NTMRs) are widely advocated for preserving exploited fish stocks and for conserving biodiversity. We used underwater visual surveys of coral reef fish and benthic communities to quantify the short- to me- dium-term (5 to 30 years) ecological effects of the establishment of NTMRs within the Great Barrier Reef Marine Park (GBRMP). The density, mean length, and biomass of principal fishery species, coral trout (Plectropomus spp.), were consistently greater in NTMRs than on fished reefs over both the short and medium term. However, there were no clear or consistent differences in the structure of fish or benthic assemblages, non-target fish den- sity, fish species richness, or coral cover between NTMR and fished reefs. There was no indication that the displacement and concentration of fishing effort reduced coral trout populations on fished reefs. A severe tropical cyclone impacted many survey reefs during the study, causing similar de- clines in coral cover and fish density on both NTMR and fished reefs. However, coral trout biomass declined only on fished reefs after the cyclone. The GBRMP is performing as expected in terms of the protection of fished stocks and biodiversity for a developed country in which fish- ing is not excessive and targets a narrow range of species. NTMRs cannot protect coral reefs directly from acute regional-scale disturbance but, after a strong tropical cyclone, impacted NTMR reefs sup- ported higher biomass of key fishery-targeted spe- cies and so should provide valuable sources of larvae to enhance population recovery and long- term persistence.","author":[{"dropping-particle":"","family":"Emslie","given":"Michael J","non-dropping-particle":"","parse-names":false,"suffix":""},{"dropping-particle":"","family":"Logan","given":"Murray","non-dropping-particle":"","parse-names":false,"suffix":""},{"dropping-particle":"","family":"Williamson","given":"David H","non-dropping-particle":"","parse-names":false,"suffix":""},{"dropping-particle":"","family":"Ayling","given":"Anthony M","non-dropping-particle":"","parse-names":false,"suffix":""},{"dropping-particle":"","family":"Macneil","given":"M Aaron","non-dropping-particle":"","parse-names":false,"suffix":""},{"dropping-particle":"","family":"Ceccarelli","given":"Daniela","non-dropping-particle":"","parse-names":false,"suffix":""},{"dropping-particle":"","family":"Cheal","given":"Alistair J","non-dropping-particle":"","parse-names":false,"suffix":""},{"dropping-particle":"","family":"Evans","given":"Richard D","non-dropping-particle":"","parse-names":false,"suffix":""},{"dropping-particle":"","family":"Johns","given":"Kerryn A","non-dropping-particle":"","parse-names":false,"suffix":""},{"dropping-particle":"","family":"Jonker","given":"Michelle J","non-dropping-particle":"","parse-names":false,"suffix":""},{"dropping-particle":"","family":"Miller","given":"Ian R","non-dropping-particle":"","parse-names":false,"suffix":""},{"dropping-particle":"","family":"Osborne","given":"Kate","non-dropping-particle":"","parse-names":false,"suffix":""},{"dropping-particle":"","family":"Russ","given":"Garry R","non-dropping-particle":"","parse-names":false,"suffix":""},{"dropping-particle":"","family":"Sweatman","given":"Hugh P A","non-dropping-particle":"","parse-names":false,"suffix":""}],"container-title":"Current Biology","id":"ITEM-1","issued":{"date-parts":[["2015"]]},"page":"1-10","publisher":"Elsevier Ltd","title":"Expectations and outcomes of reserve network performance following re-zoning of the Great Barrier Reef Marine Park","type":"article-journal","volume":"25"},"uris":["http://www.mendeley.com/documents/?uuid=ccb6f2b2-6195-41d3-9bd5-57a24a5a0f02"]}],"mendeley":{"formattedCitation":"[5]","plainTextFormattedCitation":"[5]","previouslyFormattedCitation":"[7]"},"properties":{"noteIndex":0},"schema":"https://github.com/citation-style-language/schema/raw/master/csl-citation.json"}</w:instrText>
      </w:r>
      <w:r w:rsidRPr="004B67DE">
        <w:fldChar w:fldCharType="separate"/>
      </w:r>
      <w:r w:rsidR="00662924" w:rsidRPr="00662924">
        <w:rPr>
          <w:noProof/>
        </w:rPr>
        <w:t>[5]</w:t>
      </w:r>
      <w:r w:rsidRPr="004B67DE">
        <w:fldChar w:fldCharType="end"/>
      </w:r>
      <w:r w:rsidRPr="004B67DE">
        <w:t xml:space="preserve">, however there is little overlap (N locations = 6) between the sites that dataset covers and those for which high-resolution satellite data exists and grazing halos were observed. This lack of spatial overlap precludes reliable analyses of grazing halo presence or size based on in-situ herbivore </w:t>
      </w:r>
      <w:r w:rsidRPr="004B67DE">
        <w:lastRenderedPageBreak/>
        <w:t xml:space="preserve">or predator population data. Studies from around the world </w:t>
      </w:r>
      <w:r w:rsidRPr="004B67DE">
        <w:fldChar w:fldCharType="begin" w:fldLock="1"/>
      </w:r>
      <w:r w:rsidR="00662924">
        <w:instrText>ADDIN CSL_CITATION {"citationItems":[{"id":"ITEM-1","itemData":{"DOI":"10.1371/journal.pone.0174787","ISBN":"1111111111","ISSN":"19326203","abstract":"Palau has a rich heritage of conservation that has evolved from the traditional moratoria on fishing, or \" bul \" , to more western Marine Protected Areas (MPAs), while still retaining ele-ments of customary management and tenure. In 2003, the Palau Protected Areas Network (PAN) was created to conserve Palau's unique biodiversity and culture, and is the country's mechanism for achieving the goals of the Micronesia Challenge (MC), an initiative to con-serve !30% of near-shore marine resources within the region by 2020. The PAN comprises a network of numerous MPAs within Palau that vary in age, size, level of management, and habitat, which provide an excellent opportunity to test hypotheses concerning MPA design and function using multiple discreet sampling units. Our sampling design provided a robust space for time comparison to evaluate the relative influence of potential drivers of MPA effi-cacy. Our results showed that no-take MPAs had, on average, nearly twice the biomass of resource fishes (i.e. those important commercially, culturally, or for subsistence) com-pared to nearby unprotected areas. Biomass of non-resource fishes showed no differences between no-take areas and areas open to fishing. The most striking difference between no-take MPAs and unprotected areas was the more than 5-fold greater biomass of piscivorous fishes in the MPAs compared to fished areas. The most important determinates of no-take MPA success in conserving resource fish biomass were MPA size and years of protection. Habitat and distance from shore had little effect on resource fish biomass. The extensive network of MPAs in Palau likely provides important conservation and tourism benefits to the Republic, and may also provide fisheries benefits by protecting spawning aggregation sites, and potentially through adult spillover.","author":[{"dropping-particle":"","family":"Friedlander","given":"Alan M.","non-dropping-particle":"","parse-names":false,"suffix":""},{"dropping-particle":"","family":"Golbuu","given":"Yimnang","non-dropping-particle":"","parse-names":false,"suffix":""},{"dropping-particle":"","family":"Ballesteros","given":"Enric","non-dropping-particle":"","parse-names":false,"suffix":""},{"dropping-particle":"","family":"Caselle","given":"Jennifer E.","non-dropping-particle":"","parse-names":false,"suffix":""},{"dropping-particle":"","family":"Gouezo","given":"Marine","non-dropping-particle":"","parse-names":false,"suffix":""},{"dropping-particle":"","family":"Olsudong","given":"Dawnette","non-dropping-particle":"","parse-names":false,"suffix":""},{"dropping-particle":"","family":"Sala","given":"Enric","non-dropping-particle":"","parse-names":false,"suffix":""}],"container-title":"PLoS ONE","id":"ITEM-1","issue":"3","issued":{"date-parts":[["2017"]]},"page":"1-18","title":"Size, age, and habitat determine effectiveness of Palau's Marine Protected Areas","type":"article-journal","volume":"12"},"uris":["http://www.mendeley.com/documents/?uuid=03ba1df1-eaf2-4f02-8fa3-f5fca4f77f7d"]},{"id":"ITEM-2","itemData":{"DOI":"10.1038/nature13022","ISBN":"0028-0836","ISSN":"1476-4687","PMID":"24499817","abstract":"In line with global targets agreed under the Convention on Biological Diversity, the number of marine protected areas (MPAs) is increasing rapidly, yet socio-economic benefits generated by MPAs remain difficult to predict and under debate. MPAs often fail to reach their full potential as a consequence of factors such as illegal harvesting, regulations that legally allow detrimental harvesting, or emigration of animals outside boundaries because of continuous habitat or inadequate size of reserve. Here we show that the conservation benefits of 87 MPAs investigated worldwide increase exponentially with the accumulation of five key features: no take, well enforced, old (&gt;10 years), large (&gt;100 km(2)), and isolated by deep water or sand. Using effective MPAs with four or five key features as an unfished standard, comparisons of underwater survey data from effective MPAs with predictions based on survey data from fished coasts indicate that total fish biomass has declined about two-thirds from historical baselines as a result of fishing. Effective MPAs also had twice as many large (&gt;250 mm total length) fish species per transect, five times more large fish biomass, and fourteen times more shark biomass than fished areas. Most (59%) of the MPAs studied had only one or two key features and were not ecologically distinguishable from fished sites. Our results show that global conservation targets based on area alone will not optimize protection of marine biodiversity. More emphasis is needed on better MPA design, durable management and compliance to ensure that MPAs achieve their desired conservation value.","author":[{"dropping-particle":"","family":"Edgar","given":"Graham J","non-dropping-particle":"","parse-names":false,"suffix":""},{"dropping-particle":"","family":"Stuart-Smith","given":"Rick D","non-dropping-particle":"","parse-names":false,"suffix":""},{"dropping-particle":"","family":"Willis","given":"Trevor J","non-dropping-particle":"","parse-names":false,"suffix":""},{"dropping-particle":"","family":"Kininmonth","given":"Stuart","non-dropping-particle":"","parse-names":false,"suffix":""},{"dropping-particle":"","family":"Baker","given":"Susan C","non-dropping-particle":"","parse-names":false,"suffix":""},{"dropping-particle":"","family":"Banks","given":"Stuart","non-dropping-particle":"","parse-names":false,"suffix":""},{"dropping-particle":"","family":"Barrett","given":"Neville S","non-dropping-particle":"","parse-names":false,"suffix":""},{"dropping-particle":"","family":"Becerro","given":"Mikel A","non-dropping-particle":"","parse-names":false,"suffix":""},{"dropping-particle":"","family":"Bernard","given":"Anthony T F","non-dropping-particle":"","parse-names":false,"suffix":""},{"dropping-particle":"","family":"Berkhout","given":"Just","non-dropping-particle":"","parse-names":false,"suffix":""},{"dropping-particle":"","family":"Buxton","given":"Colin D","non-dropping-particle":"","parse-names":false,"suffix":""},{"dropping-particle":"","family":"Campbell","given":"Stuart J","non-dropping-particle":"","parse-names":false,"suffix":""},{"dropping-particle":"","family":"Cooper","given":"Antonia T","non-dropping-particle":"","parse-names":false,"suffix":""},{"dropping-particle":"","family":"Davey","given":"Marlene","non-dropping-particle":"","parse-names":false,"suffix":""},{"dropping-particle":"","family":"Edgar","given":"Sophie C","non-dropping-particle":"","parse-names":false,"suffix":""},{"dropping-particle":"","family":"Försterra","given":"Günter","non-dropping-particle":"","parse-names":false,"suffix":""},{"dropping-particle":"","family":"Galván","given":"David E","non-dropping-particle":"","parse-names":false,"suffix":""},{"dropping-particle":"","family":"Irigoyen","given":"Alejo J","non-dropping-particle":"","parse-names":false,"suffix":""},{"dropping-particle":"","family":"Kushner","given":"David J","non-dropping-particle":"","parse-names":false,"suffix":""},{"dropping-particle":"","family":"Moura","given":"Rodrigo","non-dropping-particle":"","parse-names":false,"suffix":""},{"dropping-particle":"","family":"Parnell","given":"P Ed","non-dropping-particle":"","parse-names":false,"suffix":""},{"dropping-particle":"","family":"Shears","given":"Nick T","non-dropping-particle":"","parse-names":false,"suffix":""},{"dropping-particle":"","family":"Soler","given":"German","non-dropping-particle":"","parse-names":false,"suffix":""},{"dropping-particle":"","family":"Strain","given":"Elisabeth M A","non-dropping-particle":"","parse-names":false,"suffix":""},{"dropping-particle":"","family":"Thomson","given":"Russell J","non-dropping-particle":"","parse-names":false,"suffix":""}],"container-title":"Nature","id":"ITEM-2","issued":{"date-parts":[["2014"]]},"page":"216-20","title":"Global conservation outcomes depend on marine protected areas with five key features","type":"article-journal","volume":"506"},"uris":["http://www.mendeley.com/documents/?uuid=7bb085ed-f562-45da-9159-416d81a1a5a9"]}],"mendeley":{"formattedCitation":"[6,7]","plainTextFormattedCitation":"[6,7]","previouslyFormattedCitation":"[8,9]"},"properties":{"noteIndex":0},"schema":"https://github.com/citation-style-language/schema/raw/master/csl-citation.json"}</w:instrText>
      </w:r>
      <w:r w:rsidRPr="004B67DE">
        <w:fldChar w:fldCharType="separate"/>
      </w:r>
      <w:r w:rsidR="00662924" w:rsidRPr="00662924">
        <w:rPr>
          <w:noProof/>
        </w:rPr>
        <w:t>[6,7]</w:t>
      </w:r>
      <w:r w:rsidRPr="004B67DE">
        <w:fldChar w:fldCharType="end"/>
      </w:r>
      <w:r w:rsidRPr="004B67DE">
        <w:t xml:space="preserve"> indicate that fisheries-targeted species, including herbivores and predators, tend to increase in number as reserves age (predators consistently so) in systems where they are targeted by fisheries. We therefore used marine reserve age as a proxy variable likely to indicate relative levels of herbivore and/or predator density over the large spatial scale of our study system.</w:t>
      </w:r>
      <w:r>
        <w:t xml:space="preserve"> </w:t>
      </w:r>
      <w:r w:rsidR="000377B5" w:rsidRPr="00B90197">
        <w:t xml:space="preserve">Distance from mainland was initially included, but subsequently excluded, because it showed a strong correlation with SST (discussed below). </w:t>
      </w:r>
    </w:p>
    <w:p w14:paraId="0A867093" w14:textId="77777777" w:rsidR="004B67DE" w:rsidRDefault="004B67DE" w:rsidP="00C320AE">
      <w:pPr>
        <w:spacing w:line="480" w:lineRule="auto"/>
        <w:ind w:firstLine="720"/>
      </w:pPr>
    </w:p>
    <w:p w14:paraId="4F9E098E" w14:textId="1445E788" w:rsidR="00C91C99" w:rsidRPr="0050080D" w:rsidRDefault="000377B5" w:rsidP="0050080D">
      <w:pPr>
        <w:spacing w:line="480" w:lineRule="auto"/>
        <w:ind w:firstLine="720"/>
        <w:rPr>
          <w:i/>
        </w:rPr>
      </w:pPr>
      <w:r w:rsidRPr="00C320AE">
        <w:t xml:space="preserve">Other variables included in the initial model were those hypothesized to affect grazing halo presence and/or width in another way. SST was included as a proxy for metabolic rates of herbivores, which we hypothesized could influence grazing rates </w:t>
      </w:r>
      <w:r w:rsidRPr="00C320AE">
        <w:fldChar w:fldCharType="begin" w:fldLock="1"/>
      </w:r>
      <w:r w:rsidR="00662924">
        <w:instrText>ADDIN CSL_CITATION {"citationItems":[{"id":"ITEM-1","itemData":{"DOI":"10.1007/s00227-005-0027-0","ISBN":"0025-3162","ISSN":"00253162","PMID":"1000111929","abstract":"We present new data and the first rigorous analysis of latitudinal and thermal gradients of diversity, density and biomass of marine herbivorous fishes and review proposed explanatory mechanisms. Consistently, negative relationships between latitude, and positive relationships between sea surface temperature (SST), and relative richness and relative abundance of herbivorous fishes were found worldwide. Significant differences in the strength of gradients of richness and abundance with latitude and SST between tropical and extratropical zones were found consistently across ocean basins. Standardized sampling along the western Atlantic also showed negative relationships between latitude and total density and biomass. The trends, however, are driven by different components of the fish assemblages (i.e., scarids in the Caribbean and acanthurids in Brazil). Patterns of abundance along thermal gradients, generally associated with extensive latitudinal gradients, also were found at the local scale. Feeding rate of the ocean surgeonfish Acanthurus bahianus decreases with temperature more rapidly than the mean metabolic rate of teleost fishes. This relationship suggests a temperature-related physiological constraint. From the new standardized and comparative data presented and the review of the explanatory hypotheses, we conclude that temperature-related feeding and digestive processes are most likely involved in the distribution patterns of herbivorous fishes.","author":[{"dropping-particle":"","family":"Floeter","given":"S. R.","non-dropping-particle":"","parse-names":false,"suffix":""},{"dropping-particle":"","family":"Behrens","given":"M. D.","non-dropping-particle":"","parse-names":false,"suffix":""},{"dropping-particle":"","family":"Ferreira","given":"C. E.L.","non-dropping-particle":"","parse-names":false,"suffix":""},{"dropping-particle":"","family":"Paddack","given":"M. J.","non-dropping-particle":"","parse-names":false,"suffix":""},{"dropping-particle":"","family":"Horn","given":"M. H.","non-dropping-particle":"","parse-names":false,"suffix":""}],"container-title":"Marine Biology","id":"ITEM-1","issue":"6","issued":{"date-parts":[["2005"]]},"page":"1435-1447","title":"Geographical gradients of marine herbivorous fishes: Patterns and processes","type":"article-journal","volume":"147"},"uris":["http://www.mendeley.com/documents/?uuid=2ffa6774-3853-4343-971f-d00f5c3bdef9"]}],"mendeley":{"formattedCitation":"[8]","plainTextFormattedCitation":"[8]","previouslyFormattedCitation":"[5]"},"properties":{"noteIndex":0},"schema":"https://github.com/citation-style-language/schema/raw/master/csl-citation.json"}</w:instrText>
      </w:r>
      <w:r w:rsidRPr="0050080D">
        <w:fldChar w:fldCharType="separate"/>
      </w:r>
      <w:r w:rsidR="00662924" w:rsidRPr="00662924">
        <w:rPr>
          <w:noProof/>
        </w:rPr>
        <w:t>[8]</w:t>
      </w:r>
      <w:r w:rsidRPr="00C320AE">
        <w:fldChar w:fldCharType="end"/>
      </w:r>
      <w:r w:rsidRPr="00C320AE">
        <w:t>. Latitude, both a presumed proxy for metabolic rates of herbivores (via temperature) and a proxy for the biogeographic gradient over which the GBR occurs, was initially included but subsequently excluded due to its strong correlation with SST, which we deemed more relevant to our predictions. Chl a was included as a proxy for primary productivity, which</w:t>
      </w:r>
      <w:r w:rsidRPr="00B90197">
        <w:t xml:space="preserve"> we hypothesized could influence halo occurrence/width</w:t>
      </w:r>
      <w:r w:rsidRPr="00B90197" w:rsidDel="00EF75EE">
        <w:t xml:space="preserve"> </w:t>
      </w:r>
      <w:r w:rsidRPr="00B90197">
        <w:t xml:space="preserve">via primary producer growth rates. We chose to use Chl </w:t>
      </w:r>
      <w:r w:rsidRPr="00B90197">
        <w:rPr>
          <w:i/>
        </w:rPr>
        <w:t xml:space="preserve">a </w:t>
      </w:r>
      <w:r w:rsidRPr="00B90197">
        <w:t xml:space="preserve">rather than a metric of net primary productivity (NPP) that integrates Chl </w:t>
      </w:r>
      <w:r w:rsidRPr="00B90197">
        <w:rPr>
          <w:i/>
        </w:rPr>
        <w:t>a</w:t>
      </w:r>
      <w:r w:rsidRPr="00B90197">
        <w:t xml:space="preserve"> and temperature, such as the standard Vertically Generalized Production Model (VGPM), in order to allow us to explicitly include temperature in our model as a stand-alone predictor variable given its potential effect on herbivore physiology. </w:t>
      </w:r>
      <w:r w:rsidRPr="00C320AE">
        <w:t>Image season (i.e., the time of year in which the satellite image was captured) was initially</w:t>
      </w:r>
      <w:r w:rsidRPr="00895F1C">
        <w:t xml:space="preserve"> included to account for seasonal differences in algal standing stock and thus halo visibility, but it was subsequently dropped due to data loss because a large portion of the dataset</w:t>
      </w:r>
      <w:r w:rsidR="003434B1">
        <w:t xml:space="preserve">’s images’ meta-data contained only the </w:t>
      </w:r>
      <w:r w:rsidRPr="003434B1">
        <w:t xml:space="preserve">year, not the month or season, of capture. Lastly, in the analysis of halo width, the additional </w:t>
      </w:r>
      <w:r w:rsidRPr="003434B1">
        <w:lastRenderedPageBreak/>
        <w:t>variable of patch reef area was included because it was hypothesized that for either geometric and/or biological reasons, this factor could influence grazing halo size.</w:t>
      </w:r>
      <w:r w:rsidRPr="00B90197">
        <w:t xml:space="preserve"> </w:t>
      </w:r>
    </w:p>
    <w:p w14:paraId="64FE9568" w14:textId="1A4D7260" w:rsidR="00FB212B" w:rsidRPr="00B90197" w:rsidRDefault="00FB212B" w:rsidP="00FB212B">
      <w:pPr>
        <w:spacing w:line="480" w:lineRule="auto"/>
        <w:jc w:val="both"/>
        <w:outlineLvl w:val="0"/>
        <w:rPr>
          <w:b/>
          <w:sz w:val="20"/>
          <w:szCs w:val="20"/>
        </w:rPr>
      </w:pPr>
    </w:p>
    <w:p w14:paraId="1E21C15D" w14:textId="2DC96EA8" w:rsidR="006F78C7" w:rsidRDefault="006F78C7" w:rsidP="006F78C7">
      <w:pPr>
        <w:spacing w:line="480" w:lineRule="auto"/>
        <w:jc w:val="both"/>
        <w:outlineLvl w:val="0"/>
        <w:rPr>
          <w:b/>
        </w:rPr>
      </w:pPr>
      <w:r w:rsidRPr="00491CD4">
        <w:rPr>
          <w:b/>
        </w:rPr>
        <w:t>Supplemental references</w:t>
      </w:r>
    </w:p>
    <w:p w14:paraId="1E06C1AD" w14:textId="77777777" w:rsidR="00662924" w:rsidRPr="00491CD4" w:rsidRDefault="00662924" w:rsidP="006F78C7">
      <w:pPr>
        <w:spacing w:line="480" w:lineRule="auto"/>
        <w:jc w:val="both"/>
        <w:outlineLvl w:val="0"/>
        <w:rPr>
          <w:b/>
        </w:rPr>
      </w:pPr>
      <w:bookmarkStart w:id="0" w:name="_GoBack"/>
      <w:bookmarkEnd w:id="0"/>
    </w:p>
    <w:p w14:paraId="1C049108" w14:textId="4374B122" w:rsidR="00662924" w:rsidRPr="00662924" w:rsidRDefault="00662924" w:rsidP="00662924">
      <w:pPr>
        <w:widowControl w:val="0"/>
        <w:autoSpaceDE w:val="0"/>
        <w:autoSpaceDN w:val="0"/>
        <w:adjustRightInd w:val="0"/>
        <w:spacing w:line="480" w:lineRule="auto"/>
        <w:ind w:left="640" w:hanging="640"/>
        <w:rPr>
          <w:rFonts w:eastAsia="Times New Roman"/>
          <w:noProof/>
        </w:rPr>
      </w:pPr>
      <w:r>
        <w:rPr>
          <w:b/>
        </w:rPr>
        <w:fldChar w:fldCharType="begin" w:fldLock="1"/>
      </w:r>
      <w:r>
        <w:rPr>
          <w:b/>
        </w:rPr>
        <w:instrText xml:space="preserve">ADDIN Mendeley Bibliography CSL_BIBLIOGRAPHY </w:instrText>
      </w:r>
      <w:r>
        <w:rPr>
          <w:b/>
        </w:rPr>
        <w:fldChar w:fldCharType="separate"/>
      </w:r>
      <w:r w:rsidRPr="00662924">
        <w:rPr>
          <w:rFonts w:eastAsia="Times New Roman"/>
          <w:noProof/>
        </w:rPr>
        <w:t>1.</w:t>
      </w:r>
      <w:r w:rsidRPr="00662924">
        <w:rPr>
          <w:rFonts w:eastAsia="Times New Roman"/>
          <w:noProof/>
        </w:rPr>
        <w:tab/>
        <w:t xml:space="preserve">Zuur AF, Ieno EN, Walker NJ, Saveliev AA, Smith GM. 2009 </w:t>
      </w:r>
      <w:r w:rsidRPr="00662924">
        <w:rPr>
          <w:rFonts w:eastAsia="Times New Roman"/>
          <w:i/>
          <w:iCs/>
          <w:noProof/>
        </w:rPr>
        <w:t>Mixed effects models and extensions in ecology with R</w:t>
      </w:r>
      <w:r w:rsidRPr="00662924">
        <w:rPr>
          <w:rFonts w:eastAsia="Times New Roman"/>
          <w:noProof/>
        </w:rPr>
        <w:t xml:space="preserve">. New York, NY: Springer. </w:t>
      </w:r>
    </w:p>
    <w:p w14:paraId="763C9D0B"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2.</w:t>
      </w:r>
      <w:r w:rsidRPr="00662924">
        <w:rPr>
          <w:rFonts w:eastAsia="Times New Roman"/>
          <w:noProof/>
        </w:rPr>
        <w:tab/>
        <w:t xml:space="preserve">Madin EMP, Madin JS, Booth DJ. 2011 Landscape of fear visible from space. </w:t>
      </w:r>
      <w:r w:rsidRPr="00662924">
        <w:rPr>
          <w:rFonts w:eastAsia="Times New Roman"/>
          <w:i/>
          <w:iCs/>
          <w:noProof/>
        </w:rPr>
        <w:t>Sci. Rep.</w:t>
      </w:r>
      <w:r w:rsidRPr="00662924">
        <w:rPr>
          <w:rFonts w:eastAsia="Times New Roman"/>
          <w:noProof/>
        </w:rPr>
        <w:t xml:space="preserve"> </w:t>
      </w:r>
      <w:r w:rsidRPr="00662924">
        <w:rPr>
          <w:rFonts w:eastAsia="Times New Roman"/>
          <w:b/>
          <w:bCs/>
          <w:noProof/>
        </w:rPr>
        <w:t>1</w:t>
      </w:r>
      <w:r w:rsidRPr="00662924">
        <w:rPr>
          <w:rFonts w:eastAsia="Times New Roman"/>
          <w:noProof/>
        </w:rPr>
        <w:t>, 14. (doi:10.1038/srep00014)</w:t>
      </w:r>
    </w:p>
    <w:p w14:paraId="0E61B798"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3.</w:t>
      </w:r>
      <w:r w:rsidRPr="00662924">
        <w:rPr>
          <w:rFonts w:eastAsia="Times New Roman"/>
          <w:noProof/>
        </w:rPr>
        <w:tab/>
        <w:t xml:space="preserve">Green AL, Bellwood DR. 2009 Monitoring functional groups of herbivorous reef fishes as indicators of coral reef resilience – A practical guide for coral reef managers in the Asia Pacific region. </w:t>
      </w:r>
      <w:r w:rsidRPr="00662924">
        <w:rPr>
          <w:rFonts w:eastAsia="Times New Roman"/>
          <w:i/>
          <w:iCs/>
          <w:noProof/>
        </w:rPr>
        <w:t>IUCN Work. Gr. Clim. Chang. Coral Reefs</w:t>
      </w:r>
      <w:r w:rsidRPr="00662924">
        <w:rPr>
          <w:rFonts w:eastAsia="Times New Roman"/>
          <w:noProof/>
        </w:rPr>
        <w:t xml:space="preserve">. </w:t>
      </w:r>
    </w:p>
    <w:p w14:paraId="55CCFACA"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4.</w:t>
      </w:r>
      <w:r w:rsidRPr="00662924">
        <w:rPr>
          <w:rFonts w:eastAsia="Times New Roman"/>
          <w:noProof/>
        </w:rPr>
        <w:tab/>
        <w:t xml:space="preserve">Donlon CJ, Martin M, Stark J, Roberts-Jones J, Fiedler E, Wimmer W. 2012 The Operational Sea Surface Temperature and Sea Ice Analysis (OSTIA) system. </w:t>
      </w:r>
      <w:r w:rsidRPr="00662924">
        <w:rPr>
          <w:rFonts w:eastAsia="Times New Roman"/>
          <w:i/>
          <w:iCs/>
          <w:noProof/>
        </w:rPr>
        <w:t>Remote Sens. Environ.</w:t>
      </w:r>
      <w:r w:rsidRPr="00662924">
        <w:rPr>
          <w:rFonts w:eastAsia="Times New Roman"/>
          <w:noProof/>
        </w:rPr>
        <w:t xml:space="preserve"> </w:t>
      </w:r>
      <w:r w:rsidRPr="00662924">
        <w:rPr>
          <w:rFonts w:eastAsia="Times New Roman"/>
          <w:b/>
          <w:bCs/>
          <w:noProof/>
        </w:rPr>
        <w:t>116</w:t>
      </w:r>
      <w:r w:rsidRPr="00662924">
        <w:rPr>
          <w:rFonts w:eastAsia="Times New Roman"/>
          <w:noProof/>
        </w:rPr>
        <w:t>, 140–158. (doi:10.1016/j.rse.2010.10.017)</w:t>
      </w:r>
    </w:p>
    <w:p w14:paraId="33BDF68B"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5.</w:t>
      </w:r>
      <w:r w:rsidRPr="00662924">
        <w:rPr>
          <w:rFonts w:eastAsia="Times New Roman"/>
          <w:noProof/>
        </w:rPr>
        <w:tab/>
        <w:t xml:space="preserve">Emslie MJ </w:t>
      </w:r>
      <w:r w:rsidRPr="00662924">
        <w:rPr>
          <w:rFonts w:eastAsia="Times New Roman"/>
          <w:i/>
          <w:iCs/>
          <w:noProof/>
        </w:rPr>
        <w:t>et al.</w:t>
      </w:r>
      <w:r w:rsidRPr="00662924">
        <w:rPr>
          <w:rFonts w:eastAsia="Times New Roman"/>
          <w:noProof/>
        </w:rPr>
        <w:t xml:space="preserve"> 2015 Expectations and outcomes of reserve network performance following re-zoning of the Great Barrier Reef Marine Park. </w:t>
      </w:r>
      <w:r w:rsidRPr="00662924">
        <w:rPr>
          <w:rFonts w:eastAsia="Times New Roman"/>
          <w:i/>
          <w:iCs/>
          <w:noProof/>
        </w:rPr>
        <w:t>Curr. Biol.</w:t>
      </w:r>
      <w:r w:rsidRPr="00662924">
        <w:rPr>
          <w:rFonts w:eastAsia="Times New Roman"/>
          <w:noProof/>
        </w:rPr>
        <w:t xml:space="preserve"> </w:t>
      </w:r>
      <w:r w:rsidRPr="00662924">
        <w:rPr>
          <w:rFonts w:eastAsia="Times New Roman"/>
          <w:b/>
          <w:bCs/>
          <w:noProof/>
        </w:rPr>
        <w:t>25</w:t>
      </w:r>
      <w:r w:rsidRPr="00662924">
        <w:rPr>
          <w:rFonts w:eastAsia="Times New Roman"/>
          <w:noProof/>
        </w:rPr>
        <w:t>, 1–10. (doi:10.1016/j.cub.2015.01.073)</w:t>
      </w:r>
    </w:p>
    <w:p w14:paraId="19A80033"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6.</w:t>
      </w:r>
      <w:r w:rsidRPr="00662924">
        <w:rPr>
          <w:rFonts w:eastAsia="Times New Roman"/>
          <w:noProof/>
        </w:rPr>
        <w:tab/>
        <w:t xml:space="preserve">Friedlander AM, Golbuu Y, Ballesteros E, Caselle JE, Gouezo M, Olsudong D, Sala E. 2017 Size, age, and habitat determine effectiveness of Palau’s Marine Protected Areas. </w:t>
      </w:r>
      <w:r w:rsidRPr="00662924">
        <w:rPr>
          <w:rFonts w:eastAsia="Times New Roman"/>
          <w:i/>
          <w:iCs/>
          <w:noProof/>
        </w:rPr>
        <w:t>PLoS One</w:t>
      </w:r>
      <w:r w:rsidRPr="00662924">
        <w:rPr>
          <w:rFonts w:eastAsia="Times New Roman"/>
          <w:noProof/>
        </w:rPr>
        <w:t xml:space="preserve"> </w:t>
      </w:r>
      <w:r w:rsidRPr="00662924">
        <w:rPr>
          <w:rFonts w:eastAsia="Times New Roman"/>
          <w:b/>
          <w:bCs/>
          <w:noProof/>
        </w:rPr>
        <w:t>12</w:t>
      </w:r>
      <w:r w:rsidRPr="00662924">
        <w:rPr>
          <w:rFonts w:eastAsia="Times New Roman"/>
          <w:noProof/>
        </w:rPr>
        <w:t>, 1–18. (doi:10.1371/journal.pone.0174787)</w:t>
      </w:r>
    </w:p>
    <w:p w14:paraId="5D1C65DD"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7.</w:t>
      </w:r>
      <w:r w:rsidRPr="00662924">
        <w:rPr>
          <w:rFonts w:eastAsia="Times New Roman"/>
          <w:noProof/>
        </w:rPr>
        <w:tab/>
        <w:t xml:space="preserve">Edgar GJ </w:t>
      </w:r>
      <w:r w:rsidRPr="00662924">
        <w:rPr>
          <w:rFonts w:eastAsia="Times New Roman"/>
          <w:i/>
          <w:iCs/>
          <w:noProof/>
        </w:rPr>
        <w:t>et al.</w:t>
      </w:r>
      <w:r w:rsidRPr="00662924">
        <w:rPr>
          <w:rFonts w:eastAsia="Times New Roman"/>
          <w:noProof/>
        </w:rPr>
        <w:t xml:space="preserve"> 2014 Global conservation outcomes depend on marine protected areas with five key features. </w:t>
      </w:r>
      <w:r w:rsidRPr="00662924">
        <w:rPr>
          <w:rFonts w:eastAsia="Times New Roman"/>
          <w:i/>
          <w:iCs/>
          <w:noProof/>
        </w:rPr>
        <w:t>Nature</w:t>
      </w:r>
      <w:r w:rsidRPr="00662924">
        <w:rPr>
          <w:rFonts w:eastAsia="Times New Roman"/>
          <w:noProof/>
        </w:rPr>
        <w:t xml:space="preserve"> </w:t>
      </w:r>
      <w:r w:rsidRPr="00662924">
        <w:rPr>
          <w:rFonts w:eastAsia="Times New Roman"/>
          <w:b/>
          <w:bCs/>
          <w:noProof/>
        </w:rPr>
        <w:t>506</w:t>
      </w:r>
      <w:r w:rsidRPr="00662924">
        <w:rPr>
          <w:rFonts w:eastAsia="Times New Roman"/>
          <w:noProof/>
        </w:rPr>
        <w:t>, 216–20. (doi:10.1038/nature13022)</w:t>
      </w:r>
    </w:p>
    <w:p w14:paraId="257CB81D" w14:textId="77777777" w:rsidR="00662924" w:rsidRPr="00662924" w:rsidRDefault="00662924" w:rsidP="00662924">
      <w:pPr>
        <w:widowControl w:val="0"/>
        <w:autoSpaceDE w:val="0"/>
        <w:autoSpaceDN w:val="0"/>
        <w:adjustRightInd w:val="0"/>
        <w:spacing w:line="480" w:lineRule="auto"/>
        <w:ind w:left="640" w:hanging="640"/>
        <w:rPr>
          <w:noProof/>
        </w:rPr>
      </w:pPr>
      <w:r w:rsidRPr="00662924">
        <w:rPr>
          <w:rFonts w:eastAsia="Times New Roman"/>
          <w:noProof/>
        </w:rPr>
        <w:t>8.</w:t>
      </w:r>
      <w:r w:rsidRPr="00662924">
        <w:rPr>
          <w:rFonts w:eastAsia="Times New Roman"/>
          <w:noProof/>
        </w:rPr>
        <w:tab/>
        <w:t xml:space="preserve">Floeter SR, Behrens MD, Ferreira CEL, Paddack MJ, Horn MH. 2005 Geographical gradients of marine herbivorous fishes: Patterns and processes. </w:t>
      </w:r>
      <w:r w:rsidRPr="00662924">
        <w:rPr>
          <w:rFonts w:eastAsia="Times New Roman"/>
          <w:i/>
          <w:iCs/>
          <w:noProof/>
        </w:rPr>
        <w:t>Mar. Biol.</w:t>
      </w:r>
      <w:r w:rsidRPr="00662924">
        <w:rPr>
          <w:rFonts w:eastAsia="Times New Roman"/>
          <w:noProof/>
        </w:rPr>
        <w:t xml:space="preserve"> </w:t>
      </w:r>
      <w:r w:rsidRPr="00662924">
        <w:rPr>
          <w:rFonts w:eastAsia="Times New Roman"/>
          <w:b/>
          <w:bCs/>
          <w:noProof/>
        </w:rPr>
        <w:t>147</w:t>
      </w:r>
      <w:r w:rsidRPr="00662924">
        <w:rPr>
          <w:rFonts w:eastAsia="Times New Roman"/>
          <w:noProof/>
        </w:rPr>
        <w:t>, 1435–</w:t>
      </w:r>
      <w:r w:rsidRPr="00662924">
        <w:rPr>
          <w:rFonts w:eastAsia="Times New Roman"/>
          <w:noProof/>
        </w:rPr>
        <w:lastRenderedPageBreak/>
        <w:t>1447. (doi:10.1007/s00227-005-0027-0)</w:t>
      </w:r>
    </w:p>
    <w:p w14:paraId="4F4A2625" w14:textId="7F2A5DEF" w:rsidR="009614C0" w:rsidRPr="00491CD4" w:rsidRDefault="00662924" w:rsidP="0024192B">
      <w:pPr>
        <w:widowControl w:val="0"/>
        <w:autoSpaceDE w:val="0"/>
        <w:autoSpaceDN w:val="0"/>
        <w:adjustRightInd w:val="0"/>
        <w:spacing w:line="480" w:lineRule="auto"/>
        <w:ind w:left="480" w:hanging="480"/>
        <w:rPr>
          <w:b/>
        </w:rPr>
      </w:pPr>
      <w:r>
        <w:rPr>
          <w:b/>
        </w:rPr>
        <w:fldChar w:fldCharType="end"/>
      </w:r>
    </w:p>
    <w:p w14:paraId="4F3553C0" w14:textId="0EEDAE43" w:rsidR="006F78C7" w:rsidRPr="00B90197" w:rsidRDefault="006F78C7" w:rsidP="0024192B">
      <w:pPr>
        <w:widowControl w:val="0"/>
        <w:autoSpaceDE w:val="0"/>
        <w:autoSpaceDN w:val="0"/>
        <w:adjustRightInd w:val="0"/>
        <w:spacing w:line="480" w:lineRule="auto"/>
        <w:ind w:left="480" w:hanging="480"/>
        <w:rPr>
          <w:b/>
        </w:rPr>
      </w:pPr>
    </w:p>
    <w:sectPr w:rsidR="006F78C7" w:rsidRPr="00B90197" w:rsidSect="0021483F">
      <w:footerReference w:type="even" r:id="rId10"/>
      <w:footerReference w:type="default" r:id="rId11"/>
      <w:pgSz w:w="11900" w:h="16840"/>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E9D73" w14:textId="77777777" w:rsidR="00F837E5" w:rsidRDefault="00F837E5" w:rsidP="00EB6549">
      <w:r>
        <w:separator/>
      </w:r>
    </w:p>
  </w:endnote>
  <w:endnote w:type="continuationSeparator" w:id="0">
    <w:p w14:paraId="032079B6" w14:textId="77777777" w:rsidR="00F837E5" w:rsidRDefault="00F837E5" w:rsidP="00EB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BBD4" w14:textId="77777777" w:rsidR="00B309E9" w:rsidRDefault="00B309E9" w:rsidP="004C563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7440E" w14:textId="77777777" w:rsidR="00B309E9" w:rsidRDefault="00B309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C274" w14:textId="77777777" w:rsidR="00B309E9" w:rsidRDefault="00B309E9" w:rsidP="004C563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80D">
      <w:rPr>
        <w:rStyle w:val="PageNumber"/>
        <w:noProof/>
      </w:rPr>
      <w:t>1</w:t>
    </w:r>
    <w:r>
      <w:rPr>
        <w:rStyle w:val="PageNumber"/>
      </w:rPr>
      <w:fldChar w:fldCharType="end"/>
    </w:r>
  </w:p>
  <w:p w14:paraId="13E4BD45" w14:textId="77777777" w:rsidR="00B309E9" w:rsidRDefault="00B309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3628B" w14:textId="77777777" w:rsidR="00F837E5" w:rsidRDefault="00F837E5" w:rsidP="00EB6549">
      <w:r>
        <w:separator/>
      </w:r>
    </w:p>
  </w:footnote>
  <w:footnote w:type="continuationSeparator" w:id="0">
    <w:p w14:paraId="47C81917" w14:textId="77777777" w:rsidR="00F837E5" w:rsidRDefault="00F837E5" w:rsidP="00EB6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2B"/>
    <w:rsid w:val="00020F2A"/>
    <w:rsid w:val="000230A2"/>
    <w:rsid w:val="000377B5"/>
    <w:rsid w:val="00062453"/>
    <w:rsid w:val="0006742C"/>
    <w:rsid w:val="000810B1"/>
    <w:rsid w:val="00082123"/>
    <w:rsid w:val="00097926"/>
    <w:rsid w:val="000A4646"/>
    <w:rsid w:val="000B647F"/>
    <w:rsid w:val="000C1600"/>
    <w:rsid w:val="000C549F"/>
    <w:rsid w:val="000C54D5"/>
    <w:rsid w:val="000D4DAB"/>
    <w:rsid w:val="000E6250"/>
    <w:rsid w:val="001077D7"/>
    <w:rsid w:val="001165E3"/>
    <w:rsid w:val="00116E58"/>
    <w:rsid w:val="00127890"/>
    <w:rsid w:val="00152DB6"/>
    <w:rsid w:val="0015792C"/>
    <w:rsid w:val="00175D12"/>
    <w:rsid w:val="00184120"/>
    <w:rsid w:val="0018568D"/>
    <w:rsid w:val="00186663"/>
    <w:rsid w:val="001904D1"/>
    <w:rsid w:val="00190FAF"/>
    <w:rsid w:val="001919E5"/>
    <w:rsid w:val="00195CF6"/>
    <w:rsid w:val="001A3D4B"/>
    <w:rsid w:val="001B03AB"/>
    <w:rsid w:val="001C4946"/>
    <w:rsid w:val="001D12F5"/>
    <w:rsid w:val="001F304E"/>
    <w:rsid w:val="001F6777"/>
    <w:rsid w:val="0020096F"/>
    <w:rsid w:val="00203D2C"/>
    <w:rsid w:val="0021483F"/>
    <w:rsid w:val="002261E2"/>
    <w:rsid w:val="0024192B"/>
    <w:rsid w:val="00241AF6"/>
    <w:rsid w:val="0025123D"/>
    <w:rsid w:val="00255C49"/>
    <w:rsid w:val="00261E94"/>
    <w:rsid w:val="002705B3"/>
    <w:rsid w:val="00276C16"/>
    <w:rsid w:val="00283955"/>
    <w:rsid w:val="0029114F"/>
    <w:rsid w:val="00297205"/>
    <w:rsid w:val="002A3192"/>
    <w:rsid w:val="002A357F"/>
    <w:rsid w:val="002A78E1"/>
    <w:rsid w:val="002B59F7"/>
    <w:rsid w:val="002D4931"/>
    <w:rsid w:val="002E01EF"/>
    <w:rsid w:val="00312379"/>
    <w:rsid w:val="00323A19"/>
    <w:rsid w:val="00325BCD"/>
    <w:rsid w:val="00332EA6"/>
    <w:rsid w:val="00340860"/>
    <w:rsid w:val="003434B1"/>
    <w:rsid w:val="003502F8"/>
    <w:rsid w:val="00355BAA"/>
    <w:rsid w:val="00360536"/>
    <w:rsid w:val="00362D3F"/>
    <w:rsid w:val="00375843"/>
    <w:rsid w:val="00385FBF"/>
    <w:rsid w:val="00392C5C"/>
    <w:rsid w:val="003A742E"/>
    <w:rsid w:val="003B04AF"/>
    <w:rsid w:val="003C7780"/>
    <w:rsid w:val="003C7F52"/>
    <w:rsid w:val="003D30CC"/>
    <w:rsid w:val="003F05F4"/>
    <w:rsid w:val="003F2833"/>
    <w:rsid w:val="003F45FA"/>
    <w:rsid w:val="004043C4"/>
    <w:rsid w:val="00412701"/>
    <w:rsid w:val="00417C97"/>
    <w:rsid w:val="004242A4"/>
    <w:rsid w:val="004274A1"/>
    <w:rsid w:val="004519CF"/>
    <w:rsid w:val="0047040C"/>
    <w:rsid w:val="00474A8F"/>
    <w:rsid w:val="00491CD4"/>
    <w:rsid w:val="00491E4A"/>
    <w:rsid w:val="004B67DE"/>
    <w:rsid w:val="004C5635"/>
    <w:rsid w:val="004D0779"/>
    <w:rsid w:val="004E4003"/>
    <w:rsid w:val="00500054"/>
    <w:rsid w:val="0050080D"/>
    <w:rsid w:val="00504206"/>
    <w:rsid w:val="00505505"/>
    <w:rsid w:val="005170B0"/>
    <w:rsid w:val="0052144F"/>
    <w:rsid w:val="00522B99"/>
    <w:rsid w:val="005240A1"/>
    <w:rsid w:val="0053467B"/>
    <w:rsid w:val="005429EA"/>
    <w:rsid w:val="00543CF8"/>
    <w:rsid w:val="00552802"/>
    <w:rsid w:val="00561DC2"/>
    <w:rsid w:val="00567F6A"/>
    <w:rsid w:val="00580EC8"/>
    <w:rsid w:val="00586E8F"/>
    <w:rsid w:val="005A7073"/>
    <w:rsid w:val="005B03E1"/>
    <w:rsid w:val="005B6D89"/>
    <w:rsid w:val="005D255C"/>
    <w:rsid w:val="005E0BB1"/>
    <w:rsid w:val="0060546F"/>
    <w:rsid w:val="006109C8"/>
    <w:rsid w:val="00613D92"/>
    <w:rsid w:val="00636525"/>
    <w:rsid w:val="00637981"/>
    <w:rsid w:val="006458DE"/>
    <w:rsid w:val="00650B8C"/>
    <w:rsid w:val="00655DC5"/>
    <w:rsid w:val="00662128"/>
    <w:rsid w:val="00662924"/>
    <w:rsid w:val="006661C8"/>
    <w:rsid w:val="00666B18"/>
    <w:rsid w:val="00672159"/>
    <w:rsid w:val="00676741"/>
    <w:rsid w:val="00690A46"/>
    <w:rsid w:val="00696598"/>
    <w:rsid w:val="006D3C10"/>
    <w:rsid w:val="006D41D9"/>
    <w:rsid w:val="006F78C7"/>
    <w:rsid w:val="00702B98"/>
    <w:rsid w:val="00703299"/>
    <w:rsid w:val="00741128"/>
    <w:rsid w:val="00742060"/>
    <w:rsid w:val="007439BB"/>
    <w:rsid w:val="007449C9"/>
    <w:rsid w:val="00774FDC"/>
    <w:rsid w:val="007774AF"/>
    <w:rsid w:val="007C4EA9"/>
    <w:rsid w:val="007D73CB"/>
    <w:rsid w:val="007E0B72"/>
    <w:rsid w:val="007E5B87"/>
    <w:rsid w:val="0081044A"/>
    <w:rsid w:val="00820E2D"/>
    <w:rsid w:val="008442D7"/>
    <w:rsid w:val="0084551B"/>
    <w:rsid w:val="0085527D"/>
    <w:rsid w:val="008569E7"/>
    <w:rsid w:val="008635C0"/>
    <w:rsid w:val="00891613"/>
    <w:rsid w:val="00895F1C"/>
    <w:rsid w:val="008A50DB"/>
    <w:rsid w:val="008A795E"/>
    <w:rsid w:val="008E3AE1"/>
    <w:rsid w:val="008E635C"/>
    <w:rsid w:val="00911FA0"/>
    <w:rsid w:val="00914CE6"/>
    <w:rsid w:val="00927BE8"/>
    <w:rsid w:val="0093082B"/>
    <w:rsid w:val="009414C1"/>
    <w:rsid w:val="00954B7E"/>
    <w:rsid w:val="009614C0"/>
    <w:rsid w:val="00962466"/>
    <w:rsid w:val="00962657"/>
    <w:rsid w:val="009639CC"/>
    <w:rsid w:val="009A47CC"/>
    <w:rsid w:val="009B22BA"/>
    <w:rsid w:val="009F3322"/>
    <w:rsid w:val="009F3716"/>
    <w:rsid w:val="009F6BD2"/>
    <w:rsid w:val="00A3485B"/>
    <w:rsid w:val="00A51E0A"/>
    <w:rsid w:val="00A63BFD"/>
    <w:rsid w:val="00A86A24"/>
    <w:rsid w:val="00A92552"/>
    <w:rsid w:val="00AA5700"/>
    <w:rsid w:val="00AA6623"/>
    <w:rsid w:val="00AB08B5"/>
    <w:rsid w:val="00AB29BA"/>
    <w:rsid w:val="00AC0FBA"/>
    <w:rsid w:val="00AD5F10"/>
    <w:rsid w:val="00AE7163"/>
    <w:rsid w:val="00B01B48"/>
    <w:rsid w:val="00B05F1C"/>
    <w:rsid w:val="00B114DC"/>
    <w:rsid w:val="00B2631A"/>
    <w:rsid w:val="00B309E9"/>
    <w:rsid w:val="00B404FD"/>
    <w:rsid w:val="00B420B8"/>
    <w:rsid w:val="00B45A2F"/>
    <w:rsid w:val="00B45AA8"/>
    <w:rsid w:val="00B51DC7"/>
    <w:rsid w:val="00B52C55"/>
    <w:rsid w:val="00B83A68"/>
    <w:rsid w:val="00B852FF"/>
    <w:rsid w:val="00B86738"/>
    <w:rsid w:val="00B90197"/>
    <w:rsid w:val="00B90603"/>
    <w:rsid w:val="00BA1E2A"/>
    <w:rsid w:val="00BC3D24"/>
    <w:rsid w:val="00BD6E4F"/>
    <w:rsid w:val="00BE2DA2"/>
    <w:rsid w:val="00BE43E4"/>
    <w:rsid w:val="00BF658D"/>
    <w:rsid w:val="00C2475E"/>
    <w:rsid w:val="00C320AE"/>
    <w:rsid w:val="00C32993"/>
    <w:rsid w:val="00C53AC7"/>
    <w:rsid w:val="00C545A7"/>
    <w:rsid w:val="00C6003C"/>
    <w:rsid w:val="00C86967"/>
    <w:rsid w:val="00C87A9E"/>
    <w:rsid w:val="00C91C99"/>
    <w:rsid w:val="00CB27BB"/>
    <w:rsid w:val="00CB36AF"/>
    <w:rsid w:val="00CD2CE9"/>
    <w:rsid w:val="00CD4577"/>
    <w:rsid w:val="00CE25D0"/>
    <w:rsid w:val="00CE3C60"/>
    <w:rsid w:val="00CF65A8"/>
    <w:rsid w:val="00D1496E"/>
    <w:rsid w:val="00D5537F"/>
    <w:rsid w:val="00D66113"/>
    <w:rsid w:val="00D77CEC"/>
    <w:rsid w:val="00DB4D74"/>
    <w:rsid w:val="00DB6DB4"/>
    <w:rsid w:val="00DD1637"/>
    <w:rsid w:val="00DD45C3"/>
    <w:rsid w:val="00DD73F9"/>
    <w:rsid w:val="00DE6EFE"/>
    <w:rsid w:val="00E15AA1"/>
    <w:rsid w:val="00E2654E"/>
    <w:rsid w:val="00E27027"/>
    <w:rsid w:val="00E43AA7"/>
    <w:rsid w:val="00E47535"/>
    <w:rsid w:val="00E5496E"/>
    <w:rsid w:val="00E97573"/>
    <w:rsid w:val="00EB608C"/>
    <w:rsid w:val="00EB6549"/>
    <w:rsid w:val="00EC4906"/>
    <w:rsid w:val="00ED4A55"/>
    <w:rsid w:val="00EE40C8"/>
    <w:rsid w:val="00F00588"/>
    <w:rsid w:val="00F017A2"/>
    <w:rsid w:val="00F01811"/>
    <w:rsid w:val="00F268E8"/>
    <w:rsid w:val="00F47D09"/>
    <w:rsid w:val="00F536FD"/>
    <w:rsid w:val="00F564CF"/>
    <w:rsid w:val="00F62C36"/>
    <w:rsid w:val="00F66391"/>
    <w:rsid w:val="00F76D4C"/>
    <w:rsid w:val="00F802B6"/>
    <w:rsid w:val="00F82F2B"/>
    <w:rsid w:val="00F837E5"/>
    <w:rsid w:val="00F83E2D"/>
    <w:rsid w:val="00F8438D"/>
    <w:rsid w:val="00F91AFD"/>
    <w:rsid w:val="00F94A30"/>
    <w:rsid w:val="00FB212B"/>
    <w:rsid w:val="00FB3997"/>
    <w:rsid w:val="00FC7D8E"/>
    <w:rsid w:val="00FE0205"/>
    <w:rsid w:val="00FF744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86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D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45AA8"/>
    <w:rPr>
      <w:sz w:val="18"/>
      <w:szCs w:val="18"/>
    </w:rPr>
  </w:style>
  <w:style w:type="paragraph" w:styleId="CommentText">
    <w:name w:val="annotation text"/>
    <w:basedOn w:val="Normal"/>
    <w:link w:val="CommentTextChar"/>
    <w:uiPriority w:val="99"/>
    <w:unhideWhenUsed/>
    <w:rsid w:val="00B45AA8"/>
  </w:style>
  <w:style w:type="character" w:customStyle="1" w:styleId="CommentTextChar">
    <w:name w:val="Comment Text Char"/>
    <w:basedOn w:val="DefaultParagraphFont"/>
    <w:link w:val="CommentText"/>
    <w:uiPriority w:val="99"/>
    <w:rsid w:val="00B45AA8"/>
    <w:rPr>
      <w:rFonts w:eastAsiaTheme="minorEastAsia"/>
      <w:lang w:val="en-US"/>
    </w:rPr>
  </w:style>
  <w:style w:type="paragraph" w:styleId="BalloonText">
    <w:name w:val="Balloon Text"/>
    <w:basedOn w:val="Normal"/>
    <w:link w:val="BalloonTextChar"/>
    <w:uiPriority w:val="99"/>
    <w:semiHidden/>
    <w:unhideWhenUsed/>
    <w:rsid w:val="00B45AA8"/>
    <w:rPr>
      <w:sz w:val="18"/>
      <w:szCs w:val="18"/>
    </w:rPr>
  </w:style>
  <w:style w:type="character" w:customStyle="1" w:styleId="BalloonTextChar">
    <w:name w:val="Balloon Text Char"/>
    <w:basedOn w:val="DefaultParagraphFont"/>
    <w:link w:val="BalloonText"/>
    <w:uiPriority w:val="99"/>
    <w:semiHidden/>
    <w:rsid w:val="00B45AA8"/>
    <w:rPr>
      <w:rFonts w:ascii="Times New Roman" w:eastAsiaTheme="minorEastAsia"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E2654E"/>
    <w:rPr>
      <w:b/>
      <w:bCs/>
      <w:sz w:val="20"/>
      <w:szCs w:val="20"/>
    </w:rPr>
  </w:style>
  <w:style w:type="character" w:customStyle="1" w:styleId="CommentSubjectChar">
    <w:name w:val="Comment Subject Char"/>
    <w:basedOn w:val="CommentTextChar"/>
    <w:link w:val="CommentSubject"/>
    <w:uiPriority w:val="99"/>
    <w:semiHidden/>
    <w:rsid w:val="00E2654E"/>
    <w:rPr>
      <w:rFonts w:eastAsiaTheme="minorEastAsia"/>
      <w:b/>
      <w:bCs/>
      <w:sz w:val="20"/>
      <w:szCs w:val="20"/>
      <w:lang w:val="en-US"/>
    </w:rPr>
  </w:style>
  <w:style w:type="character" w:styleId="Hyperlink">
    <w:name w:val="Hyperlink"/>
    <w:basedOn w:val="DefaultParagraphFont"/>
    <w:uiPriority w:val="99"/>
    <w:unhideWhenUsed/>
    <w:rsid w:val="000377B5"/>
    <w:rPr>
      <w:color w:val="0563C1" w:themeColor="hyperlink"/>
      <w:u w:val="single"/>
    </w:rPr>
  </w:style>
  <w:style w:type="table" w:styleId="TableGrid">
    <w:name w:val="Table Grid"/>
    <w:basedOn w:val="TableNormal"/>
    <w:uiPriority w:val="59"/>
    <w:rsid w:val="000377B5"/>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B6549"/>
    <w:pPr>
      <w:tabs>
        <w:tab w:val="center" w:pos="4513"/>
        <w:tab w:val="right" w:pos="9026"/>
      </w:tabs>
    </w:pPr>
  </w:style>
  <w:style w:type="character" w:customStyle="1" w:styleId="FooterChar">
    <w:name w:val="Footer Char"/>
    <w:basedOn w:val="DefaultParagraphFont"/>
    <w:link w:val="Footer"/>
    <w:uiPriority w:val="99"/>
    <w:rsid w:val="00EB6549"/>
    <w:rPr>
      <w:rFonts w:eastAsiaTheme="minorEastAsia"/>
      <w:lang w:val="en-US"/>
    </w:rPr>
  </w:style>
  <w:style w:type="character" w:styleId="PageNumber">
    <w:name w:val="page number"/>
    <w:basedOn w:val="DefaultParagraphFont"/>
    <w:uiPriority w:val="99"/>
    <w:semiHidden/>
    <w:unhideWhenUsed/>
    <w:rsid w:val="00EB6549"/>
  </w:style>
  <w:style w:type="character" w:styleId="LineNumber">
    <w:name w:val="line number"/>
    <w:basedOn w:val="DefaultParagraphFont"/>
    <w:uiPriority w:val="99"/>
    <w:semiHidden/>
    <w:unhideWhenUsed/>
    <w:rsid w:val="00EB6549"/>
  </w:style>
  <w:style w:type="paragraph" w:styleId="Revision">
    <w:name w:val="Revision"/>
    <w:hidden/>
    <w:uiPriority w:val="99"/>
    <w:semiHidden/>
    <w:rsid w:val="00DD45C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5661">
      <w:bodyDiv w:val="1"/>
      <w:marLeft w:val="0"/>
      <w:marRight w:val="0"/>
      <w:marTop w:val="0"/>
      <w:marBottom w:val="0"/>
      <w:divBdr>
        <w:top w:val="none" w:sz="0" w:space="0" w:color="auto"/>
        <w:left w:val="none" w:sz="0" w:space="0" w:color="auto"/>
        <w:bottom w:val="none" w:sz="0" w:space="0" w:color="auto"/>
        <w:right w:val="none" w:sz="0" w:space="0" w:color="auto"/>
      </w:divBdr>
    </w:div>
    <w:div w:id="1223642840">
      <w:bodyDiv w:val="1"/>
      <w:marLeft w:val="0"/>
      <w:marRight w:val="0"/>
      <w:marTop w:val="0"/>
      <w:marBottom w:val="0"/>
      <w:divBdr>
        <w:top w:val="none" w:sz="0" w:space="0" w:color="auto"/>
        <w:left w:val="none" w:sz="0" w:space="0" w:color="auto"/>
        <w:bottom w:val="none" w:sz="0" w:space="0" w:color="auto"/>
        <w:right w:val="none" w:sz="0" w:space="0" w:color="auto"/>
      </w:divBdr>
    </w:div>
    <w:div w:id="1634094514">
      <w:bodyDiv w:val="1"/>
      <w:marLeft w:val="0"/>
      <w:marRight w:val="0"/>
      <w:marTop w:val="0"/>
      <w:marBottom w:val="0"/>
      <w:divBdr>
        <w:top w:val="none" w:sz="0" w:space="0" w:color="auto"/>
        <w:left w:val="none" w:sz="0" w:space="0" w:color="auto"/>
        <w:bottom w:val="none" w:sz="0" w:space="0" w:color="auto"/>
        <w:right w:val="none" w:sz="0" w:space="0" w:color="auto"/>
      </w:divBdr>
    </w:div>
    <w:div w:id="2042048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s://earth.esa.int/web/guest/missions/esa-operational-eo-missions/envisat/instruments/meri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F8C2FF-365A-DE41-992C-2554F3B4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7200</Words>
  <Characters>41043</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3</cp:revision>
  <cp:lastPrinted>2019-01-08T21:45:00Z</cp:lastPrinted>
  <dcterms:created xsi:type="dcterms:W3CDTF">2019-02-26T02:40:00Z</dcterms:created>
  <dcterms:modified xsi:type="dcterms:W3CDTF">2019-02-26T02:41:00Z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http://www.zotero.org/styles/ecology</vt:lpwstr>
  </property>
  <property fmtid="{D5CDD505-2E9C-101B-9397-08002B2CF9AE}" pid="5" name="Mendeley Recent Style Name 1_1">
    <vt:lpwstr>Ecology</vt:lpwstr>
  </property>
  <property fmtid="{D5CDD505-2E9C-101B-9397-08002B2CF9AE}" pid="6" name="Mendeley Recent Style Id 2_1">
    <vt:lpwstr>http://www.zotero.org/styles/global-change-biology</vt:lpwstr>
  </property>
  <property fmtid="{D5CDD505-2E9C-101B-9397-08002B2CF9AE}" pid="7" name="Mendeley Recent Style Name 2_1">
    <vt:lpwstr>Global Change Biology</vt:lpwstr>
  </property>
  <property fmtid="{D5CDD505-2E9C-101B-9397-08002B2CF9AE}" pid="8" name="Mendeley Recent Style Id 3_1">
    <vt:lpwstr>http://www.zotero.org/styles/global-ecology-and-biogeography</vt:lpwstr>
  </property>
  <property fmtid="{D5CDD505-2E9C-101B-9397-08002B2CF9AE}" pid="9" name="Mendeley Recent Style Name 3_1">
    <vt:lpwstr>Global Ecology and Biogeography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19a5bd7e-aaf8-395a-b3e4-ee87e8fa949c</vt:lpwstr>
  </property>
  <property fmtid="{D5CDD505-2E9C-101B-9397-08002B2CF9AE}" pid="24" name="Mendeley Citation Style_1">
    <vt:lpwstr>http://www.zotero.org/styles/proceedings-of-the-royal-society-b</vt:lpwstr>
  </property>
</Properties>
</file>