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C5551" w14:textId="128EE631" w:rsidR="00AC48ED" w:rsidRPr="00AC48ED" w:rsidRDefault="00AC48ED" w:rsidP="00AC48ED">
      <w:pPr>
        <w:spacing w:line="360" w:lineRule="auto"/>
        <w:rPr>
          <w:b/>
        </w:rPr>
      </w:pPr>
      <w:r>
        <w:rPr>
          <w:b/>
        </w:rPr>
        <w:t xml:space="preserve">Ultrastructural evidence of a mechanosensory function of </w:t>
      </w:r>
      <w:r w:rsidRPr="0006194B">
        <w:rPr>
          <w:b/>
        </w:rPr>
        <w:t xml:space="preserve">scale </w:t>
      </w:r>
      <w:r>
        <w:rPr>
          <w:b/>
        </w:rPr>
        <w:t>‘sensilla’</w:t>
      </w:r>
      <w:r w:rsidRPr="0006194B">
        <w:rPr>
          <w:b/>
        </w:rPr>
        <w:t xml:space="preserve"> in sea snakes</w:t>
      </w:r>
      <w:r>
        <w:rPr>
          <w:b/>
        </w:rPr>
        <w:t xml:space="preserve"> </w:t>
      </w:r>
      <w:r w:rsidRPr="0006194B">
        <w:rPr>
          <w:b/>
        </w:rPr>
        <w:t>(Hydrophiinae)</w:t>
      </w:r>
    </w:p>
    <w:p w14:paraId="255660EF" w14:textId="1C981CA0" w:rsidR="00AC48ED" w:rsidRPr="00AC48ED" w:rsidRDefault="00AC48ED" w:rsidP="00AC48ED">
      <w:pPr>
        <w:spacing w:line="360" w:lineRule="auto"/>
        <w:rPr>
          <w:vertAlign w:val="superscript"/>
        </w:rPr>
      </w:pPr>
      <w:r w:rsidRPr="00BF1E0D">
        <w:t xml:space="preserve">Jenna </w:t>
      </w:r>
      <w:r>
        <w:t xml:space="preserve">M. </w:t>
      </w:r>
      <w:r w:rsidRPr="00BF1E0D">
        <w:t>Crowe-Riddell</w:t>
      </w:r>
      <w:r>
        <w:t>, Ruth Williams, Lucille Chapuis</w:t>
      </w:r>
      <w:r w:rsidRPr="00AD0B08">
        <w:t>,</w:t>
      </w:r>
      <w:r w:rsidRPr="009F1477">
        <w:t xml:space="preserve"> </w:t>
      </w:r>
      <w:r w:rsidRPr="00BF1E0D">
        <w:t>Kate L. Sanders</w:t>
      </w:r>
    </w:p>
    <w:p w14:paraId="22D4B261" w14:textId="13EA79FB" w:rsidR="00AC48ED" w:rsidRPr="00655553" w:rsidRDefault="00AC48ED" w:rsidP="00AC48ED">
      <w:pPr>
        <w:spacing w:before="480" w:after="120" w:line="360" w:lineRule="auto"/>
        <w:rPr>
          <w:b/>
          <w:kern w:val="36"/>
          <w:sz w:val="28"/>
          <w:szCs w:val="28"/>
        </w:rPr>
      </w:pPr>
      <w:r w:rsidRPr="00655553">
        <w:rPr>
          <w:b/>
          <w:kern w:val="36"/>
          <w:sz w:val="28"/>
          <w:szCs w:val="28"/>
        </w:rPr>
        <w:t>Supplementary</w:t>
      </w:r>
    </w:p>
    <w:p w14:paraId="39433538" w14:textId="77777777" w:rsidR="00AC48ED" w:rsidRDefault="00AC48ED" w:rsidP="00AC48ED">
      <w:pPr>
        <w:spacing w:before="120" w:after="120" w:line="360" w:lineRule="auto"/>
        <w:rPr>
          <w:b/>
          <w:kern w:val="36"/>
          <w:sz w:val="20"/>
          <w:szCs w:val="20"/>
        </w:rPr>
      </w:pPr>
      <w:r>
        <w:rPr>
          <w:b/>
          <w:noProof/>
          <w:kern w:val="36"/>
          <w:sz w:val="20"/>
          <w:szCs w:val="20"/>
        </w:rPr>
        <w:drawing>
          <wp:inline distT="0" distB="0" distL="0" distR="0" wp14:anchorId="350240FC" wp14:editId="602C05B1">
            <wp:extent cx="4914900" cy="608551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gS1_IHC_ctrlsv2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33"/>
                    <a:stretch/>
                  </pic:blipFill>
                  <pic:spPr bwMode="auto">
                    <a:xfrm>
                      <a:off x="0" y="0"/>
                      <a:ext cx="4930645" cy="61050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5D6BED" w14:textId="77777777" w:rsidR="00AC48ED" w:rsidRDefault="00AC48ED" w:rsidP="00AC48ED">
      <w:pPr>
        <w:spacing w:before="120" w:after="120" w:line="360" w:lineRule="auto"/>
        <w:rPr>
          <w:kern w:val="36"/>
          <w:sz w:val="20"/>
          <w:szCs w:val="20"/>
        </w:rPr>
      </w:pPr>
      <w:r w:rsidRPr="00410B38">
        <w:rPr>
          <w:b/>
          <w:kern w:val="36"/>
          <w:sz w:val="20"/>
          <w:szCs w:val="20"/>
        </w:rPr>
        <w:t>Figure S</w:t>
      </w:r>
      <w:r>
        <w:rPr>
          <w:b/>
          <w:kern w:val="36"/>
          <w:sz w:val="20"/>
          <w:szCs w:val="20"/>
        </w:rPr>
        <w:t>1</w:t>
      </w:r>
      <w:r w:rsidRPr="00410B38">
        <w:rPr>
          <w:b/>
          <w:kern w:val="36"/>
          <w:sz w:val="20"/>
          <w:szCs w:val="20"/>
        </w:rPr>
        <w:t>.</w:t>
      </w:r>
      <w:r w:rsidRPr="00410B38">
        <w:rPr>
          <w:kern w:val="36"/>
          <w:sz w:val="20"/>
          <w:szCs w:val="20"/>
        </w:rPr>
        <w:t xml:space="preserve"> Primary and secondary antibody controls for PGP9.5 in</w:t>
      </w:r>
      <w:r>
        <w:rPr>
          <w:kern w:val="36"/>
          <w:sz w:val="20"/>
          <w:szCs w:val="20"/>
        </w:rPr>
        <w:t xml:space="preserve"> A)</w:t>
      </w:r>
      <w:r w:rsidRPr="00410B38">
        <w:rPr>
          <w:kern w:val="36"/>
          <w:sz w:val="20"/>
          <w:szCs w:val="20"/>
        </w:rPr>
        <w:t xml:space="preserve"> taipan (</w:t>
      </w:r>
      <w:r w:rsidRPr="00410B38">
        <w:rPr>
          <w:i/>
          <w:sz w:val="20"/>
          <w:szCs w:val="20"/>
        </w:rPr>
        <w:t>Oxyuranus scutellatus)</w:t>
      </w:r>
      <w:r w:rsidRPr="00410B38">
        <w:rPr>
          <w:kern w:val="36"/>
          <w:sz w:val="20"/>
          <w:szCs w:val="20"/>
        </w:rPr>
        <w:t xml:space="preserve"> brain tissue and</w:t>
      </w:r>
      <w:r>
        <w:rPr>
          <w:kern w:val="36"/>
          <w:sz w:val="20"/>
          <w:szCs w:val="20"/>
        </w:rPr>
        <w:t xml:space="preserve"> B)</w:t>
      </w:r>
      <w:r w:rsidRPr="00410B38">
        <w:rPr>
          <w:kern w:val="36"/>
          <w:sz w:val="20"/>
          <w:szCs w:val="20"/>
        </w:rPr>
        <w:t xml:space="preserve"> sea snake (</w:t>
      </w:r>
      <w:r w:rsidRPr="00410B38">
        <w:rPr>
          <w:i/>
          <w:kern w:val="36"/>
          <w:sz w:val="20"/>
          <w:szCs w:val="20"/>
        </w:rPr>
        <w:t>Hydrophis stokesii</w:t>
      </w:r>
      <w:r w:rsidRPr="00410B38">
        <w:rPr>
          <w:kern w:val="36"/>
          <w:sz w:val="20"/>
          <w:szCs w:val="20"/>
        </w:rPr>
        <w:t xml:space="preserve">) cephalic skin tissue. Negative controls were performed </w:t>
      </w:r>
      <w:r w:rsidRPr="00410B38">
        <w:rPr>
          <w:sz w:val="20"/>
          <w:szCs w:val="20"/>
        </w:rPr>
        <w:t xml:space="preserve">by omitting primary antibody incubation step. </w:t>
      </w:r>
      <w:r w:rsidRPr="00410B38">
        <w:rPr>
          <w:kern w:val="36"/>
          <w:sz w:val="20"/>
          <w:szCs w:val="20"/>
        </w:rPr>
        <w:t xml:space="preserve">Note the generalised staining of the epidermis in snake skin, likely resulting from cross-reactivity of secondary and / or tertiary antibodies during immunohistochemistry procedure; nerve bundles (n) do not show same cross-reactivity. </w:t>
      </w:r>
    </w:p>
    <w:p w14:paraId="6DD183F5" w14:textId="2EC82998" w:rsidR="00D32B3F" w:rsidRDefault="00D32B3F">
      <w:bookmarkStart w:id="0" w:name="_GoBack"/>
      <w:bookmarkEnd w:id="0"/>
    </w:p>
    <w:sectPr w:rsidR="00D32B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8ED"/>
    <w:rsid w:val="00AC48ED"/>
    <w:rsid w:val="00AF7041"/>
    <w:rsid w:val="00D32B3F"/>
    <w:rsid w:val="00E7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617D5"/>
  <w15:chartTrackingRefBased/>
  <w15:docId w15:val="{BD2E5ACE-6031-4E71-9A9B-B9015918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4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C48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8ED"/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8ED"/>
    <w:rPr>
      <w:rFonts w:ascii="Times New Roman" w:eastAsiaTheme="minorEastAsia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8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8E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Crowe-Riddell</dc:creator>
  <cp:keywords/>
  <dc:description/>
  <cp:lastModifiedBy>Jenna Crowe-Riddell</cp:lastModifiedBy>
  <cp:revision>2</cp:revision>
  <dcterms:created xsi:type="dcterms:W3CDTF">2018-11-13T22:11:00Z</dcterms:created>
  <dcterms:modified xsi:type="dcterms:W3CDTF">2018-11-14T02:38:00Z</dcterms:modified>
</cp:coreProperties>
</file>