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EEB68C9" w14:textId="6154C37F" w:rsidR="00AC14D8" w:rsidRPr="00AC14D8" w:rsidRDefault="0062020D" w:rsidP="001727F6">
      <w:r>
        <w:t>Supplementary file 2</w:t>
      </w:r>
      <w:r w:rsidR="001727F6">
        <w:t xml:space="preserve"> </w:t>
      </w:r>
      <w:r w:rsidR="00AC14D8">
        <w:t xml:space="preserve">to </w:t>
      </w:r>
      <w:r w:rsidR="00AC14D8" w:rsidRPr="00AC14D8">
        <w:rPr>
          <w:rFonts w:cs="Times New Roman"/>
        </w:rPr>
        <w:t xml:space="preserve">Groot AT,  van Wijk M, Villacis-Perez E, Kuperus P, Schöfl G, van Veldhuizen D, Heckel D. </w:t>
      </w:r>
      <w:r w:rsidR="00AC14D8" w:rsidRPr="00AC14D8">
        <w:rPr>
          <w:rFonts w:cs="Times New Roman"/>
          <w:color w:val="000000"/>
        </w:rPr>
        <w:t xml:space="preserve">Within-population variability in a moth sex pheromone blend, part 2: </w:t>
      </w:r>
      <w:r w:rsidR="00AC14D8" w:rsidRPr="00AC14D8">
        <w:rPr>
          <w:rFonts w:cs="Times New Roman"/>
          <w:color w:val="000000"/>
          <w:lang w:val="nl-NL"/>
        </w:rPr>
        <w:t>Selection towards fixation. Royal Society Open Science.</w:t>
      </w:r>
    </w:p>
    <w:p w14:paraId="3DCAB36C" w14:textId="4EFD4788" w:rsidR="0043476F" w:rsidRDefault="001727F6" w:rsidP="001727F6">
      <w:r>
        <w:t xml:space="preserve">Screening wild-caught </w:t>
      </w:r>
      <w:r w:rsidRPr="00AC14D8">
        <w:rPr>
          <w:i/>
        </w:rPr>
        <w:t>Heliothis virescens</w:t>
      </w:r>
      <w:r>
        <w:t xml:space="preserve"> individuals for the presence of the stop codon in the first exon on delta-11-desaturase</w:t>
      </w:r>
    </w:p>
    <w:p w14:paraId="66048B44" w14:textId="178DB215" w:rsidR="001727F6" w:rsidRDefault="0045222A" w:rsidP="00A3736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1F59EAE" wp14:editId="7B7C13F4">
            <wp:extent cx="5903366" cy="2459631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08464" cy="246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5FA650" w14:textId="77777777" w:rsidR="00A37369" w:rsidRPr="00AC14D8" w:rsidRDefault="0062020D" w:rsidP="00A37369">
      <w:pPr>
        <w:spacing w:after="0" w:line="360" w:lineRule="auto"/>
        <w:rPr>
          <w:rFonts w:cs="Times New Roman"/>
          <w:sz w:val="20"/>
          <w:szCs w:val="20"/>
        </w:rPr>
      </w:pPr>
      <w:r w:rsidRPr="00AC14D8">
        <w:rPr>
          <w:rFonts w:cs="Times New Roman"/>
          <w:b/>
          <w:sz w:val="20"/>
          <w:szCs w:val="20"/>
        </w:rPr>
        <w:t>Figure S2a</w:t>
      </w:r>
      <w:r w:rsidR="00A37369" w:rsidRPr="00AC14D8">
        <w:rPr>
          <w:rFonts w:cs="Times New Roman"/>
          <w:sz w:val="20"/>
          <w:szCs w:val="20"/>
        </w:rPr>
        <w:t xml:space="preserve">. Gels showing bands generated by a forward primer on the non-stop (left gel) or stop codon (right gel) of delta-11-desaturase in the female-informative BC46 (HL x H). The numbers above the slots are the numbers of the females. </w:t>
      </w:r>
    </w:p>
    <w:p w14:paraId="37B70007" w14:textId="2788D315" w:rsidR="00A37369" w:rsidRPr="00B24DE1" w:rsidRDefault="0045222A" w:rsidP="00A3736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716A56B" wp14:editId="53A92E37">
            <wp:extent cx="5902960" cy="3406471"/>
            <wp:effectExtent l="0" t="0" r="254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06975" cy="3408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88D12E" w14:textId="77777777" w:rsidR="00A37369" w:rsidRPr="00AC14D8" w:rsidRDefault="00A37369" w:rsidP="00A37369">
      <w:pPr>
        <w:spacing w:after="0" w:line="360" w:lineRule="auto"/>
        <w:rPr>
          <w:rFonts w:cs="Times New Roman"/>
          <w:sz w:val="20"/>
          <w:szCs w:val="20"/>
        </w:rPr>
      </w:pPr>
      <w:r w:rsidRPr="00AC14D8">
        <w:rPr>
          <w:rFonts w:cs="Times New Roman"/>
          <w:b/>
          <w:sz w:val="20"/>
          <w:szCs w:val="20"/>
        </w:rPr>
        <w:t>Figur</w:t>
      </w:r>
      <w:r w:rsidR="0062020D" w:rsidRPr="00AC14D8">
        <w:rPr>
          <w:rFonts w:cs="Times New Roman"/>
          <w:b/>
          <w:sz w:val="20"/>
          <w:szCs w:val="20"/>
        </w:rPr>
        <w:t>e S2b</w:t>
      </w:r>
      <w:r w:rsidRPr="00AC14D8">
        <w:rPr>
          <w:rFonts w:cs="Times New Roman"/>
          <w:sz w:val="20"/>
          <w:szCs w:val="20"/>
        </w:rPr>
        <w:t xml:space="preserve">. Gels showing bands generated by a forward primer on the non-stop (upper gels) or stop codon (lower gels) of delta-11-desaturase in the male-informative BC35 (H x HL). The numbers above the slots are the ratios of 16:Ald/Z11-16:Ald and the numbers of the females. </w:t>
      </w:r>
    </w:p>
    <w:p w14:paraId="4AAEBAC3" w14:textId="74222638" w:rsidR="00A37369" w:rsidRPr="00B24DE1" w:rsidRDefault="0045222A" w:rsidP="00A3736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D212DAD" wp14:editId="1306D86B">
            <wp:extent cx="5972810" cy="3509645"/>
            <wp:effectExtent l="0" t="0" r="889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509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3FB923" w14:textId="77777777" w:rsidR="00A37369" w:rsidRPr="00AC14D8" w:rsidRDefault="0062020D" w:rsidP="00A37369">
      <w:pPr>
        <w:spacing w:after="0" w:line="360" w:lineRule="auto"/>
        <w:rPr>
          <w:rFonts w:cs="Times New Roman"/>
          <w:sz w:val="20"/>
          <w:szCs w:val="20"/>
        </w:rPr>
      </w:pPr>
      <w:r w:rsidRPr="00AC14D8">
        <w:rPr>
          <w:rFonts w:cs="Times New Roman"/>
          <w:b/>
          <w:sz w:val="20"/>
          <w:szCs w:val="20"/>
        </w:rPr>
        <w:t>Figure S2</w:t>
      </w:r>
      <w:r w:rsidR="00A37369" w:rsidRPr="00AC14D8">
        <w:rPr>
          <w:rFonts w:cs="Times New Roman"/>
          <w:b/>
          <w:sz w:val="20"/>
          <w:szCs w:val="20"/>
        </w:rPr>
        <w:t>c</w:t>
      </w:r>
      <w:r w:rsidR="00A37369" w:rsidRPr="00AC14D8">
        <w:rPr>
          <w:rFonts w:cs="Times New Roman"/>
          <w:sz w:val="20"/>
          <w:szCs w:val="20"/>
        </w:rPr>
        <w:t xml:space="preserve">. Gels showing bands generated by a forward primer on the stop or non-stop codon of delta-11-desaturase in the female-informative BC23 (HL x L). The numbers above the slots are the numbers of the females. </w:t>
      </w:r>
    </w:p>
    <w:p w14:paraId="23AE3594" w14:textId="77777777" w:rsidR="00A37369" w:rsidRPr="00B24DE1" w:rsidRDefault="00A37369" w:rsidP="00A3736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D4A3BA4" w14:textId="572A7D33" w:rsidR="00A37369" w:rsidRPr="00B24DE1" w:rsidRDefault="00FB78B1" w:rsidP="00A3736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1411DFA7" wp14:editId="3AED051D">
            <wp:extent cx="5905929" cy="3229864"/>
            <wp:effectExtent l="0" t="0" r="0" b="889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06393" cy="3230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DEEA5A" w14:textId="77777777" w:rsidR="00A37369" w:rsidRPr="00AC14D8" w:rsidRDefault="0062020D" w:rsidP="00A37369">
      <w:pPr>
        <w:spacing w:after="0" w:line="360" w:lineRule="auto"/>
        <w:rPr>
          <w:rFonts w:cs="Times New Roman"/>
          <w:sz w:val="20"/>
          <w:szCs w:val="20"/>
        </w:rPr>
      </w:pPr>
      <w:r w:rsidRPr="00AC14D8">
        <w:rPr>
          <w:rFonts w:cs="Times New Roman"/>
          <w:b/>
          <w:sz w:val="20"/>
          <w:szCs w:val="20"/>
        </w:rPr>
        <w:t>Figure S2d</w:t>
      </w:r>
      <w:r w:rsidR="00A37369" w:rsidRPr="00AC14D8">
        <w:rPr>
          <w:rFonts w:cs="Times New Roman"/>
          <w:sz w:val="20"/>
          <w:szCs w:val="20"/>
        </w:rPr>
        <w:t xml:space="preserve">. Gels showing bands generated by a forward primer on the non-stop (left gels) or stop codon (right gels) of delta-11-desaturase in the previous female-informative backcross 6Y-R (HL x L). The numbers above the slots are the numbers of the females. </w:t>
      </w:r>
    </w:p>
    <w:p w14:paraId="29D16E91" w14:textId="77777777" w:rsidR="00A37369" w:rsidRPr="00B24DE1" w:rsidRDefault="00A37369" w:rsidP="00A3736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28B6B6B" w14:textId="32BA5A1A" w:rsidR="00A37369" w:rsidRPr="00B24DE1" w:rsidRDefault="0011781E" w:rsidP="00A3736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700FD">
        <w:rPr>
          <w:noProof/>
          <w:lang w:eastAsia="nl-NL"/>
        </w:rPr>
        <w:lastRenderedPageBreak/>
        <w:t xml:space="preserve"> </w:t>
      </w:r>
      <w:r w:rsidR="002C2C78">
        <w:rPr>
          <w:noProof/>
        </w:rPr>
        <w:drawing>
          <wp:inline distT="0" distB="0" distL="0" distR="0" wp14:anchorId="1D0A3C74" wp14:editId="7EC35BAE">
            <wp:extent cx="2743137" cy="3194538"/>
            <wp:effectExtent l="0" t="0" r="635" b="635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22262" cy="3286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A4D14C" w14:textId="4740134A" w:rsidR="00A37369" w:rsidRPr="00AC14D8" w:rsidRDefault="00A37369" w:rsidP="00A37369">
      <w:pPr>
        <w:spacing w:after="0" w:line="360" w:lineRule="auto"/>
        <w:rPr>
          <w:rFonts w:cs="Times New Roman"/>
          <w:sz w:val="20"/>
          <w:szCs w:val="20"/>
        </w:rPr>
      </w:pPr>
      <w:r w:rsidRPr="00AC14D8">
        <w:rPr>
          <w:rFonts w:cs="Times New Roman"/>
          <w:b/>
          <w:sz w:val="20"/>
          <w:szCs w:val="20"/>
        </w:rPr>
        <w:t>F</w:t>
      </w:r>
      <w:r w:rsidR="0062020D" w:rsidRPr="00AC14D8">
        <w:rPr>
          <w:rFonts w:cs="Times New Roman"/>
          <w:b/>
          <w:sz w:val="20"/>
          <w:szCs w:val="20"/>
        </w:rPr>
        <w:t>igure S2e</w:t>
      </w:r>
      <w:r w:rsidRPr="00AC14D8">
        <w:rPr>
          <w:rFonts w:cs="Times New Roman"/>
          <w:sz w:val="20"/>
          <w:szCs w:val="20"/>
        </w:rPr>
        <w:t>. Gels showing bands generated by a forward primer on the stop codon of delta-11-desaturase in</w:t>
      </w:r>
      <w:r w:rsidR="006E6868" w:rsidRPr="00AC14D8">
        <w:rPr>
          <w:rFonts w:cs="Times New Roman"/>
          <w:sz w:val="20"/>
          <w:szCs w:val="20"/>
        </w:rPr>
        <w:t xml:space="preserve"> </w:t>
      </w:r>
      <w:r w:rsidR="006E6868" w:rsidRPr="00AC14D8">
        <w:rPr>
          <w:rFonts w:cs="Times New Roman"/>
          <w:i/>
          <w:sz w:val="20"/>
          <w:szCs w:val="20"/>
        </w:rPr>
        <w:t>H. virescens</w:t>
      </w:r>
      <w:r w:rsidR="006E6868" w:rsidRPr="00AC14D8">
        <w:rPr>
          <w:rFonts w:cs="Times New Roman"/>
          <w:sz w:val="20"/>
          <w:szCs w:val="20"/>
        </w:rPr>
        <w:t xml:space="preserve"> individuals from</w:t>
      </w:r>
      <w:r w:rsidRPr="00AC14D8">
        <w:rPr>
          <w:rFonts w:cs="Times New Roman"/>
          <w:sz w:val="20"/>
          <w:szCs w:val="20"/>
        </w:rPr>
        <w:t xml:space="preserve"> the </w:t>
      </w:r>
      <w:r w:rsidR="006E6868" w:rsidRPr="00AC14D8">
        <w:rPr>
          <w:rFonts w:cs="Times New Roman"/>
          <w:sz w:val="20"/>
          <w:szCs w:val="20"/>
        </w:rPr>
        <w:t xml:space="preserve">Jen2 </w:t>
      </w:r>
      <w:r w:rsidRPr="00AC14D8">
        <w:rPr>
          <w:rFonts w:cs="Times New Roman"/>
          <w:sz w:val="20"/>
          <w:szCs w:val="20"/>
        </w:rPr>
        <w:t xml:space="preserve">laboratory population of the Max Planck Institute for Chemical Ecology. The numbers above the slots are the plate slots </w:t>
      </w:r>
      <w:r w:rsidR="006E6868" w:rsidRPr="00AC14D8">
        <w:rPr>
          <w:rFonts w:cs="Times New Roman"/>
          <w:sz w:val="20"/>
          <w:szCs w:val="20"/>
        </w:rPr>
        <w:t>from</w:t>
      </w:r>
      <w:r w:rsidRPr="00AC14D8">
        <w:rPr>
          <w:rFonts w:cs="Times New Roman"/>
          <w:sz w:val="20"/>
          <w:szCs w:val="20"/>
        </w:rPr>
        <w:t xml:space="preserve"> which DNA was extracted. </w:t>
      </w:r>
    </w:p>
    <w:p w14:paraId="62FE19E3" w14:textId="2C779B32" w:rsidR="0056323F" w:rsidRDefault="0056323F">
      <w:r w:rsidRPr="00AC14D8">
        <w:rPr>
          <w:sz w:val="20"/>
          <w:szCs w:val="20"/>
        </w:rPr>
        <w:br w:type="page"/>
      </w:r>
      <w:bookmarkStart w:id="0" w:name="_GoBack"/>
      <w:bookmarkEnd w:id="0"/>
    </w:p>
    <w:p w14:paraId="6B881B52" w14:textId="5936E4C9" w:rsidR="0056323F" w:rsidRDefault="00321539" w:rsidP="00A37369">
      <w:r>
        <w:rPr>
          <w:noProof/>
        </w:rPr>
        <w:lastRenderedPageBreak/>
        <w:drawing>
          <wp:inline distT="0" distB="0" distL="0" distR="0" wp14:anchorId="35BD1232" wp14:editId="0D08A6B3">
            <wp:extent cx="2971162" cy="3072384"/>
            <wp:effectExtent l="0" t="0" r="127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20242" cy="3123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6323F" w:rsidRPr="008700FD">
        <w:rPr>
          <w:noProof/>
          <w:lang w:eastAsia="nl-NL"/>
        </w:rPr>
        <w:t xml:space="preserve"> </w:t>
      </w:r>
      <w:r>
        <w:rPr>
          <w:noProof/>
        </w:rPr>
        <w:drawing>
          <wp:inline distT="0" distB="0" distL="0" distR="0" wp14:anchorId="29F3E80F" wp14:editId="4F59ADA5">
            <wp:extent cx="2871666" cy="3071881"/>
            <wp:effectExtent l="0" t="0" r="508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86867" cy="3088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A52982" w14:textId="2DC8A257" w:rsidR="0056323F" w:rsidRDefault="00321539" w:rsidP="00A3736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765B9E94" wp14:editId="1C7665B2">
            <wp:extent cx="2993616" cy="3240633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16232" cy="3265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6323F" w:rsidRPr="008700FD">
        <w:rPr>
          <w:noProof/>
          <w:lang w:eastAsia="nl-NL"/>
        </w:rPr>
        <w:t xml:space="preserve"> </w:t>
      </w:r>
      <w:r>
        <w:rPr>
          <w:noProof/>
        </w:rPr>
        <w:drawing>
          <wp:inline distT="0" distB="0" distL="0" distR="0" wp14:anchorId="0508A685" wp14:editId="3F1A50A9">
            <wp:extent cx="2809740" cy="3198261"/>
            <wp:effectExtent l="0" t="0" r="0" b="254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46494" cy="3240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2C7672" w14:textId="7D0E1194" w:rsidR="00C04D9A" w:rsidRPr="00C04D9A" w:rsidRDefault="0056323F" w:rsidP="00C3706B">
      <w:pPr>
        <w:pStyle w:val="NormalWeb"/>
        <w:spacing w:before="0" w:beforeAutospacing="0" w:after="0" w:afterAutospacing="0" w:line="276" w:lineRule="auto"/>
      </w:pPr>
      <w:r w:rsidRPr="00C3706B">
        <w:rPr>
          <w:b/>
        </w:rPr>
        <w:t>Figure S2f</w:t>
      </w:r>
      <w:r w:rsidRPr="00C3706B">
        <w:t xml:space="preserve">. Gels showing bands generated by a forward primer on the stop codon of delta-11-desaturase in </w:t>
      </w:r>
      <w:r w:rsidR="00C21B2F" w:rsidRPr="00C3706B">
        <w:t>the</w:t>
      </w:r>
      <w:r w:rsidRPr="00C3706B">
        <w:t xml:space="preserve"> individuals </w:t>
      </w:r>
      <w:r w:rsidR="00C21B2F" w:rsidRPr="00C3706B">
        <w:t xml:space="preserve">of the four 96-well plates </w:t>
      </w:r>
      <w:r w:rsidRPr="00C3706B">
        <w:t xml:space="preserve">that were collected from the field in 2005 – 2008. The numbers above the slots are the plate slots </w:t>
      </w:r>
      <w:r w:rsidR="00C21B2F" w:rsidRPr="00C3706B">
        <w:t>from</w:t>
      </w:r>
      <w:r w:rsidRPr="00C3706B">
        <w:t xml:space="preserve"> which DNA was extracted.</w:t>
      </w:r>
      <w:r w:rsidR="00C04D9A" w:rsidRPr="00C3706B">
        <w:t xml:space="preserve"> Bands sequenced: </w:t>
      </w:r>
      <w:r w:rsidR="00C3706B" w:rsidRPr="00C3706B">
        <w:t>pl</w:t>
      </w:r>
      <w:r w:rsidR="00C04D9A" w:rsidRPr="00C3706B">
        <w:rPr>
          <w:rFonts w:eastAsia="Calibri"/>
          <w:color w:val="000000"/>
          <w:kern w:val="24"/>
          <w:lang w:val="nl-NL"/>
        </w:rPr>
        <w:t>ate 2 H6 + H11</w:t>
      </w:r>
      <w:r w:rsidR="00C3706B" w:rsidRPr="00C3706B">
        <w:rPr>
          <w:rFonts w:eastAsia="Calibri"/>
          <w:color w:val="000000"/>
          <w:kern w:val="24"/>
          <w:lang w:val="nl-NL"/>
        </w:rPr>
        <w:t xml:space="preserve">, </w:t>
      </w:r>
      <w:r w:rsidR="00C04D9A" w:rsidRPr="00C04D9A">
        <w:rPr>
          <w:rFonts w:eastAsia="Calibri"/>
          <w:color w:val="000000"/>
          <w:kern w:val="24"/>
        </w:rPr>
        <w:t>plate 3 H1 + G1 + H2 + H10</w:t>
      </w:r>
      <w:r w:rsidR="00C3706B" w:rsidRPr="00C3706B">
        <w:rPr>
          <w:rFonts w:eastAsia="Calibri"/>
          <w:color w:val="000000"/>
          <w:kern w:val="24"/>
        </w:rPr>
        <w:t xml:space="preserve">, </w:t>
      </w:r>
      <w:r w:rsidR="00C04D9A" w:rsidRPr="00C04D9A">
        <w:rPr>
          <w:rFonts w:eastAsia="Calibri"/>
          <w:color w:val="000000"/>
          <w:kern w:val="24"/>
        </w:rPr>
        <w:t>plate 4 D1 + D11</w:t>
      </w:r>
      <w:r w:rsidR="00C3706B" w:rsidRPr="00C3706B">
        <w:rPr>
          <w:rFonts w:eastAsia="Calibri"/>
          <w:color w:val="000000"/>
          <w:kern w:val="24"/>
        </w:rPr>
        <w:t>. The stopcodon was not found in the sequence of these samples, hence these were false positives.</w:t>
      </w:r>
    </w:p>
    <w:p w14:paraId="5F8D110C" w14:textId="61477060" w:rsidR="0056323F" w:rsidRDefault="0056323F" w:rsidP="00A37369"/>
    <w:sectPr w:rsidR="0056323F" w:rsidSect="00AC14D8">
      <w:pgSz w:w="12240" w:h="15840"/>
      <w:pgMar w:top="1276" w:right="1417" w:bottom="1134" w:left="1417" w:header="708" w:footer="708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4AB76209" w15:done="0"/>
  <w15:commentEx w15:paraId="7838E05D" w15:done="0"/>
  <w15:commentEx w15:paraId="22AF4339" w15:done="0"/>
</w15:commentsEx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Kuperus">
    <w15:presenceInfo w15:providerId="None" w15:userId="Kuperus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7369"/>
    <w:rsid w:val="0011781E"/>
    <w:rsid w:val="001727F6"/>
    <w:rsid w:val="001A66B0"/>
    <w:rsid w:val="002739B4"/>
    <w:rsid w:val="00273E29"/>
    <w:rsid w:val="002B0F03"/>
    <w:rsid w:val="002C2C78"/>
    <w:rsid w:val="00321539"/>
    <w:rsid w:val="003B1E3C"/>
    <w:rsid w:val="003E028B"/>
    <w:rsid w:val="00432502"/>
    <w:rsid w:val="0043476F"/>
    <w:rsid w:val="0045222A"/>
    <w:rsid w:val="0056323F"/>
    <w:rsid w:val="006048D5"/>
    <w:rsid w:val="0062020D"/>
    <w:rsid w:val="006E6868"/>
    <w:rsid w:val="00821B18"/>
    <w:rsid w:val="00843A42"/>
    <w:rsid w:val="008700FD"/>
    <w:rsid w:val="009C4B02"/>
    <w:rsid w:val="00A03A45"/>
    <w:rsid w:val="00A37369"/>
    <w:rsid w:val="00A9126E"/>
    <w:rsid w:val="00AC14D8"/>
    <w:rsid w:val="00B069BA"/>
    <w:rsid w:val="00C04D9A"/>
    <w:rsid w:val="00C21B2F"/>
    <w:rsid w:val="00C3706B"/>
    <w:rsid w:val="00EC7D41"/>
    <w:rsid w:val="00FB78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9462D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unhideWhenUsed/>
    <w:rsid w:val="00A37369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A37369"/>
    <w:rPr>
      <w:rFonts w:ascii="Calibri" w:eastAsia="Calibri" w:hAnsi="Calibri" w:cs="Times New Roman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A37369"/>
    <w:rPr>
      <w:rFonts w:ascii="Calibri" w:eastAsia="Calibri" w:hAnsi="Calibri"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373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7369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1727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43A42"/>
    <w:pPr>
      <w:spacing w:line="240" w:lineRule="auto"/>
    </w:pPr>
    <w:rPr>
      <w:rFonts w:asciiTheme="minorHAnsi" w:eastAsiaTheme="minorHAnsi" w:hAnsiTheme="minorHAnsi" w:cstheme="minorBidi"/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43A42"/>
    <w:rPr>
      <w:rFonts w:ascii="Calibri" w:eastAsia="Calibri" w:hAnsi="Calibri" w:cs="Times New Roman"/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unhideWhenUsed/>
    <w:rsid w:val="00A37369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A37369"/>
    <w:rPr>
      <w:rFonts w:ascii="Calibri" w:eastAsia="Calibri" w:hAnsi="Calibri" w:cs="Times New Roman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A37369"/>
    <w:rPr>
      <w:rFonts w:ascii="Calibri" w:eastAsia="Calibri" w:hAnsi="Calibri"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373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7369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1727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43A42"/>
    <w:pPr>
      <w:spacing w:line="240" w:lineRule="auto"/>
    </w:pPr>
    <w:rPr>
      <w:rFonts w:asciiTheme="minorHAnsi" w:eastAsiaTheme="minorHAnsi" w:hAnsiTheme="minorHAnsi" w:cstheme="minorBidi"/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43A42"/>
    <w:rPr>
      <w:rFonts w:ascii="Calibri" w:eastAsia="Calibri" w:hAnsi="Calibri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085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microsoft.com/office/2011/relationships/people" Target="peop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microsoft.com/office/2011/relationships/commentsExtended" Target="commentsExtended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318</Words>
  <Characters>1815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MPI for chemical ecology</Company>
  <LinksUpToDate>false</LinksUpToDate>
  <CharactersWithSpaces>2129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Astrid Groot</dc:creator>
  <cp:lastModifiedBy>Astrid Groot</cp:lastModifiedBy>
  <cp:revision>2</cp:revision>
  <dcterms:created xsi:type="dcterms:W3CDTF">2019-02-07T10:57:00Z</dcterms:created>
  <dcterms:modified xsi:type="dcterms:W3CDTF">2019-02-07T10:57:00Z</dcterms:modified>
</cp:coreProperties>
</file>