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55" w:rsidRDefault="006F4D6A" w:rsidP="001F7A55">
      <w:pPr>
        <w:rPr>
          <w:b/>
        </w:rPr>
      </w:pPr>
      <w:r w:rsidRPr="00144389">
        <w:rPr>
          <w:b/>
        </w:rPr>
        <w:t xml:space="preserve">Supplementary </w:t>
      </w:r>
      <w:r w:rsidR="001F7A55" w:rsidRPr="00144389">
        <w:rPr>
          <w:b/>
        </w:rPr>
        <w:t xml:space="preserve">Materials </w:t>
      </w:r>
    </w:p>
    <w:p w:rsidR="001428D6" w:rsidRPr="000E0F78" w:rsidRDefault="001428D6" w:rsidP="001428D6">
      <w:pPr>
        <w:rPr>
          <w:rFonts w:ascii="Calibri" w:hAnsi="Calibri" w:cs="Calibri"/>
          <w:b/>
        </w:rPr>
      </w:pPr>
      <w:r w:rsidRPr="000E0F78">
        <w:rPr>
          <w:rFonts w:ascii="Calibri" w:hAnsi="Calibri" w:cs="Calibri"/>
        </w:rPr>
        <w:t>Catherine E. Lovelock and Carlos</w:t>
      </w:r>
      <w:r>
        <w:rPr>
          <w:rFonts w:ascii="Calibri" w:hAnsi="Calibri" w:cs="Calibri"/>
        </w:rPr>
        <w:t xml:space="preserve"> M.</w:t>
      </w:r>
      <w:r w:rsidRPr="000E0F78">
        <w:rPr>
          <w:rFonts w:ascii="Calibri" w:hAnsi="Calibri" w:cs="Calibri"/>
        </w:rPr>
        <w:t xml:space="preserve"> Duarte</w:t>
      </w:r>
      <w:r>
        <w:rPr>
          <w:rFonts w:ascii="Calibri" w:hAnsi="Calibri" w:cs="Calibri"/>
        </w:rPr>
        <w:t xml:space="preserve">. </w:t>
      </w:r>
      <w:r w:rsidRPr="001F7A55">
        <w:rPr>
          <w:rFonts w:ascii="Calibri" w:hAnsi="Calibri" w:cs="Calibri"/>
        </w:rPr>
        <w:t>Dimensions of Blue Carbon and emerging perspectives</w:t>
      </w:r>
    </w:p>
    <w:p w:rsidR="001428D6" w:rsidRDefault="001428D6" w:rsidP="001F7A55">
      <w:pPr>
        <w:rPr>
          <w:rFonts w:eastAsia="Times New Roman"/>
        </w:rPr>
      </w:pPr>
      <w:bookmarkStart w:id="0" w:name="_GoBack"/>
      <w:bookmarkEnd w:id="0"/>
    </w:p>
    <w:p w:rsidR="00144389" w:rsidRPr="00144389" w:rsidRDefault="00144389" w:rsidP="001F7A55">
      <w:pPr>
        <w:rPr>
          <w:b/>
        </w:rPr>
      </w:pPr>
      <w:r>
        <w:rPr>
          <w:rFonts w:eastAsia="Times New Roman"/>
        </w:rPr>
        <w:t>I</w:t>
      </w:r>
      <w:r>
        <w:rPr>
          <w:rFonts w:eastAsia="Times New Roman"/>
        </w:rPr>
        <w:t xml:space="preserve">llustrative references </w:t>
      </w:r>
      <w:r>
        <w:rPr>
          <w:rFonts w:eastAsia="Times New Roman"/>
        </w:rPr>
        <w:t xml:space="preserve">(Table S2) </w:t>
      </w:r>
      <w:r>
        <w:rPr>
          <w:rFonts w:eastAsia="Times New Roman"/>
        </w:rPr>
        <w:t>and criteria on which the ecosystems are assessed (either YES, NO, or inconclusive?)</w:t>
      </w:r>
      <w:r>
        <w:rPr>
          <w:rFonts w:eastAsia="Times New Roman"/>
        </w:rPr>
        <w:t xml:space="preserve"> (Table S2)</w:t>
      </w:r>
      <w:r>
        <w:rPr>
          <w:rFonts w:eastAsia="Times New Roman"/>
        </w:rPr>
        <w:t>.</w:t>
      </w:r>
    </w:p>
    <w:p w:rsidR="006F4D6A" w:rsidRDefault="006F4D6A" w:rsidP="006F4D6A"/>
    <w:p w:rsidR="006F4D6A" w:rsidRDefault="006F4D6A" w:rsidP="006F4D6A">
      <w:r>
        <w:t>Table S1</w:t>
      </w:r>
      <w:r w:rsidR="00CD6CA8">
        <w:t>. References supporting Table 1 and Table S2.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Pendleton L, Donato DC, Murray BC, et al. 2012. Estimating Global “Blue Carbon” emissions from conversion and degradation of vegetated coastal ecosystems.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PLoS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One 7(9): e43542 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Murdiyarso, D.,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Purbopuspito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J., Kauffman, J. B., Warren, M. W., Sasmito, S. D., Donato, D. C., ... &amp;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Kurnianto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S. (2015). The potential of Indonesian mangrove forests for global climate change mitigation. Nature Climate Change, 5(12), 1089.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3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>McKee, K. L., Cahoon, D. R., &amp; Feller, I. C. (2007). Caribbean mangroves adjust to rising sea level through biotic controls on change in soil elevation. Global Ecology and Biogeography, 16(5), 545-556.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4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Atwood, T. B., Connolly, R. M.,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Almahasheer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H., Carnell, P. E., Duarte, C. M., Lewis, C. J. E., ... &amp; Serrano, O. (2017). Global patterns in mangrove soil carbon stocks and losses. Nature Climate Change, 7(7), 523.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5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Donato DC, Kauffman JB, Murdiyarso D, et al. 2011. Mangroves among the most carbon-rich tropical forests and key in land-use carbon emissions. Nat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Geosci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4:293-297.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6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Kauffman JB,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Heider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C, Norfolk J, and Payton F. 2014. Carbon stocks of intact mangroves and carbon emissions arising from their conversion in the Dominican Republic.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Ecol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Applic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24: 518-527.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7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453D74">
              <w:rPr>
                <w:rFonts w:cstheme="minorHAnsi"/>
              </w:rPr>
              <w:t>Osland</w:t>
            </w:r>
            <w:proofErr w:type="spellEnd"/>
            <w:r w:rsidRPr="00453D74">
              <w:rPr>
                <w:rFonts w:cstheme="minorHAnsi"/>
              </w:rPr>
              <w:t xml:space="preserve">, M. J., </w:t>
            </w:r>
            <w:proofErr w:type="spellStart"/>
            <w:r w:rsidRPr="00453D74">
              <w:rPr>
                <w:rFonts w:cstheme="minorHAnsi"/>
              </w:rPr>
              <w:t>Spivak</w:t>
            </w:r>
            <w:proofErr w:type="spellEnd"/>
            <w:r w:rsidRPr="00453D74">
              <w:rPr>
                <w:rFonts w:cstheme="minorHAnsi"/>
              </w:rPr>
              <w:t xml:space="preserve">, A. C., </w:t>
            </w:r>
            <w:proofErr w:type="spellStart"/>
            <w:r w:rsidRPr="00453D74">
              <w:rPr>
                <w:rFonts w:cstheme="minorHAnsi"/>
              </w:rPr>
              <w:t>Nestlerode</w:t>
            </w:r>
            <w:proofErr w:type="spellEnd"/>
            <w:r w:rsidRPr="00453D74">
              <w:rPr>
                <w:rFonts w:cstheme="minorHAnsi"/>
              </w:rPr>
              <w:t xml:space="preserve">, J. A., </w:t>
            </w:r>
            <w:proofErr w:type="spellStart"/>
            <w:r w:rsidRPr="00453D74">
              <w:rPr>
                <w:rFonts w:cstheme="minorHAnsi"/>
              </w:rPr>
              <w:t>Lessmann</w:t>
            </w:r>
            <w:proofErr w:type="spellEnd"/>
            <w:r w:rsidRPr="00453D74">
              <w:rPr>
                <w:rFonts w:cstheme="minorHAnsi"/>
              </w:rPr>
              <w:t xml:space="preserve">, J. M., </w:t>
            </w:r>
            <w:proofErr w:type="spellStart"/>
            <w:r w:rsidRPr="00453D74">
              <w:rPr>
                <w:rFonts w:cstheme="minorHAnsi"/>
              </w:rPr>
              <w:t>Almario</w:t>
            </w:r>
            <w:proofErr w:type="spellEnd"/>
            <w:r w:rsidRPr="00453D74">
              <w:rPr>
                <w:rFonts w:cstheme="minorHAnsi"/>
              </w:rPr>
              <w:t xml:space="preserve">, A. E., </w:t>
            </w:r>
            <w:proofErr w:type="spellStart"/>
            <w:r w:rsidRPr="00453D74">
              <w:rPr>
                <w:rFonts w:cstheme="minorHAnsi"/>
              </w:rPr>
              <w:t>Heitmuller</w:t>
            </w:r>
            <w:proofErr w:type="spellEnd"/>
            <w:r w:rsidRPr="00453D74">
              <w:rPr>
                <w:rFonts w:cstheme="minorHAnsi"/>
              </w:rPr>
              <w:t xml:space="preserve">, P. T., ... &amp; Harvey, J. E. (2012). Ecosystem development after mangrove wetland creation: plant–soil change across a 20-year </w:t>
            </w:r>
            <w:proofErr w:type="spellStart"/>
            <w:r w:rsidRPr="00453D74">
              <w:rPr>
                <w:rFonts w:cstheme="minorHAnsi"/>
              </w:rPr>
              <w:t>chronosequence</w:t>
            </w:r>
            <w:proofErr w:type="spellEnd"/>
            <w:r w:rsidRPr="00453D74">
              <w:rPr>
                <w:rFonts w:cstheme="minorHAnsi"/>
              </w:rPr>
              <w:t>. Ecosystems, 15(5), 848-866.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8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>Sutton-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Greir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AE, Moore AK, Wiley PC, et al. 2014. Incorporating ecosystem services into the implementation of existing US natural resource management regulations: Operationalizing carbon sequestration and storage. Mar Pol 43: 246-253.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9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</w:rPr>
              <w:t xml:space="preserve">Macreadie, P. I., Ollivier, Q. R., </w:t>
            </w:r>
            <w:proofErr w:type="spellStart"/>
            <w:r w:rsidRPr="00453D74">
              <w:rPr>
                <w:rFonts w:cstheme="minorHAnsi"/>
              </w:rPr>
              <w:t>Kelleway</w:t>
            </w:r>
            <w:proofErr w:type="spellEnd"/>
            <w:r w:rsidRPr="00453D74">
              <w:rPr>
                <w:rFonts w:cstheme="minorHAnsi"/>
              </w:rPr>
              <w:t>, J. J., Serrano, O., Carnell, P. E., Lewis, C. E., ... &amp; Duarte, C. M. (2017). Carbon sequestration by Australian tidal marshes. Scientific reports, 7, 44071.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10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Gedan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KB, Silliman BR, and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Bertness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MD. 2009. Centuries of human-driven change in salt marsh ecosystems. Ann Rev Mar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Sci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1:117-141.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11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Mcleod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E., Chmura, G. L., Bouillon, S.,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Salm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R.,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Björk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M., Duarte, C. M., Lovelock </w:t>
            </w:r>
            <w:proofErr w:type="gramStart"/>
            <w:r w:rsidRPr="00453D74">
              <w:rPr>
                <w:rFonts w:cstheme="minorHAnsi"/>
                <w:color w:val="222222"/>
                <w:shd w:val="clear" w:color="auto" w:fill="FFFFFF"/>
              </w:rPr>
              <w:t>C.E..</w:t>
            </w:r>
            <w:proofErr w:type="gram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&amp; Silliman, B. R. (2011). A blueprint for Blue Carbon: toward an improved understanding of the role of vegetated coastal habitats in sequestering CO</w:t>
            </w:r>
            <w:r w:rsidRPr="00453D74">
              <w:rPr>
                <w:rFonts w:cstheme="minorHAnsi"/>
                <w:color w:val="222222"/>
                <w:shd w:val="clear" w:color="auto" w:fill="FFFFFF"/>
                <w:vertAlign w:val="subscript"/>
              </w:rPr>
              <w:t>2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. Frontiers in Ecology and the Environment, 9(10), 552-560.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12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Kroeger, K. D., Crooks, S.,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Moseman-Valtierra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S., &amp; Tang, J. (2017). Restoring tides to reduce methane emissions in impounded wetlands: A new and potent Blue Carbon climate change intervention.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Scientific Reports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7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(1), 11914.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13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</w:rPr>
              <w:t xml:space="preserve">Shepard, C. C., Crain, C. M., &amp; Beck, M. W. (2011). The protective role of coastal marshes: a systematic review and meta-analysis. </w:t>
            </w:r>
            <w:proofErr w:type="spellStart"/>
            <w:r w:rsidRPr="00453D74">
              <w:rPr>
                <w:rFonts w:cstheme="minorHAnsi"/>
              </w:rPr>
              <w:t>PloS</w:t>
            </w:r>
            <w:proofErr w:type="spellEnd"/>
            <w:r w:rsidRPr="00453D74">
              <w:rPr>
                <w:rFonts w:cstheme="minorHAnsi"/>
              </w:rPr>
              <w:t xml:space="preserve"> one, 6(11), e27374.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14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Fourqurean JW, Duarte CM, Kennedy H, et al. 2012. Seagrass ecosystems as a globally significant carbon stock. Nat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Geosci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5:505-509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lastRenderedPageBreak/>
              <w:t>15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Mateo, M. A., Romero, J., Pérez, M., Littler, M. M., &amp; Littler, D. S. (1997). Dynamics of millenary organic deposits resulting from the growth of the Mediterranean seagrass </w:t>
            </w:r>
            <w:proofErr w:type="spellStart"/>
            <w:r w:rsidRPr="0001768E">
              <w:rPr>
                <w:rFonts w:cstheme="minorHAnsi"/>
                <w:i/>
                <w:color w:val="222222"/>
                <w:shd w:val="clear" w:color="auto" w:fill="FFFFFF"/>
              </w:rPr>
              <w:t>Posidonia</w:t>
            </w:r>
            <w:proofErr w:type="spellEnd"/>
            <w:r w:rsidRPr="0001768E">
              <w:rPr>
                <w:rFonts w:cstheme="minorHAnsi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1768E">
              <w:rPr>
                <w:rFonts w:cstheme="minorHAnsi"/>
                <w:i/>
                <w:color w:val="222222"/>
                <w:shd w:val="clear" w:color="auto" w:fill="FFFFFF"/>
              </w:rPr>
              <w:t>oceanica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. Estuarine, Coastal and Shelf Science, 44(1), 103-110.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16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Waycott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M, Duarte CM, Carruthers TJB, et al. 2009. Accelerating loss of seagrasses across the globe threatens coastal ecosystems. Proc Nat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Acad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Sci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USA 106:12377-12381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17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Marbà N, Arias-Ortiz A,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Masqué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P, et al. 2015. Impact of seagrass loss and subsequent revegetation on carbon sequestration and stocks. J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Ecol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103: 296-302.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18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Duarte CM,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Losada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IJ, Hendriks IE, Mazarrasa I. &amp; Marbà. N. 2013. The role of coastal plant communities for climate change mitigation and adaptation. Nat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Clim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Change 3:961-968. 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19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Lokier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S. W. (2013). Coastal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sabkha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preservation in the Arabian Gulf. </w:t>
            </w:r>
            <w:proofErr w:type="spellStart"/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Geoheritage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5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(1), 11-22.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20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>Krauss, K. W., Noe, G. B., Duberstein, J. A., Conner, W. H., Stagg, C. L., Cormier, N., ... &amp; Doyle, T. W. (2018). The Role of the Upper Tidal Estuary in Wetland Blue Carbon Storage and Flux. Global Biogeochemical Cycles.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21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>Bowman, D. M., Prior, L. D., &amp; De Little, S. C. (2010). Retreating Melaleuca swamp forests in Kakadu National Park: Evidence of synergistic effects of climate change and past feral buffalo impacts.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Austral Ecology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35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(8), 898-905.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22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Tran, D. B., Dargusch, P.,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Herbohn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J., &amp; Moss, P. (2013). Interventions to better manage the carbon stocks in Australian </w:t>
            </w:r>
            <w:r w:rsidRPr="00B53A6C">
              <w:rPr>
                <w:rFonts w:cstheme="minorHAnsi"/>
                <w:i/>
                <w:color w:val="222222"/>
                <w:shd w:val="clear" w:color="auto" w:fill="FFFFFF"/>
              </w:rPr>
              <w:t>Melaleuca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forests.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Land Use Policy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35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 417-420.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23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Krause-Jensen, D., and Carlos M. Duarte. 2016. Substantial role of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macroalgae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in marine carbon sequestration.  Nature Geoscience 9, 737–742, DOI: 10.1038/NGEO2790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24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Connell, S. D., Russell, B. D., Turner, D. J., Shepherd, S. A.,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Kildea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T., Miller, D</w:t>
            </w:r>
            <w:proofErr w:type="gramStart"/>
            <w:r w:rsidRPr="00453D74">
              <w:rPr>
                <w:rFonts w:cstheme="minorHAnsi"/>
                <w:color w:val="222222"/>
                <w:shd w:val="clear" w:color="auto" w:fill="FFFFFF"/>
              </w:rPr>
              <w:t>., ...</w:t>
            </w:r>
            <w:proofErr w:type="gram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 &amp; Cheshire, A. (2008). Recovering a lost baseline: missing kelp forests from a metropolitan coast.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Marine Ecology Progress Series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360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 63-72.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25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>Wilson, K. C., &amp; North, W. J. (1983). A review of kelp bed management in southern California.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the World Aquaculture Society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14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(1‐4), 345-359.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26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Koch, E. W.,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Barbier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E. B., Silliman, B. R., Reed, D. J.,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Perillo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G. M., Hacker, S. D., ... &amp; Halpern, B. S. (2009). Non‐linearity in ecosystem services: temporal and spatial variability in coastal protection.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Frontiers in Ecology and the Environment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7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(1), 29-37.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27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Falkowski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P., Scholes, R. J., Boyle, E. E. A.,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Canadell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J., Canfield, D.,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Elser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J., ... &amp; Mackenzie, F. T. (2000). The global carbon cycle: a test of our knowledge of earth as a system.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Science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290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(5490), 291-296.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28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Durkin, C. A., Van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Mooy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B. A.,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Dyhrman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S. T., &amp;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Buesseler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K. O. (2016). Sinking phytoplankton associated with carbon flux in the Atlantic Ocean.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Limnology and Oceanography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61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(4), 1172-1187.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29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Macreadie, P. I., Serrano, O., Maher, D. T., Duarte, C. M., &amp;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Beardall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J. (2017). Addressing calcium carbonate cycling in Blue Carbon accounting. Limnology and Oceanography Letters, 2(6), 195-201.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30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Hughes, T. P., Barnes, M. L., Bellwood, D. R.,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Cinner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J. E., Cumming, G. S., Jackson, J. B., ... &amp;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Palumbi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S. R. (2017). Coral reefs in the Anthropocene.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Nature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546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(7656), 82.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31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Ferrario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F., Beck, M. W.,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Storlazzi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C. D.,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Micheli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F., Shepard, C. C., &amp;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Airoldi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L. (2014). The effectiveness of coral reefs for coastal hazard risk reduction and adaptation.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Nature Communications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5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 3794.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32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Pauly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D., &amp; Zeller, D. (2016). Catch reconstructions reveal that global marine fisheries catches are higher than reported and declining.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Nature Communications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7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 ncomms10244.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33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Beck, M. W.,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Brumbaugh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R. D.,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Airoldi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, L., Carranza, A., Coen, L. D., Crawford, C., ... &amp;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Lenihan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H. S. (2011). Oyster reefs at risk and recommendations for conservation, restoration, and management.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Bioscience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61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(2), 107-116.</w:t>
            </w:r>
          </w:p>
        </w:tc>
      </w:tr>
      <w:tr w:rsidR="006F4D6A" w:rsidRPr="00453D74" w:rsidTr="00A91B69">
        <w:tc>
          <w:tcPr>
            <w:tcW w:w="440" w:type="dxa"/>
          </w:tcPr>
          <w:p w:rsidR="006F4D6A" w:rsidRDefault="006F4D6A" w:rsidP="00A91B69">
            <w:r>
              <w:t>34</w:t>
            </w:r>
          </w:p>
        </w:tc>
        <w:tc>
          <w:tcPr>
            <w:tcW w:w="8576" w:type="dxa"/>
          </w:tcPr>
          <w:p w:rsidR="006F4D6A" w:rsidRPr="00453D74" w:rsidRDefault="006F4D6A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53D74">
              <w:rPr>
                <w:rFonts w:cstheme="minorHAnsi"/>
                <w:color w:val="222222"/>
                <w:shd w:val="clear" w:color="auto" w:fill="FFFFFF"/>
              </w:rPr>
              <w:t xml:space="preserve">Piazza, B. P., Banks, P. D., &amp; La </w:t>
            </w:r>
            <w:proofErr w:type="spellStart"/>
            <w:r w:rsidRPr="00453D74">
              <w:rPr>
                <w:rFonts w:cstheme="minorHAnsi"/>
                <w:color w:val="222222"/>
                <w:shd w:val="clear" w:color="auto" w:fill="FFFFFF"/>
              </w:rPr>
              <w:t>Peyre</w:t>
            </w:r>
            <w:proofErr w:type="spellEnd"/>
            <w:r w:rsidRPr="00453D74">
              <w:rPr>
                <w:rFonts w:cstheme="minorHAnsi"/>
                <w:color w:val="222222"/>
                <w:shd w:val="clear" w:color="auto" w:fill="FFFFFF"/>
              </w:rPr>
              <w:t>, M. K. (2005). The potential for created oyster shell reefs as a sustainable shoreline protection strategy in Louisiana.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Restoration Ecology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453D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13</w:t>
            </w:r>
            <w:r w:rsidRPr="00453D74">
              <w:rPr>
                <w:rFonts w:cstheme="minorHAnsi"/>
                <w:color w:val="222222"/>
                <w:shd w:val="clear" w:color="auto" w:fill="FFFFFF"/>
              </w:rPr>
              <w:t>(3), 499-506.</w:t>
            </w:r>
          </w:p>
        </w:tc>
      </w:tr>
      <w:tr w:rsidR="00F27C33" w:rsidRPr="00453D74" w:rsidTr="00A91B69">
        <w:tc>
          <w:tcPr>
            <w:tcW w:w="440" w:type="dxa"/>
          </w:tcPr>
          <w:p w:rsidR="00F27C33" w:rsidRDefault="00F27C33" w:rsidP="00A91B69">
            <w:r>
              <w:lastRenderedPageBreak/>
              <w:t>35</w:t>
            </w:r>
          </w:p>
        </w:tc>
        <w:tc>
          <w:tcPr>
            <w:tcW w:w="8576" w:type="dxa"/>
          </w:tcPr>
          <w:p w:rsidR="00F27C33" w:rsidRPr="00453D74" w:rsidRDefault="00F27C33" w:rsidP="00A91B69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F27C33">
              <w:rPr>
                <w:rFonts w:cstheme="minorHAnsi"/>
                <w:color w:val="222222"/>
                <w:shd w:val="clear" w:color="auto" w:fill="FFFFFF"/>
              </w:rPr>
              <w:t>Bridgham</w:t>
            </w:r>
            <w:proofErr w:type="spellEnd"/>
            <w:r w:rsidRPr="00F27C33">
              <w:rPr>
                <w:rFonts w:cstheme="minorHAnsi"/>
                <w:color w:val="222222"/>
                <w:shd w:val="clear" w:color="auto" w:fill="FFFFFF"/>
              </w:rPr>
              <w:t xml:space="preserve">, S. D., </w:t>
            </w:r>
            <w:proofErr w:type="spellStart"/>
            <w:r w:rsidRPr="00F27C33">
              <w:rPr>
                <w:rFonts w:cstheme="minorHAnsi"/>
                <w:color w:val="222222"/>
                <w:shd w:val="clear" w:color="auto" w:fill="FFFFFF"/>
              </w:rPr>
              <w:t>Megonigal</w:t>
            </w:r>
            <w:proofErr w:type="spellEnd"/>
            <w:r w:rsidRPr="00F27C33">
              <w:rPr>
                <w:rFonts w:cstheme="minorHAnsi"/>
                <w:color w:val="222222"/>
                <w:shd w:val="clear" w:color="auto" w:fill="FFFFFF"/>
              </w:rPr>
              <w:t xml:space="preserve">, J. P., Keller, J. K., Bliss, N. B., &amp; </w:t>
            </w:r>
            <w:proofErr w:type="spellStart"/>
            <w:r w:rsidRPr="00F27C33">
              <w:rPr>
                <w:rFonts w:cstheme="minorHAnsi"/>
                <w:color w:val="222222"/>
                <w:shd w:val="clear" w:color="auto" w:fill="FFFFFF"/>
              </w:rPr>
              <w:t>Trettin</w:t>
            </w:r>
            <w:proofErr w:type="spellEnd"/>
            <w:r w:rsidRPr="00F27C33">
              <w:rPr>
                <w:rFonts w:cstheme="minorHAnsi"/>
                <w:color w:val="222222"/>
                <w:shd w:val="clear" w:color="auto" w:fill="FFFFFF"/>
              </w:rPr>
              <w:t>, C. (2006). The carbon balance of North American wetlands. Wetlands, 26(4), 889-916.</w:t>
            </w:r>
          </w:p>
        </w:tc>
      </w:tr>
      <w:tr w:rsidR="00F27C33" w:rsidRPr="00453D74" w:rsidTr="00A91B69">
        <w:tc>
          <w:tcPr>
            <w:tcW w:w="440" w:type="dxa"/>
          </w:tcPr>
          <w:p w:rsidR="00F27C33" w:rsidRDefault="00F27C33" w:rsidP="00A91B69">
            <w:r>
              <w:t>36</w:t>
            </w:r>
          </w:p>
        </w:tc>
        <w:tc>
          <w:tcPr>
            <w:tcW w:w="8576" w:type="dxa"/>
          </w:tcPr>
          <w:p w:rsidR="00F27C33" w:rsidRPr="00453D74" w:rsidRDefault="00653A2A" w:rsidP="00653A2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653A2A">
              <w:rPr>
                <w:rFonts w:cstheme="minorHAnsi"/>
                <w:color w:val="222222"/>
                <w:shd w:val="clear" w:color="auto" w:fill="FFFFFF"/>
              </w:rPr>
              <w:t xml:space="preserve">Murray, N.J., </w:t>
            </w:r>
            <w:proofErr w:type="spellStart"/>
            <w:r w:rsidRPr="00653A2A">
              <w:rPr>
                <w:rFonts w:cstheme="minorHAnsi"/>
                <w:color w:val="222222"/>
                <w:shd w:val="clear" w:color="auto" w:fill="FFFFFF"/>
              </w:rPr>
              <w:t>Phinn</w:t>
            </w:r>
            <w:proofErr w:type="spellEnd"/>
            <w:r w:rsidRPr="00653A2A">
              <w:rPr>
                <w:rFonts w:cstheme="minorHAnsi"/>
                <w:color w:val="222222"/>
                <w:shd w:val="clear" w:color="auto" w:fill="FFFFFF"/>
              </w:rPr>
              <w:t>, S.R., DeWitt, M., Ferrari, R., Johnston, R., Lyons, M.B., Clinton,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N.,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Thau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>, D. and Fuller, R.A. (</w:t>
            </w:r>
            <w:r w:rsidRPr="00653A2A">
              <w:rPr>
                <w:rFonts w:cstheme="minorHAnsi"/>
                <w:color w:val="222222"/>
                <w:shd w:val="clear" w:color="auto" w:fill="FFFFFF"/>
              </w:rPr>
              <w:t>2018</w:t>
            </w:r>
            <w:r>
              <w:rPr>
                <w:rFonts w:cstheme="minorHAnsi"/>
                <w:color w:val="222222"/>
                <w:shd w:val="clear" w:color="auto" w:fill="FFFFFF"/>
              </w:rPr>
              <w:t>)</w:t>
            </w:r>
            <w:r w:rsidRPr="00653A2A">
              <w:rPr>
                <w:rFonts w:cstheme="minorHAnsi"/>
                <w:color w:val="222222"/>
                <w:shd w:val="clear" w:color="auto" w:fill="FFFFFF"/>
              </w:rPr>
              <w:t xml:space="preserve">. The global distribution and trajectory of tidal flats. Nature, </w:t>
            </w:r>
            <w:hyperlink r:id="rId6" w:history="1">
              <w:r>
                <w:rPr>
                  <w:rStyle w:val="Hyperlink"/>
                  <w:color w:val="006699"/>
                  <w:spacing w:val="3"/>
                  <w:sz w:val="21"/>
                  <w:szCs w:val="21"/>
                  <w:shd w:val="clear" w:color="auto" w:fill="FFFFFF"/>
                </w:rPr>
                <w:t>https://doi.org/10.1038/s41586-018-0805-8</w:t>
              </w:r>
            </w:hyperlink>
          </w:p>
        </w:tc>
      </w:tr>
      <w:tr w:rsidR="0001768E" w:rsidRPr="00453D74" w:rsidTr="00A91B69">
        <w:tc>
          <w:tcPr>
            <w:tcW w:w="440" w:type="dxa"/>
          </w:tcPr>
          <w:p w:rsidR="0001768E" w:rsidRDefault="0001768E" w:rsidP="00A91B69">
            <w:r>
              <w:t>37</w:t>
            </w:r>
          </w:p>
        </w:tc>
        <w:tc>
          <w:tcPr>
            <w:tcW w:w="8576" w:type="dxa"/>
          </w:tcPr>
          <w:p w:rsidR="0001768E" w:rsidRPr="0037421C" w:rsidRDefault="0037421C" w:rsidP="00653A2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37421C">
              <w:t>Millennium Ecosystem Assessment, 2005. Ecosystems and human well-being: Wetlands and water Synthesis. World Resources Institute, Washington, DC.</w:t>
            </w:r>
          </w:p>
        </w:tc>
      </w:tr>
      <w:tr w:rsidR="0037421C" w:rsidRPr="00453D74" w:rsidTr="00A91B69">
        <w:tc>
          <w:tcPr>
            <w:tcW w:w="440" w:type="dxa"/>
          </w:tcPr>
          <w:p w:rsidR="0037421C" w:rsidRDefault="0037421C" w:rsidP="00A91B69">
            <w:r>
              <w:t>38</w:t>
            </w:r>
          </w:p>
        </w:tc>
        <w:tc>
          <w:tcPr>
            <w:tcW w:w="8576" w:type="dxa"/>
          </w:tcPr>
          <w:p w:rsidR="0037421C" w:rsidRPr="0001768E" w:rsidRDefault="0037421C" w:rsidP="00653A2A">
            <w:r w:rsidRPr="0001768E">
              <w:t xml:space="preserve">Crooks, S., Emmer, I., Murdiyarso, D., &amp; Brown, B. (2014). Guiding principles for delivering coastal wetland carbon projects. Report to the United Nations Environment Program and the </w:t>
            </w:r>
            <w:proofErr w:type="spellStart"/>
            <w:r w:rsidRPr="0001768E">
              <w:t>Center</w:t>
            </w:r>
            <w:proofErr w:type="spellEnd"/>
            <w:r w:rsidRPr="0001768E">
              <w:t xml:space="preserve"> for International Forestry Research.</w:t>
            </w:r>
          </w:p>
        </w:tc>
      </w:tr>
      <w:tr w:rsidR="00483326" w:rsidRPr="00453D74" w:rsidTr="00A91B69">
        <w:tc>
          <w:tcPr>
            <w:tcW w:w="440" w:type="dxa"/>
          </w:tcPr>
          <w:p w:rsidR="00483326" w:rsidRDefault="00483326" w:rsidP="0037421C">
            <w:r>
              <w:t>3</w:t>
            </w:r>
            <w:r w:rsidR="0037421C">
              <w:t>9</w:t>
            </w:r>
          </w:p>
        </w:tc>
        <w:tc>
          <w:tcPr>
            <w:tcW w:w="8576" w:type="dxa"/>
          </w:tcPr>
          <w:p w:rsidR="00483326" w:rsidRPr="0001768E" w:rsidRDefault="00483326" w:rsidP="00653A2A">
            <w:r w:rsidRPr="00483326">
              <w:t xml:space="preserve">Fletcher, R., Dressler, W., </w:t>
            </w:r>
            <w:proofErr w:type="spellStart"/>
            <w:r w:rsidRPr="00483326">
              <w:t>Büscher</w:t>
            </w:r>
            <w:proofErr w:type="spellEnd"/>
            <w:r w:rsidRPr="00483326">
              <w:t xml:space="preserve">, B., &amp; Anderson, Z. R. (2016). Questioning REDD+ and the future of market‐based conservation. </w:t>
            </w:r>
            <w:r w:rsidRPr="00483326">
              <w:rPr>
                <w:i/>
              </w:rPr>
              <w:t>Conservation Biology</w:t>
            </w:r>
            <w:r w:rsidRPr="00483326">
              <w:t>, 30(3), 673-675.</w:t>
            </w:r>
          </w:p>
        </w:tc>
      </w:tr>
    </w:tbl>
    <w:p w:rsidR="006F4D6A" w:rsidRDefault="006F4D6A" w:rsidP="006F4D6A"/>
    <w:p w:rsidR="00971B4C" w:rsidRDefault="00971B4C"/>
    <w:p w:rsidR="001F7A55" w:rsidRDefault="001F7A55">
      <w:r>
        <w:br w:type="page"/>
      </w:r>
    </w:p>
    <w:p w:rsidR="00611C45" w:rsidRDefault="00611C45">
      <w:r>
        <w:lastRenderedPageBreak/>
        <w:t xml:space="preserve">Table </w:t>
      </w:r>
      <w:proofErr w:type="gramStart"/>
      <w:r>
        <w:t>S2  Criteria</w:t>
      </w:r>
      <w:proofErr w:type="gramEnd"/>
      <w:r>
        <w:t xml:space="preserve"> </w:t>
      </w:r>
      <w:r w:rsidR="00280C4F">
        <w:t xml:space="preserve">used </w:t>
      </w:r>
      <w:r>
        <w:t xml:space="preserve">for assessing </w:t>
      </w:r>
      <w:r w:rsidR="00280C4F">
        <w:t xml:space="preserve">whether ecosystems </w:t>
      </w:r>
      <w:r w:rsidR="0001768E">
        <w:t>are</w:t>
      </w:r>
      <w:r w:rsidR="00280C4F">
        <w:t xml:space="preserve"> </w:t>
      </w:r>
      <w:r w:rsidR="00F7234C">
        <w:t xml:space="preserve">considered </w:t>
      </w:r>
      <w:r>
        <w:t>Blue Carbon ecosystems</w:t>
      </w:r>
      <w:r w:rsidR="00F7234C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11C45" w:rsidRPr="009B032D" w:rsidTr="00280C4F">
        <w:tc>
          <w:tcPr>
            <w:tcW w:w="2689" w:type="dxa"/>
          </w:tcPr>
          <w:p w:rsidR="00611C45" w:rsidRPr="009B032D" w:rsidRDefault="00611C45" w:rsidP="003E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6327" w:type="dxa"/>
          </w:tcPr>
          <w:p w:rsidR="00611C45" w:rsidRPr="009B032D" w:rsidRDefault="00F7234C" w:rsidP="003E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considerations</w:t>
            </w:r>
          </w:p>
        </w:tc>
      </w:tr>
      <w:tr w:rsidR="00611C45" w:rsidRPr="009B032D" w:rsidTr="00280C4F">
        <w:tc>
          <w:tcPr>
            <w:tcW w:w="2689" w:type="dxa"/>
          </w:tcPr>
          <w:p w:rsidR="00611C45" w:rsidRPr="009B032D" w:rsidRDefault="00611C45" w:rsidP="003E7820">
            <w:pPr>
              <w:rPr>
                <w:sz w:val="20"/>
                <w:szCs w:val="20"/>
              </w:rPr>
            </w:pPr>
            <w:r w:rsidRPr="009B032D">
              <w:rPr>
                <w:sz w:val="20"/>
                <w:szCs w:val="20"/>
              </w:rPr>
              <w:t xml:space="preserve">Scale of </w:t>
            </w:r>
            <w:r>
              <w:rPr>
                <w:sz w:val="20"/>
                <w:szCs w:val="20"/>
              </w:rPr>
              <w:t xml:space="preserve">GHG gas </w:t>
            </w:r>
            <w:r w:rsidRPr="009B032D">
              <w:rPr>
                <w:sz w:val="20"/>
                <w:szCs w:val="20"/>
              </w:rPr>
              <w:t xml:space="preserve">removals </w:t>
            </w:r>
            <w:r>
              <w:rPr>
                <w:sz w:val="20"/>
                <w:szCs w:val="20"/>
              </w:rPr>
              <w:t>or emissions are</w:t>
            </w:r>
            <w:r w:rsidRPr="009B032D">
              <w:rPr>
                <w:sz w:val="20"/>
                <w:szCs w:val="20"/>
              </w:rPr>
              <w:t xml:space="preserve"> significant</w:t>
            </w:r>
          </w:p>
        </w:tc>
        <w:tc>
          <w:tcPr>
            <w:tcW w:w="6327" w:type="dxa"/>
          </w:tcPr>
          <w:p w:rsidR="00611C45" w:rsidRPr="009B032D" w:rsidRDefault="000E0CED" w:rsidP="00CA2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</w:t>
            </w:r>
            <w:r w:rsidR="00CA2861">
              <w:rPr>
                <w:sz w:val="20"/>
                <w:szCs w:val="20"/>
              </w:rPr>
              <w:t>sources</w:t>
            </w:r>
            <w:r>
              <w:rPr>
                <w:sz w:val="20"/>
                <w:szCs w:val="20"/>
              </w:rPr>
              <w:t xml:space="preserve"> of s</w:t>
            </w:r>
            <w:r w:rsidR="00781FDD">
              <w:rPr>
                <w:sz w:val="20"/>
                <w:szCs w:val="20"/>
              </w:rPr>
              <w:t xml:space="preserve">cientific evidence is available </w:t>
            </w:r>
            <w:r w:rsidR="00CA2861">
              <w:rPr>
                <w:sz w:val="20"/>
                <w:szCs w:val="20"/>
              </w:rPr>
              <w:t>and supported by theory</w:t>
            </w:r>
            <w:r w:rsidR="006B1713">
              <w:rPr>
                <w:sz w:val="20"/>
                <w:szCs w:val="20"/>
              </w:rPr>
              <w:t>,</w:t>
            </w:r>
            <w:r w:rsidR="00CA2861">
              <w:rPr>
                <w:sz w:val="20"/>
                <w:szCs w:val="20"/>
              </w:rPr>
              <w:t xml:space="preserve"> </w:t>
            </w:r>
            <w:r w:rsidR="00781FDD">
              <w:rPr>
                <w:sz w:val="20"/>
                <w:szCs w:val="20"/>
              </w:rPr>
              <w:t xml:space="preserve">that the ecosystem </w:t>
            </w:r>
            <w:r w:rsidR="00155FC4">
              <w:rPr>
                <w:sz w:val="20"/>
                <w:szCs w:val="20"/>
              </w:rPr>
              <w:t xml:space="preserve">have either 1) </w:t>
            </w:r>
            <w:r w:rsidR="00781FDD">
              <w:rPr>
                <w:sz w:val="20"/>
                <w:szCs w:val="20"/>
              </w:rPr>
              <w:t>high levels of carbon (C) stocks either globally or locally (on an area basis)</w:t>
            </w:r>
            <w:r w:rsidR="00155FC4">
              <w:rPr>
                <w:sz w:val="20"/>
                <w:szCs w:val="20"/>
              </w:rPr>
              <w:t>;</w:t>
            </w:r>
            <w:r w:rsidR="00781FDD">
              <w:rPr>
                <w:sz w:val="20"/>
                <w:szCs w:val="20"/>
              </w:rPr>
              <w:t xml:space="preserve"> </w:t>
            </w:r>
            <w:r w:rsidR="00155FC4">
              <w:rPr>
                <w:sz w:val="20"/>
                <w:szCs w:val="20"/>
              </w:rPr>
              <w:t xml:space="preserve">2) </w:t>
            </w:r>
            <w:r w:rsidR="00781FDD">
              <w:rPr>
                <w:sz w:val="20"/>
                <w:szCs w:val="20"/>
              </w:rPr>
              <w:t xml:space="preserve">high rates of carbon sequestration globally or locally. E.g. </w:t>
            </w:r>
            <w:r w:rsidR="00155FC4">
              <w:rPr>
                <w:sz w:val="20"/>
                <w:szCs w:val="20"/>
              </w:rPr>
              <w:t xml:space="preserve">we conclude “YES” for </w:t>
            </w:r>
            <w:r w:rsidR="00781FDD">
              <w:rPr>
                <w:sz w:val="20"/>
                <w:szCs w:val="20"/>
              </w:rPr>
              <w:t xml:space="preserve">mangroves </w:t>
            </w:r>
            <w:r w:rsidR="00155FC4">
              <w:rPr>
                <w:sz w:val="20"/>
                <w:szCs w:val="20"/>
              </w:rPr>
              <w:t xml:space="preserve">which </w:t>
            </w:r>
            <w:r w:rsidR="00781FDD">
              <w:rPr>
                <w:sz w:val="20"/>
                <w:szCs w:val="20"/>
              </w:rPr>
              <w:t xml:space="preserve">have a limited </w:t>
            </w:r>
            <w:r w:rsidR="00155FC4">
              <w:rPr>
                <w:sz w:val="20"/>
                <w:szCs w:val="20"/>
              </w:rPr>
              <w:t>global cover</w:t>
            </w:r>
            <w:r w:rsidR="00781FDD">
              <w:rPr>
                <w:sz w:val="20"/>
                <w:szCs w:val="20"/>
              </w:rPr>
              <w:t xml:space="preserve"> but high levels of soil C stocks</w:t>
            </w:r>
            <w:r w:rsidR="00155FC4">
              <w:rPr>
                <w:sz w:val="20"/>
                <w:szCs w:val="20"/>
              </w:rPr>
              <w:t xml:space="preserve"> on an </w:t>
            </w:r>
            <w:r w:rsidR="006B1713">
              <w:rPr>
                <w:sz w:val="20"/>
                <w:szCs w:val="20"/>
              </w:rPr>
              <w:t>aerial</w:t>
            </w:r>
            <w:r w:rsidR="00155FC4">
              <w:rPr>
                <w:sz w:val="20"/>
                <w:szCs w:val="20"/>
              </w:rPr>
              <w:t xml:space="preserve"> basis, and also for phytoplankton which have extensive global cover but low C stocks on an area basis. </w:t>
            </w:r>
          </w:p>
        </w:tc>
      </w:tr>
      <w:tr w:rsidR="00611C45" w:rsidRPr="009B032D" w:rsidTr="00280C4F">
        <w:tc>
          <w:tcPr>
            <w:tcW w:w="2689" w:type="dxa"/>
          </w:tcPr>
          <w:p w:rsidR="00611C45" w:rsidRPr="009B032D" w:rsidRDefault="00611C45" w:rsidP="003E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storage of fixed CO</w:t>
            </w:r>
            <w:r w:rsidRPr="00AE29B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327" w:type="dxa"/>
          </w:tcPr>
          <w:p w:rsidR="00611C45" w:rsidRPr="009B032D" w:rsidRDefault="00CA2861" w:rsidP="006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sources of s</w:t>
            </w:r>
            <w:r w:rsidR="00155FC4">
              <w:rPr>
                <w:sz w:val="20"/>
                <w:szCs w:val="20"/>
              </w:rPr>
              <w:t xml:space="preserve">cientific evidence that </w:t>
            </w:r>
            <w:r w:rsidR="006B1713">
              <w:rPr>
                <w:sz w:val="20"/>
                <w:szCs w:val="20"/>
              </w:rPr>
              <w:t xml:space="preserve">fixed organic </w:t>
            </w:r>
            <w:r w:rsidR="00155FC4">
              <w:rPr>
                <w:sz w:val="20"/>
                <w:szCs w:val="20"/>
              </w:rPr>
              <w:t xml:space="preserve">carbon is stored for longer than 100 years. </w:t>
            </w:r>
          </w:p>
        </w:tc>
      </w:tr>
      <w:tr w:rsidR="00611C45" w:rsidRPr="009B032D" w:rsidTr="00280C4F">
        <w:tc>
          <w:tcPr>
            <w:tcW w:w="2689" w:type="dxa"/>
          </w:tcPr>
          <w:p w:rsidR="00611C45" w:rsidRPr="009B032D" w:rsidRDefault="00611C45" w:rsidP="003E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Undesirable a</w:t>
            </w:r>
            <w:r w:rsidRPr="009B032D">
              <w:rPr>
                <w:sz w:val="20"/>
                <w:szCs w:val="20"/>
              </w:rPr>
              <w:t>nthropogenic impacts</w:t>
            </w:r>
            <w:r>
              <w:rPr>
                <w:sz w:val="20"/>
                <w:szCs w:val="20"/>
              </w:rPr>
              <w:t xml:space="preserve"> on the ecosystem</w:t>
            </w:r>
          </w:p>
        </w:tc>
        <w:tc>
          <w:tcPr>
            <w:tcW w:w="6327" w:type="dxa"/>
          </w:tcPr>
          <w:p w:rsidR="00611C45" w:rsidRPr="009B032D" w:rsidRDefault="00CA2861" w:rsidP="00CA2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sources of e</w:t>
            </w:r>
            <w:r w:rsidR="00155FC4">
              <w:rPr>
                <w:sz w:val="20"/>
                <w:szCs w:val="20"/>
              </w:rPr>
              <w:t xml:space="preserve">vidence that ecosystems have been removed, converted or degraded by human activities. E.g. we conclude “YES” for seagrass </w:t>
            </w:r>
            <w:r w:rsidR="00A86476">
              <w:rPr>
                <w:sz w:val="20"/>
                <w:szCs w:val="20"/>
              </w:rPr>
              <w:t xml:space="preserve">which have reduced cover caused by </w:t>
            </w:r>
            <w:r w:rsidR="00155FC4">
              <w:rPr>
                <w:sz w:val="20"/>
                <w:szCs w:val="20"/>
              </w:rPr>
              <w:t>declining coastal water quality</w:t>
            </w:r>
            <w:r w:rsidR="00A86476">
              <w:rPr>
                <w:sz w:val="20"/>
                <w:szCs w:val="20"/>
              </w:rPr>
              <w:t>;</w:t>
            </w:r>
            <w:r w:rsidR="00155FC4">
              <w:rPr>
                <w:sz w:val="20"/>
                <w:szCs w:val="20"/>
              </w:rPr>
              <w:t xml:space="preserve"> but “?” for phytoplankton</w:t>
            </w:r>
            <w:r w:rsidR="006F3A2A">
              <w:rPr>
                <w:sz w:val="20"/>
                <w:szCs w:val="20"/>
              </w:rPr>
              <w:t>,</w:t>
            </w:r>
            <w:r w:rsidR="00155FC4">
              <w:rPr>
                <w:sz w:val="20"/>
                <w:szCs w:val="20"/>
              </w:rPr>
              <w:t xml:space="preserve"> because </w:t>
            </w:r>
            <w:r w:rsidR="00A86476">
              <w:rPr>
                <w:sz w:val="20"/>
                <w:szCs w:val="20"/>
              </w:rPr>
              <w:t>cover has not been reduced, but</w:t>
            </w:r>
            <w:r w:rsidR="006F3A2A">
              <w:rPr>
                <w:sz w:val="20"/>
                <w:szCs w:val="20"/>
              </w:rPr>
              <w:t xml:space="preserve"> there is evidence that phytoplankton communities have changed in coastal oceans due to nutrient enrichment</w:t>
            </w:r>
            <w:r w:rsidR="00A86476">
              <w:rPr>
                <w:sz w:val="20"/>
                <w:szCs w:val="20"/>
              </w:rPr>
              <w:t>, yet</w:t>
            </w:r>
            <w:r w:rsidR="006F3A2A">
              <w:rPr>
                <w:sz w:val="20"/>
                <w:szCs w:val="20"/>
              </w:rPr>
              <w:t xml:space="preserve"> we are uncertain of the spatial extent </w:t>
            </w:r>
            <w:r w:rsidR="00A86476">
              <w:rPr>
                <w:sz w:val="20"/>
                <w:szCs w:val="20"/>
              </w:rPr>
              <w:t xml:space="preserve">or functional consequences </w:t>
            </w:r>
            <w:r w:rsidR="006F3A2A">
              <w:rPr>
                <w:sz w:val="20"/>
                <w:szCs w:val="20"/>
              </w:rPr>
              <w:t>of this change.</w:t>
            </w:r>
          </w:p>
        </w:tc>
      </w:tr>
      <w:tr w:rsidR="00611C45" w:rsidRPr="009B032D" w:rsidTr="00280C4F">
        <w:tc>
          <w:tcPr>
            <w:tcW w:w="2689" w:type="dxa"/>
          </w:tcPr>
          <w:p w:rsidR="00611C45" w:rsidRPr="009B032D" w:rsidRDefault="00611C45" w:rsidP="00611C45">
            <w:pPr>
              <w:rPr>
                <w:sz w:val="20"/>
                <w:szCs w:val="20"/>
              </w:rPr>
            </w:pPr>
            <w:r w:rsidRPr="009B032D">
              <w:rPr>
                <w:sz w:val="20"/>
                <w:szCs w:val="20"/>
              </w:rPr>
              <w:t>Management is practical/ possible to maintain/enhance C stocks</w:t>
            </w:r>
            <w:r>
              <w:rPr>
                <w:sz w:val="20"/>
                <w:szCs w:val="20"/>
              </w:rPr>
              <w:t xml:space="preserve"> and reduce GHG emissions</w:t>
            </w:r>
          </w:p>
        </w:tc>
        <w:tc>
          <w:tcPr>
            <w:tcW w:w="6327" w:type="dxa"/>
          </w:tcPr>
          <w:p w:rsidR="00611C45" w:rsidRPr="009B032D" w:rsidRDefault="00CA2861" w:rsidP="006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sources of e</w:t>
            </w:r>
            <w:r w:rsidR="00A86476">
              <w:rPr>
                <w:sz w:val="20"/>
                <w:szCs w:val="20"/>
              </w:rPr>
              <w:t xml:space="preserve">vidence that ecosystems can be managed to either maintain or enhance carbon stocks or to </w:t>
            </w:r>
            <w:r w:rsidR="006B1713">
              <w:rPr>
                <w:sz w:val="20"/>
                <w:szCs w:val="20"/>
              </w:rPr>
              <w:t>decrease</w:t>
            </w:r>
            <w:r w:rsidR="00A86476">
              <w:rPr>
                <w:sz w:val="20"/>
                <w:szCs w:val="20"/>
              </w:rPr>
              <w:t xml:space="preserve"> net greenhouse gas emissions. E.g. we conclude “YES” for tidal marshes that can be restored</w:t>
            </w:r>
            <w:r w:rsidR="00DB1CCC">
              <w:rPr>
                <w:sz w:val="20"/>
                <w:szCs w:val="20"/>
              </w:rPr>
              <w:t>,</w:t>
            </w:r>
            <w:r w:rsidR="00A86476">
              <w:rPr>
                <w:sz w:val="20"/>
                <w:szCs w:val="20"/>
              </w:rPr>
              <w:t xml:space="preserve"> thereby protecting remaining soil C stocks, enhancing soil C sequestration and</w:t>
            </w:r>
            <w:r w:rsidR="00DB1CCC">
              <w:rPr>
                <w:sz w:val="20"/>
                <w:szCs w:val="20"/>
              </w:rPr>
              <w:t>,</w:t>
            </w:r>
            <w:r w:rsidR="00A86476">
              <w:rPr>
                <w:sz w:val="20"/>
                <w:szCs w:val="20"/>
              </w:rPr>
              <w:t xml:space="preserve"> if there were significant methane emissions from </w:t>
            </w:r>
            <w:r w:rsidR="00DB1CCC">
              <w:rPr>
                <w:sz w:val="20"/>
                <w:szCs w:val="20"/>
              </w:rPr>
              <w:t>freshwater ecosystems prior to restoration</w:t>
            </w:r>
            <w:r w:rsidR="00A86476">
              <w:rPr>
                <w:sz w:val="20"/>
                <w:szCs w:val="20"/>
              </w:rPr>
              <w:t xml:space="preserve">, also potentially through a net reduction in methane emissions; but “?” </w:t>
            </w:r>
            <w:r w:rsidR="009F3A91">
              <w:rPr>
                <w:sz w:val="20"/>
                <w:szCs w:val="20"/>
              </w:rPr>
              <w:t>for phytoplankton where there is conflicting evidence on the levels of C sequestration can be achieved through fertilizer additions; and “NO” for ecosystems where high levels of calcification</w:t>
            </w:r>
            <w:r w:rsidR="006B1713">
              <w:rPr>
                <w:sz w:val="20"/>
                <w:szCs w:val="20"/>
              </w:rPr>
              <w:t>,</w:t>
            </w:r>
            <w:r w:rsidR="009F3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which </w:t>
            </w:r>
            <w:r w:rsidR="009F3A91">
              <w:rPr>
                <w:sz w:val="20"/>
                <w:szCs w:val="20"/>
              </w:rPr>
              <w:t>result in CO</w:t>
            </w:r>
            <w:r w:rsidR="009F3A91" w:rsidRPr="009F3A91">
              <w:rPr>
                <w:sz w:val="20"/>
                <w:szCs w:val="20"/>
                <w:vertAlign w:val="subscript"/>
              </w:rPr>
              <w:t>2</w:t>
            </w:r>
            <w:r w:rsidR="009F3A91">
              <w:rPr>
                <w:sz w:val="20"/>
                <w:szCs w:val="20"/>
              </w:rPr>
              <w:t xml:space="preserve"> emissions</w:t>
            </w:r>
            <w:r w:rsidR="006B1713">
              <w:rPr>
                <w:sz w:val="20"/>
                <w:szCs w:val="20"/>
              </w:rPr>
              <w:t>,</w:t>
            </w:r>
            <w:r w:rsidR="009F3A91">
              <w:rPr>
                <w:sz w:val="20"/>
                <w:szCs w:val="20"/>
              </w:rPr>
              <w:t xml:space="preserve"> and where we assume management is focussed on enhancing growth of </w:t>
            </w:r>
            <w:r>
              <w:rPr>
                <w:sz w:val="20"/>
                <w:szCs w:val="20"/>
              </w:rPr>
              <w:t xml:space="preserve">habitat forming </w:t>
            </w:r>
            <w:r w:rsidR="009F3A91">
              <w:rPr>
                <w:sz w:val="20"/>
                <w:szCs w:val="20"/>
              </w:rPr>
              <w:t>calcifying organisms.</w:t>
            </w:r>
          </w:p>
        </w:tc>
      </w:tr>
      <w:tr w:rsidR="00611C45" w:rsidRPr="009B032D" w:rsidTr="00280C4F">
        <w:tc>
          <w:tcPr>
            <w:tcW w:w="2689" w:type="dxa"/>
          </w:tcPr>
          <w:p w:rsidR="00611C45" w:rsidRPr="009B032D" w:rsidRDefault="00611C45" w:rsidP="00611C45">
            <w:pPr>
              <w:rPr>
                <w:sz w:val="20"/>
                <w:szCs w:val="20"/>
              </w:rPr>
            </w:pPr>
            <w:r w:rsidRPr="009B032D">
              <w:rPr>
                <w:sz w:val="20"/>
                <w:szCs w:val="20"/>
              </w:rPr>
              <w:t>Interventions have no social  or environmental harm</w:t>
            </w:r>
          </w:p>
        </w:tc>
        <w:tc>
          <w:tcPr>
            <w:tcW w:w="6327" w:type="dxa"/>
          </w:tcPr>
          <w:p w:rsidR="00611C45" w:rsidRPr="009B032D" w:rsidRDefault="0054031C" w:rsidP="006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1768E">
              <w:rPr>
                <w:sz w:val="20"/>
                <w:szCs w:val="20"/>
              </w:rPr>
              <w:t xml:space="preserve">lue </w:t>
            </w:r>
            <w:r>
              <w:rPr>
                <w:sz w:val="20"/>
                <w:szCs w:val="20"/>
              </w:rPr>
              <w:t>C</w:t>
            </w:r>
            <w:r w:rsidR="0001768E">
              <w:rPr>
                <w:sz w:val="20"/>
                <w:szCs w:val="20"/>
              </w:rPr>
              <w:t xml:space="preserve">arbon projects </w:t>
            </w:r>
            <w:r w:rsidR="00A727FA">
              <w:rPr>
                <w:sz w:val="20"/>
                <w:szCs w:val="20"/>
              </w:rPr>
              <w:t>should</w:t>
            </w:r>
            <w:r w:rsidR="00483326">
              <w:rPr>
                <w:sz w:val="20"/>
                <w:szCs w:val="20"/>
              </w:rPr>
              <w:t xml:space="preserve"> follow the</w:t>
            </w:r>
            <w:r w:rsidR="0001768E">
              <w:rPr>
                <w:sz w:val="20"/>
                <w:szCs w:val="20"/>
              </w:rPr>
              <w:t xml:space="preserve"> recommendations of Crooks et al. (2014</w:t>
            </w:r>
            <w:proofErr w:type="gramStart"/>
            <w:r w:rsidR="0001768E">
              <w:rPr>
                <w:sz w:val="20"/>
                <w:szCs w:val="20"/>
              </w:rPr>
              <w:t>)[</w:t>
            </w:r>
            <w:proofErr w:type="gramEnd"/>
            <w:r w:rsidR="0001768E">
              <w:rPr>
                <w:sz w:val="20"/>
                <w:szCs w:val="20"/>
              </w:rPr>
              <w:t>3</w:t>
            </w:r>
            <w:r w:rsidR="00176CC9">
              <w:rPr>
                <w:sz w:val="20"/>
                <w:szCs w:val="20"/>
              </w:rPr>
              <w:t>8</w:t>
            </w:r>
            <w:r w:rsidR="0001768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there</w:t>
            </w:r>
            <w:r w:rsidR="006B1713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avoiding the negative </w:t>
            </w:r>
            <w:r w:rsidR="000C6536">
              <w:rPr>
                <w:sz w:val="20"/>
                <w:szCs w:val="20"/>
              </w:rPr>
              <w:t xml:space="preserve">social </w:t>
            </w:r>
            <w:r>
              <w:rPr>
                <w:sz w:val="20"/>
                <w:szCs w:val="20"/>
              </w:rPr>
              <w:t xml:space="preserve">consequences that have been associated with </w:t>
            </w:r>
            <w:r w:rsidR="00483326">
              <w:rPr>
                <w:sz w:val="20"/>
                <w:szCs w:val="20"/>
              </w:rPr>
              <w:t xml:space="preserve">programs such as </w:t>
            </w:r>
            <w:r w:rsidR="00A727FA">
              <w:rPr>
                <w:sz w:val="20"/>
                <w:szCs w:val="20"/>
              </w:rPr>
              <w:t>REDD+[3</w:t>
            </w:r>
            <w:r w:rsidR="00176CC9">
              <w:rPr>
                <w:sz w:val="20"/>
                <w:szCs w:val="20"/>
              </w:rPr>
              <w:t>9</w:t>
            </w:r>
            <w:r w:rsidR="00A727FA">
              <w:rPr>
                <w:sz w:val="20"/>
                <w:szCs w:val="20"/>
              </w:rPr>
              <w:t>]</w:t>
            </w:r>
            <w:r w:rsidR="000C6536">
              <w:rPr>
                <w:sz w:val="20"/>
                <w:szCs w:val="20"/>
              </w:rPr>
              <w:t xml:space="preserve">. However, risks of social harm </w:t>
            </w:r>
            <w:r w:rsidR="00C82050">
              <w:rPr>
                <w:sz w:val="20"/>
                <w:szCs w:val="20"/>
              </w:rPr>
              <w:t xml:space="preserve">and/or environmental harm </w:t>
            </w:r>
            <w:r w:rsidR="00B938A8">
              <w:rPr>
                <w:sz w:val="20"/>
                <w:szCs w:val="20"/>
              </w:rPr>
              <w:t xml:space="preserve">with their restoration and/or conservation </w:t>
            </w:r>
            <w:r w:rsidR="000C6536">
              <w:rPr>
                <w:sz w:val="20"/>
                <w:szCs w:val="20"/>
              </w:rPr>
              <w:t>cannot be complet</w:t>
            </w:r>
            <w:r w:rsidR="006B66B9">
              <w:rPr>
                <w:sz w:val="20"/>
                <w:szCs w:val="20"/>
              </w:rPr>
              <w:t>ely eliminated</w:t>
            </w:r>
            <w:r w:rsidR="00C82050">
              <w:rPr>
                <w:sz w:val="20"/>
                <w:szCs w:val="20"/>
              </w:rPr>
              <w:t>. Therefore, to reflect these uncertainties, and b</w:t>
            </w:r>
            <w:r w:rsidR="006B66B9">
              <w:rPr>
                <w:sz w:val="20"/>
                <w:szCs w:val="20"/>
              </w:rPr>
              <w:t xml:space="preserve">ased on </w:t>
            </w:r>
            <w:r w:rsidR="00C82050">
              <w:rPr>
                <w:sz w:val="20"/>
                <w:szCs w:val="20"/>
              </w:rPr>
              <w:t>the</w:t>
            </w:r>
            <w:r w:rsidR="006B66B9">
              <w:rPr>
                <w:sz w:val="20"/>
                <w:szCs w:val="20"/>
              </w:rPr>
              <w:t xml:space="preserve"> </w:t>
            </w:r>
            <w:r w:rsidR="00640F3C">
              <w:rPr>
                <w:sz w:val="20"/>
                <w:szCs w:val="20"/>
              </w:rPr>
              <w:t>restoration</w:t>
            </w:r>
            <w:r w:rsidR="00B938A8">
              <w:rPr>
                <w:sz w:val="20"/>
                <w:szCs w:val="20"/>
              </w:rPr>
              <w:t xml:space="preserve"> literature, as well as literature on marine protected areas, </w:t>
            </w:r>
            <w:r w:rsidR="00C82050">
              <w:rPr>
                <w:sz w:val="20"/>
                <w:szCs w:val="20"/>
              </w:rPr>
              <w:t xml:space="preserve">we assign a “?” to </w:t>
            </w:r>
            <w:r w:rsidR="00B938A8">
              <w:rPr>
                <w:sz w:val="20"/>
                <w:szCs w:val="20"/>
              </w:rPr>
              <w:t>for mangroves, tidal marshes, coral reefs and marine fauna</w:t>
            </w:r>
            <w:r w:rsidR="00C82050">
              <w:rPr>
                <w:sz w:val="20"/>
                <w:szCs w:val="20"/>
              </w:rPr>
              <w:t xml:space="preserve">. We assign “YES” to seagrass, </w:t>
            </w:r>
            <w:r w:rsidR="00B938A8">
              <w:rPr>
                <w:sz w:val="20"/>
                <w:szCs w:val="20"/>
              </w:rPr>
              <w:t xml:space="preserve">oyster reefs </w:t>
            </w:r>
            <w:r w:rsidR="00C82050">
              <w:rPr>
                <w:sz w:val="20"/>
                <w:szCs w:val="20"/>
              </w:rPr>
              <w:t>and</w:t>
            </w:r>
            <w:r w:rsidR="00B938A8">
              <w:rPr>
                <w:sz w:val="20"/>
                <w:szCs w:val="20"/>
              </w:rPr>
              <w:t xml:space="preserve"> mud flats as we are not aware of reports of adverse social or environmental harm associated with their conservation or restoration.</w:t>
            </w:r>
            <w:r w:rsidR="00C82050">
              <w:rPr>
                <w:sz w:val="20"/>
                <w:szCs w:val="20"/>
              </w:rPr>
              <w:t xml:space="preserve">  </w:t>
            </w:r>
            <w:r w:rsidR="00640F3C">
              <w:rPr>
                <w:sz w:val="20"/>
                <w:szCs w:val="20"/>
              </w:rPr>
              <w:t xml:space="preserve"> </w:t>
            </w:r>
            <w:r w:rsidR="006B66B9">
              <w:rPr>
                <w:sz w:val="20"/>
                <w:szCs w:val="20"/>
              </w:rPr>
              <w:t xml:space="preserve"> </w:t>
            </w:r>
          </w:p>
        </w:tc>
      </w:tr>
      <w:tr w:rsidR="00611C45" w:rsidRPr="009B032D" w:rsidTr="00280C4F">
        <w:tc>
          <w:tcPr>
            <w:tcW w:w="2689" w:type="dxa"/>
          </w:tcPr>
          <w:p w:rsidR="00611C45" w:rsidRPr="009B032D" w:rsidRDefault="00611C45" w:rsidP="00611C45">
            <w:pPr>
              <w:rPr>
                <w:sz w:val="20"/>
                <w:szCs w:val="20"/>
              </w:rPr>
            </w:pPr>
            <w:r w:rsidRPr="009B032D">
              <w:rPr>
                <w:sz w:val="20"/>
                <w:szCs w:val="20"/>
              </w:rPr>
              <w:t>Alignment with other policies: mitigation and adaptation</w:t>
            </w:r>
          </w:p>
        </w:tc>
        <w:tc>
          <w:tcPr>
            <w:tcW w:w="6327" w:type="dxa"/>
          </w:tcPr>
          <w:p w:rsidR="00611C45" w:rsidRPr="009B032D" w:rsidRDefault="006B1713" w:rsidP="00B6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Carbon project outcomes</w:t>
            </w:r>
            <w:r w:rsidR="00A727FA">
              <w:rPr>
                <w:sz w:val="20"/>
                <w:szCs w:val="20"/>
              </w:rPr>
              <w:t xml:space="preserve"> align with international conventions, national or sub</w:t>
            </w:r>
            <w:r w:rsidR="00B938A8">
              <w:rPr>
                <w:sz w:val="20"/>
                <w:szCs w:val="20"/>
              </w:rPr>
              <w:t>-</w:t>
            </w:r>
            <w:r w:rsidR="00A727FA">
              <w:rPr>
                <w:sz w:val="20"/>
                <w:szCs w:val="20"/>
              </w:rPr>
              <w:t xml:space="preserve">national policies and guidelines. E.g. Sustainable Development Goals, Convention on Biodiversity, RAMSAR Convention, climate adaptation </w:t>
            </w:r>
            <w:r w:rsidR="00B938A8">
              <w:rPr>
                <w:sz w:val="20"/>
                <w:szCs w:val="20"/>
              </w:rPr>
              <w:t xml:space="preserve">policies, </w:t>
            </w:r>
            <w:r w:rsidR="00B65D75">
              <w:rPr>
                <w:sz w:val="20"/>
                <w:szCs w:val="20"/>
              </w:rPr>
              <w:t>local biodiversity conservation, fishery habitat protection and others.</w:t>
            </w:r>
          </w:p>
        </w:tc>
      </w:tr>
    </w:tbl>
    <w:p w:rsidR="00611C45" w:rsidRDefault="00611C45"/>
    <w:sectPr w:rsidR="00611C45" w:rsidSect="00793757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76" w:rsidRDefault="001A7976">
      <w:pPr>
        <w:spacing w:after="0" w:line="240" w:lineRule="auto"/>
      </w:pPr>
      <w:r>
        <w:separator/>
      </w:r>
    </w:p>
  </w:endnote>
  <w:endnote w:type="continuationSeparator" w:id="0">
    <w:p w:rsidR="001A7976" w:rsidRDefault="001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50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186" w:rsidRDefault="006F4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8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4186" w:rsidRDefault="001A7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76" w:rsidRDefault="001A7976">
      <w:pPr>
        <w:spacing w:after="0" w:line="240" w:lineRule="auto"/>
      </w:pPr>
      <w:r>
        <w:separator/>
      </w:r>
    </w:p>
  </w:footnote>
  <w:footnote w:type="continuationSeparator" w:id="0">
    <w:p w:rsidR="001A7976" w:rsidRDefault="001A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6A"/>
    <w:rsid w:val="0001768E"/>
    <w:rsid w:val="000C630A"/>
    <w:rsid w:val="000C6536"/>
    <w:rsid w:val="000E0CED"/>
    <w:rsid w:val="001428D6"/>
    <w:rsid w:val="00144389"/>
    <w:rsid w:val="00146422"/>
    <w:rsid w:val="00155FC4"/>
    <w:rsid w:val="00176CC9"/>
    <w:rsid w:val="001A7976"/>
    <w:rsid w:val="001A7B1A"/>
    <w:rsid w:val="001F48B8"/>
    <w:rsid w:val="001F7A55"/>
    <w:rsid w:val="00280C4F"/>
    <w:rsid w:val="0037421C"/>
    <w:rsid w:val="003D2766"/>
    <w:rsid w:val="003E0125"/>
    <w:rsid w:val="00483326"/>
    <w:rsid w:val="0054031C"/>
    <w:rsid w:val="00611C45"/>
    <w:rsid w:val="00640F3C"/>
    <w:rsid w:val="00653A2A"/>
    <w:rsid w:val="006B1713"/>
    <w:rsid w:val="006B66B9"/>
    <w:rsid w:val="006F3A2A"/>
    <w:rsid w:val="006F4D6A"/>
    <w:rsid w:val="00781FDD"/>
    <w:rsid w:val="00971B4C"/>
    <w:rsid w:val="009F3A91"/>
    <w:rsid w:val="00A727FA"/>
    <w:rsid w:val="00A86476"/>
    <w:rsid w:val="00B53A6C"/>
    <w:rsid w:val="00B65D75"/>
    <w:rsid w:val="00B938A8"/>
    <w:rsid w:val="00C82050"/>
    <w:rsid w:val="00CA2861"/>
    <w:rsid w:val="00CD6CA8"/>
    <w:rsid w:val="00D53A3A"/>
    <w:rsid w:val="00DB1CCC"/>
    <w:rsid w:val="00F27C33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96004-542F-42C3-830B-07E3961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6A"/>
  </w:style>
  <w:style w:type="table" w:styleId="TableGrid">
    <w:name w:val="Table Grid"/>
    <w:basedOn w:val="TableNormal"/>
    <w:uiPriority w:val="39"/>
    <w:rsid w:val="006F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F4D6A"/>
  </w:style>
  <w:style w:type="character" w:styleId="Hyperlink">
    <w:name w:val="Hyperlink"/>
    <w:basedOn w:val="DefaultParagraphFont"/>
    <w:uiPriority w:val="99"/>
    <w:semiHidden/>
    <w:unhideWhenUsed/>
    <w:rsid w:val="0065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586-018-0805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Lovelock</dc:creator>
  <cp:keywords/>
  <dc:description/>
  <cp:lastModifiedBy>Catherine Lovelock</cp:lastModifiedBy>
  <cp:revision>5</cp:revision>
  <dcterms:created xsi:type="dcterms:W3CDTF">2019-01-25T06:14:00Z</dcterms:created>
  <dcterms:modified xsi:type="dcterms:W3CDTF">2019-01-26T10:09:00Z</dcterms:modified>
</cp:coreProperties>
</file>