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7D55" w14:textId="77777777" w:rsidR="006A3BB6" w:rsidRDefault="006A3BB6" w:rsidP="006A3BB6">
      <w:pPr>
        <w:spacing w:line="480" w:lineRule="auto"/>
        <w:rPr>
          <w:rFonts w:ascii="Times" w:hAnsi="Times"/>
          <w:b/>
        </w:rPr>
      </w:pPr>
      <w:r w:rsidRPr="00EE0C41">
        <w:rPr>
          <w:rFonts w:ascii="Times" w:hAnsi="Times"/>
          <w:b/>
        </w:rPr>
        <w:t>Supplementary Methods S1. Ultra-conserved element (UCE) sequence generation and phylogenetic analyses</w:t>
      </w:r>
    </w:p>
    <w:p w14:paraId="1848F6D3" w14:textId="5AA6086A" w:rsidR="00E11BAB" w:rsidRDefault="00E11BAB" w:rsidP="00E11BAB">
      <w:pPr>
        <w:spacing w:line="480" w:lineRule="auto"/>
        <w:rPr>
          <w:rFonts w:ascii="Helvetica" w:hAnsi="Helvetica" w:cs="Arial"/>
          <w:bCs/>
          <w:color w:val="000000"/>
        </w:rPr>
      </w:pPr>
      <w:r>
        <w:rPr>
          <w:rFonts w:ascii="Helvetica" w:hAnsi="Helvetica" w:cs="Arial"/>
          <w:bCs/>
          <w:color w:val="000000"/>
        </w:rPr>
        <w:t xml:space="preserve">Authors: </w:t>
      </w:r>
      <w:r w:rsidRPr="00B91E37">
        <w:rPr>
          <w:rFonts w:ascii="Helvetica" w:hAnsi="Helvetica"/>
        </w:rPr>
        <w:t>C. Darrin Hulsey, Michael E. Alfaro, Jimmy Zheng, Axel Meyer, and Roi Holzman</w:t>
      </w:r>
    </w:p>
    <w:p w14:paraId="6A84F999" w14:textId="60C534A6" w:rsidR="00E11BAB" w:rsidRPr="00E11BAB" w:rsidRDefault="00E11BAB" w:rsidP="00E11BAB">
      <w:pPr>
        <w:spacing w:line="480" w:lineRule="auto"/>
        <w:rPr>
          <w:rFonts w:ascii="Times" w:hAnsi="Times"/>
        </w:rPr>
      </w:pPr>
      <w:r>
        <w:rPr>
          <w:rFonts w:ascii="Helvetica" w:hAnsi="Helvetica" w:cs="Arial"/>
          <w:bCs/>
          <w:color w:val="000000"/>
        </w:rPr>
        <w:t xml:space="preserve">Title: </w:t>
      </w:r>
      <w:r w:rsidRPr="00E11BAB">
        <w:rPr>
          <w:rFonts w:ascii="Helvetica" w:hAnsi="Helvetica" w:cs="Arial"/>
          <w:bCs/>
          <w:color w:val="000000"/>
        </w:rPr>
        <w:t>Pleiotropic Jaw Morphology Links the Evolution of Mechanical Modularity and Functional Feeding Convergence in Lake Malawi Cichlids</w:t>
      </w:r>
    </w:p>
    <w:p w14:paraId="0A4C907D" w14:textId="2E9DB774" w:rsidR="00E11BAB" w:rsidRDefault="00E11BAB" w:rsidP="00E11BAB">
      <w:pPr>
        <w:spacing w:line="480" w:lineRule="auto"/>
        <w:rPr>
          <w:rFonts w:ascii="Helvetica" w:hAnsi="Helvetica"/>
          <w:color w:val="262B33"/>
          <w:shd w:val="clear" w:color="auto" w:fill="FFFFFF"/>
        </w:rPr>
      </w:pPr>
      <w:r>
        <w:rPr>
          <w:rFonts w:ascii="Helvetica" w:hAnsi="Helvetica"/>
          <w:color w:val="262B33"/>
          <w:shd w:val="clear" w:color="auto" w:fill="FFFFFF"/>
        </w:rPr>
        <w:t>Journal Name: Proceedings of the Royal Society Series B</w:t>
      </w:r>
    </w:p>
    <w:p w14:paraId="368B0C62" w14:textId="6E92FEE1" w:rsidR="00E11BAB" w:rsidRDefault="00E11BAB" w:rsidP="00E11BAB">
      <w:pPr>
        <w:spacing w:line="480" w:lineRule="auto"/>
        <w:rPr>
          <w:rFonts w:ascii="Helvetica" w:hAnsi="Helvetica"/>
          <w:color w:val="262B33"/>
          <w:shd w:val="clear" w:color="auto" w:fill="FFFFFF"/>
        </w:rPr>
      </w:pPr>
      <w:r>
        <w:rPr>
          <w:rFonts w:ascii="Helvetica" w:hAnsi="Helvetica"/>
          <w:color w:val="262B33"/>
          <w:shd w:val="clear" w:color="auto" w:fill="FFFFFF"/>
        </w:rPr>
        <w:t xml:space="preserve">Article DOI: </w:t>
      </w:r>
      <w:r w:rsidRPr="004676EB">
        <w:rPr>
          <w:rFonts w:ascii="Helvetica" w:hAnsi="Helvetica"/>
          <w:color w:val="262B33"/>
          <w:shd w:val="clear" w:color="auto" w:fill="FFFFFF"/>
        </w:rPr>
        <w:t>10.1098/rspb.</w:t>
      </w:r>
      <w:r>
        <w:rPr>
          <w:rFonts w:ascii="Helvetica" w:hAnsi="Helvetica"/>
          <w:color w:val="262B33"/>
          <w:shd w:val="clear" w:color="auto" w:fill="FFFFFF"/>
        </w:rPr>
        <w:t>2018.2358</w:t>
      </w:r>
    </w:p>
    <w:p w14:paraId="446606E9" w14:textId="77777777" w:rsidR="006A3BB6" w:rsidRPr="00590F3F" w:rsidRDefault="006A3BB6" w:rsidP="006A3BB6">
      <w:pPr>
        <w:widowControl w:val="0"/>
        <w:autoSpaceDE w:val="0"/>
        <w:autoSpaceDN w:val="0"/>
        <w:adjustRightInd w:val="0"/>
        <w:spacing w:line="480" w:lineRule="auto"/>
        <w:contextualSpacing/>
        <w:outlineLvl w:val="0"/>
        <w:rPr>
          <w:rStyle w:val="PageNumber"/>
          <w:rFonts w:ascii="Times" w:hAnsi="Times"/>
          <w:color w:val="333333"/>
          <w:u w:color="333333"/>
          <w:shd w:val="clear" w:color="auto" w:fill="FFFFFF"/>
        </w:rPr>
      </w:pPr>
    </w:p>
    <w:p w14:paraId="1923FB1A" w14:textId="77777777" w:rsidR="006A3BB6" w:rsidRPr="00A634FD" w:rsidRDefault="006A3BB6" w:rsidP="006A3BB6">
      <w:pPr>
        <w:widowControl w:val="0"/>
        <w:autoSpaceDE w:val="0"/>
        <w:autoSpaceDN w:val="0"/>
        <w:adjustRightInd w:val="0"/>
        <w:spacing w:line="480" w:lineRule="auto"/>
        <w:contextualSpacing/>
        <w:outlineLvl w:val="0"/>
        <w:rPr>
          <w:rStyle w:val="PageNumber"/>
          <w:rFonts w:ascii="Helvetica" w:hAnsi="Helvetica" w:cs="Arial"/>
          <w:b/>
          <w:bCs/>
          <w:color w:val="000000"/>
          <w:sz w:val="32"/>
          <w:szCs w:val="32"/>
        </w:rPr>
      </w:pPr>
      <w:r w:rsidRPr="00A44FDB">
        <w:rPr>
          <w:rStyle w:val="PageNumber"/>
          <w:rFonts w:ascii="Times" w:hAnsi="Times"/>
          <w:color w:val="333333"/>
          <w:u w:color="333333"/>
          <w:shd w:val="clear" w:color="auto" w:fill="FFFFFF"/>
        </w:rPr>
        <w:t>To generate the UCE sequences, we first extracted DNA using Qiagen DNEasy kits. For each extaction, we quantified the DNA concentration, equilibrated them to 10 ng/uL, and then sonicated the DNA to generate sequence products of 300-500 bp.</w:t>
      </w:r>
      <w:r w:rsidRPr="00A44FDB">
        <w:rPr>
          <w:rStyle w:val="PageNumber"/>
          <w:rFonts w:ascii="Times" w:hAnsi="Times"/>
          <w:b/>
          <w:bCs/>
          <w:caps/>
        </w:rPr>
        <w:t xml:space="preserve"> </w:t>
      </w:r>
      <w:r w:rsidRPr="00A44FDB">
        <w:rPr>
          <w:rStyle w:val="PageNumber"/>
          <w:rFonts w:ascii="Times" w:hAnsi="Times"/>
          <w:color w:val="333333"/>
          <w:u w:color="333333"/>
          <w:shd w:val="clear" w:color="auto" w:fill="FFFFFF"/>
        </w:rPr>
        <w:t xml:space="preserve">Following this protocol, we quantified and then prepared samples using a PCR reaction mix consisting of 15-20 uL DNA. After this PCR step, we purified libraries, rehydrated them, combined them into pools of equimolar ratios (~500 ng per pool), and subsequently enriched them for UCEs using methods implemented previously (18, 28). After qPCR-quantification of the enriched, double-indexed pools, we created an equimolar solution of all individuals and sequenced libraries using the Illumina NextSeq PE150 platform. </w:t>
      </w:r>
    </w:p>
    <w:p w14:paraId="1464E1D9" w14:textId="77777777" w:rsidR="006A3BB6" w:rsidRPr="00A44FDB" w:rsidRDefault="006A3BB6" w:rsidP="006A3BB6">
      <w:pPr>
        <w:spacing w:line="480" w:lineRule="auto"/>
        <w:ind w:firstLine="720"/>
        <w:contextualSpacing/>
        <w:rPr>
          <w:rStyle w:val="PageNumber"/>
          <w:rFonts w:ascii="Times" w:hAnsi="Times"/>
          <w:color w:val="333333"/>
          <w:u w:color="333333"/>
          <w:shd w:val="clear" w:color="auto" w:fill="FFFFFF"/>
        </w:rPr>
      </w:pPr>
      <w:r w:rsidRPr="00A44FDB">
        <w:rPr>
          <w:rStyle w:val="PageNumber"/>
          <w:rFonts w:ascii="Times" w:hAnsi="Times"/>
          <w:color w:val="333333"/>
          <w:u w:color="333333"/>
          <w:shd w:val="clear" w:color="auto" w:fill="FFFFFF"/>
        </w:rPr>
        <w:t>After sequencing, we trimmed adapters, low quality bases, and sequences containing ambiguous base calls. Then, we assembled reads on a species-by-species basis into contigs using the program Trinity (</w:t>
      </w:r>
      <w:r>
        <w:rPr>
          <w:rStyle w:val="PageNumber"/>
          <w:rFonts w:ascii="Times" w:hAnsi="Times"/>
          <w:color w:val="333333"/>
          <w:u w:color="333333"/>
          <w:shd w:val="clear" w:color="auto" w:fill="FFFFFF"/>
        </w:rPr>
        <w:t>1</w:t>
      </w:r>
      <w:r w:rsidRPr="00A44FDB">
        <w:rPr>
          <w:rStyle w:val="PageNumber"/>
          <w:rFonts w:ascii="Times" w:hAnsi="Times"/>
          <w:color w:val="333333"/>
          <w:u w:color="333333"/>
          <w:shd w:val="clear" w:color="auto" w:fill="FFFFFF"/>
        </w:rPr>
        <w:t>). Following assembly, we used the PHYLUCE software package (</w:t>
      </w:r>
      <w:r>
        <w:rPr>
          <w:rStyle w:val="PageNumber"/>
          <w:rFonts w:ascii="Times" w:hAnsi="Times"/>
          <w:color w:val="333333"/>
          <w:u w:color="333333"/>
          <w:shd w:val="clear" w:color="auto" w:fill="FFFFFF"/>
        </w:rPr>
        <w:t>2</w:t>
      </w:r>
      <w:r w:rsidRPr="00A44FDB">
        <w:rPr>
          <w:rStyle w:val="PageNumber"/>
          <w:rFonts w:ascii="Times" w:hAnsi="Times"/>
          <w:color w:val="333333"/>
          <w:u w:color="333333"/>
          <w:shd w:val="clear" w:color="auto" w:fill="FFFFFF"/>
        </w:rPr>
        <w:t xml:space="preserve">) to align species-specific contigs to the UCE probes. Contigs that matched no UCEs and contigs that also matched multiple loci were removed. Using the remaining set of contigs, we generated a </w:t>
      </w:r>
      <w:r w:rsidRPr="00A44FDB">
        <w:rPr>
          <w:rStyle w:val="PageNumber"/>
          <w:rFonts w:ascii="Times" w:hAnsi="Times"/>
          <w:color w:val="333333"/>
          <w:u w:color="333333"/>
          <w:shd w:val="clear" w:color="auto" w:fill="FFFFFF"/>
        </w:rPr>
        <w:lastRenderedPageBreak/>
        <w:t>matrix including only UCE loci that were recovered from 95% of the species examined. Then, we aligned contigs with MAFFT across the selected taxa prior to phylogenetic analyses (</w:t>
      </w:r>
      <w:r>
        <w:rPr>
          <w:rStyle w:val="PageNumber"/>
          <w:rFonts w:ascii="Times" w:hAnsi="Times"/>
          <w:color w:val="333333"/>
          <w:u w:color="333333"/>
          <w:shd w:val="clear" w:color="auto" w:fill="FFFFFF"/>
        </w:rPr>
        <w:t>3</w:t>
      </w:r>
      <w:r w:rsidRPr="00A44FDB">
        <w:rPr>
          <w:rStyle w:val="PageNumber"/>
          <w:rFonts w:ascii="Times" w:hAnsi="Times"/>
          <w:color w:val="333333"/>
          <w:u w:color="333333"/>
          <w:shd w:val="clear" w:color="auto" w:fill="FFFFFF"/>
        </w:rPr>
        <w:t xml:space="preserve">).   </w:t>
      </w:r>
    </w:p>
    <w:p w14:paraId="5AD74462" w14:textId="43734B70" w:rsidR="006B7A2B" w:rsidRDefault="006A3BB6" w:rsidP="00E9754D">
      <w:pPr>
        <w:spacing w:line="480" w:lineRule="auto"/>
        <w:ind w:firstLine="720"/>
        <w:rPr>
          <w:rFonts w:ascii="Times" w:hAnsi="Times"/>
        </w:rPr>
      </w:pPr>
      <w:r w:rsidRPr="00A44FDB">
        <w:rPr>
          <w:rFonts w:ascii="Times" w:hAnsi="Times"/>
        </w:rPr>
        <w:t>To reconstruct bifurcating phylogenetic trees for the UCE loci to use in the comparative analyses, we utilized a de novo SNP calling approach by aligning all raw reads against the sample with the highest coverage across all UCE loci. This method integrates BWA v. 0.7.7-1 and PICARD v. 1.106 (http://picard.sourceforge.net/) to output alignments in BAM format, repair any formatting violations, add read group header information, and mark duplicates in each BAM. We then merged all resulting BAMs into one file, realigned the data and called SNPs and indels using GATK v. 3.5. To ensure high-quality SNPs in downstream analyses, the data was hierarchically filtered according to stringent quality and validation parameters, excluding SNPs with QUAL scores under 25, low variant confidence, and poor validation. The resulting data was filtered further using VCFTOOLS v.0.1.14 (</w:t>
      </w:r>
      <w:r>
        <w:rPr>
          <w:rFonts w:ascii="Times" w:hAnsi="Times"/>
        </w:rPr>
        <w:t>4</w:t>
      </w:r>
      <w:r w:rsidRPr="00A44FDB">
        <w:rPr>
          <w:rFonts w:ascii="Times" w:hAnsi="Times"/>
        </w:rPr>
        <w:t>) to remove all loci that missed SNP calls for over 25% of the species. To account for linkage disequilibrium of SNPs in the same UCE locus, the filtered VCF file was also manually pared down to the highest quality SNP per locus, resulting in 1027 SNPs.</w:t>
      </w:r>
    </w:p>
    <w:p w14:paraId="78811211" w14:textId="77777777" w:rsidR="00A546B3" w:rsidRDefault="00A546B3" w:rsidP="00A546B3">
      <w:pPr>
        <w:spacing w:line="480" w:lineRule="auto"/>
        <w:rPr>
          <w:rFonts w:ascii="Times" w:hAnsi="Times"/>
        </w:rPr>
      </w:pPr>
    </w:p>
    <w:p w14:paraId="7CC5CE78" w14:textId="350E2C21" w:rsidR="00A546B3" w:rsidRDefault="00A546B3" w:rsidP="00A546B3">
      <w:pPr>
        <w:spacing w:line="480" w:lineRule="auto"/>
        <w:rPr>
          <w:rFonts w:ascii="Times" w:hAnsi="Times"/>
          <w:b/>
        </w:rPr>
      </w:pPr>
      <w:r w:rsidRPr="00EE0C41">
        <w:rPr>
          <w:rFonts w:ascii="Times" w:hAnsi="Times"/>
          <w:b/>
        </w:rPr>
        <w:t>Supplementary Methods S</w:t>
      </w:r>
      <w:r>
        <w:rPr>
          <w:rFonts w:ascii="Times" w:hAnsi="Times"/>
          <w:b/>
        </w:rPr>
        <w:t>2</w:t>
      </w:r>
      <w:r w:rsidRPr="00EE0C41">
        <w:rPr>
          <w:rFonts w:ascii="Times" w:hAnsi="Times"/>
          <w:b/>
        </w:rPr>
        <w:t xml:space="preserve">. </w:t>
      </w:r>
      <w:r w:rsidR="00296670">
        <w:rPr>
          <w:rFonts w:ascii="Times" w:hAnsi="Times"/>
          <w:b/>
        </w:rPr>
        <w:t>Models of Malawi-wide convergence at multiple levels</w:t>
      </w:r>
      <w:bookmarkStart w:id="0" w:name="_GoBack"/>
      <w:bookmarkEnd w:id="0"/>
      <w:r w:rsidR="00296670">
        <w:rPr>
          <w:rFonts w:ascii="Times" w:hAnsi="Times"/>
          <w:b/>
        </w:rPr>
        <w:t xml:space="preserve"> </w:t>
      </w:r>
    </w:p>
    <w:p w14:paraId="5CA68EEC" w14:textId="77777777" w:rsidR="00A546B3" w:rsidRDefault="00A546B3" w:rsidP="00A546B3">
      <w:pPr>
        <w:spacing w:line="480" w:lineRule="auto"/>
        <w:rPr>
          <w:rFonts w:ascii="Times" w:hAnsi="Times"/>
        </w:rPr>
      </w:pPr>
    </w:p>
    <w:p w14:paraId="0A9F1AA7" w14:textId="31AF96F0" w:rsidR="00A546B3" w:rsidRPr="00E9754D" w:rsidRDefault="00A546B3" w:rsidP="00A546B3">
      <w:pPr>
        <w:spacing w:line="480" w:lineRule="auto"/>
      </w:pPr>
      <w:r>
        <w:rPr>
          <w:color w:val="231F20"/>
        </w:rPr>
        <w:t>The f</w:t>
      </w:r>
      <w:r w:rsidRPr="001823DC">
        <w:rPr>
          <w:color w:val="231F20"/>
        </w:rPr>
        <w:t xml:space="preserve">our </w:t>
      </w:r>
      <w:r>
        <w:rPr>
          <w:color w:val="231F20"/>
        </w:rPr>
        <w:t xml:space="preserve">evolutionary </w:t>
      </w:r>
      <w:r w:rsidRPr="001823DC">
        <w:rPr>
          <w:color w:val="231F20"/>
        </w:rPr>
        <w:t xml:space="preserve">models (BM1, BMS, OU1, OUM) were fitted </w:t>
      </w:r>
      <w:r>
        <w:rPr>
          <w:color w:val="231F20"/>
        </w:rPr>
        <w:t>individually to the two functional abilities (</w:t>
      </w:r>
      <w:r w:rsidRPr="00144A26">
        <w:rPr>
          <w:color w:val="231F20"/>
        </w:rPr>
        <w:t>protrusio</w:t>
      </w:r>
      <w:r>
        <w:rPr>
          <w:color w:val="231F20"/>
        </w:rPr>
        <w:t>n distance and protrusion angle), both mechanical properties (</w:t>
      </w:r>
      <w:r w:rsidRPr="00144A26">
        <w:rPr>
          <w:color w:val="231F20"/>
        </w:rPr>
        <w:t>KT and αN),</w:t>
      </w:r>
      <w:r>
        <w:rPr>
          <w:color w:val="231F20"/>
        </w:rPr>
        <w:t xml:space="preserve"> and all </w:t>
      </w:r>
      <w:r w:rsidRPr="00144A26">
        <w:rPr>
          <w:color w:val="231F20"/>
        </w:rPr>
        <w:t>morpholog</w:t>
      </w:r>
      <w:r>
        <w:rPr>
          <w:color w:val="231F20"/>
        </w:rPr>
        <w:t>ical traits (</w:t>
      </w:r>
      <w:r w:rsidRPr="00144A26">
        <w:rPr>
          <w:color w:val="231F20"/>
        </w:rPr>
        <w:t>the</w:t>
      </w:r>
      <w:r>
        <w:rPr>
          <w:color w:val="231F20"/>
        </w:rPr>
        <w:t xml:space="preserve"> four link lengths </w:t>
      </w:r>
      <w:r w:rsidRPr="00144A26">
        <w:rPr>
          <w:color w:val="231F20"/>
        </w:rPr>
        <w:t xml:space="preserve">in the four-bar </w:t>
      </w:r>
      <w:r>
        <w:rPr>
          <w:color w:val="231F20"/>
        </w:rPr>
        <w:t>linkage</w:t>
      </w:r>
      <w:r w:rsidRPr="00144A26">
        <w:rPr>
          <w:color w:val="231F20"/>
        </w:rPr>
        <w:t>)</w:t>
      </w:r>
      <w:r>
        <w:rPr>
          <w:color w:val="231F20"/>
        </w:rPr>
        <w:t>. For all</w:t>
      </w:r>
      <w:r w:rsidRPr="001823DC">
        <w:rPr>
          <w:color w:val="231F20"/>
        </w:rPr>
        <w:t xml:space="preserve"> SIMMAP </w:t>
      </w:r>
      <w:r>
        <w:rPr>
          <w:color w:val="231F20"/>
        </w:rPr>
        <w:t xml:space="preserve">trait reconstructions, we </w:t>
      </w:r>
      <w:r w:rsidRPr="001823DC">
        <w:rPr>
          <w:color w:val="231F20"/>
        </w:rPr>
        <w:t>recorded the AIC score for each model</w:t>
      </w:r>
      <w:r>
        <w:rPr>
          <w:color w:val="231F20"/>
        </w:rPr>
        <w:t xml:space="preserve"> and</w:t>
      </w:r>
      <w:r w:rsidRPr="001823DC">
        <w:rPr>
          <w:color w:val="231F20"/>
        </w:rPr>
        <w:t xml:space="preserve"> the model-averaged peak locations</w:t>
      </w:r>
      <w:r>
        <w:rPr>
          <w:color w:val="231F20"/>
        </w:rPr>
        <w:t xml:space="preserve"> across the 100 </w:t>
      </w:r>
      <w:r w:rsidRPr="001823DC">
        <w:rPr>
          <w:color w:val="231F20"/>
        </w:rPr>
        <w:t>tree</w:t>
      </w:r>
      <w:r>
        <w:rPr>
          <w:color w:val="231F20"/>
        </w:rPr>
        <w:t>s</w:t>
      </w:r>
      <w:r w:rsidRPr="001823DC">
        <w:rPr>
          <w:color w:val="231F20"/>
        </w:rPr>
        <w:t>. Model averages were calculated from each model</w:t>
      </w:r>
      <w:r>
        <w:rPr>
          <w:color w:val="231F20"/>
        </w:rPr>
        <w:t xml:space="preserve">'s peak location </w:t>
      </w:r>
      <w:r w:rsidRPr="001823DC">
        <w:rPr>
          <w:color w:val="231F20"/>
        </w:rPr>
        <w:t>weighted according to the relative support of the model. The difference</w:t>
      </w:r>
      <w:r>
        <w:rPr>
          <w:color w:val="231F20"/>
        </w:rPr>
        <w:t>s</w:t>
      </w:r>
      <w:r w:rsidRPr="001823DC">
        <w:rPr>
          <w:color w:val="231F20"/>
        </w:rPr>
        <w:t xml:space="preserve"> in AIC scores (the model</w:t>
      </w:r>
      <w:r>
        <w:rPr>
          <w:color w:val="231F20"/>
        </w:rPr>
        <w:t>s</w:t>
      </w:r>
      <w:r w:rsidRPr="001823DC">
        <w:rPr>
          <w:color w:val="231F20"/>
        </w:rPr>
        <w:t xml:space="preserve"> with lowest AIC score) were used to select the best-supported model for each trait. We inferred a ∆AIC of </w:t>
      </w:r>
      <w:r>
        <w:rPr>
          <w:color w:val="231F20"/>
        </w:rPr>
        <w:t>less than</w:t>
      </w:r>
      <w:r w:rsidRPr="001823DC">
        <w:rPr>
          <w:color w:val="231F20"/>
        </w:rPr>
        <w:t xml:space="preserve"> 2.0 to suggest similar support for competing models while a ∆AIC of greater than 2.0 was taken as greater support for a more parameter-rich model. We further used kernel density estimation (KDE) from the KS library (</w:t>
      </w:r>
      <w:r>
        <w:rPr>
          <w:color w:val="231F20"/>
        </w:rPr>
        <w:t>62</w:t>
      </w:r>
      <w:r w:rsidRPr="001823DC">
        <w:rPr>
          <w:color w:val="231F20"/>
        </w:rPr>
        <w:t>) to calculate the confidence interval</w:t>
      </w:r>
      <w:r>
        <w:rPr>
          <w:color w:val="231F20"/>
        </w:rPr>
        <w:t>s for peak locations</w:t>
      </w:r>
      <w:r w:rsidRPr="001823DC">
        <w:rPr>
          <w:color w:val="231F20"/>
        </w:rPr>
        <w:t>.</w:t>
      </w:r>
    </w:p>
    <w:p w14:paraId="072B6409" w14:textId="77777777" w:rsidR="006B7A2B" w:rsidRDefault="006B7A2B" w:rsidP="006B7A2B">
      <w:pPr>
        <w:pStyle w:val="SMcaption"/>
        <w:rPr>
          <w:b/>
        </w:rPr>
      </w:pPr>
      <w:r w:rsidRPr="00D56D2E">
        <w:rPr>
          <w:b/>
        </w:rPr>
        <w:t>References</w:t>
      </w:r>
    </w:p>
    <w:p w14:paraId="26A96ACA" w14:textId="77777777" w:rsidR="006B7A2B" w:rsidRPr="00D65B5D" w:rsidRDefault="006B7A2B" w:rsidP="006B7A2B">
      <w:pPr>
        <w:pStyle w:val="ListParagraph"/>
        <w:numPr>
          <w:ilvl w:val="0"/>
          <w:numId w:val="1"/>
        </w:numPr>
        <w:shd w:val="clear" w:color="auto" w:fill="FFFFFF"/>
        <w:spacing w:line="480" w:lineRule="auto"/>
        <w:ind w:left="450" w:hanging="450"/>
        <w:contextualSpacing/>
        <w:rPr>
          <w:rFonts w:ascii="Helvetica" w:hAnsi="Helvetica"/>
          <w:color w:val="262B33"/>
        </w:rPr>
      </w:pPr>
      <w:r w:rsidRPr="00D65B5D">
        <w:rPr>
          <w:rFonts w:ascii="Helvetica" w:hAnsi="Helvetica"/>
        </w:rPr>
        <w:t>Grabherr MG</w:t>
      </w:r>
      <w:r>
        <w:rPr>
          <w:rFonts w:ascii="Helvetica" w:hAnsi="Helvetica"/>
        </w:rPr>
        <w:t>,</w:t>
      </w:r>
      <w:r w:rsidRPr="00D65B5D">
        <w:rPr>
          <w:rFonts w:ascii="Helvetica" w:hAnsi="Helvetica"/>
        </w:rPr>
        <w:t xml:space="preserve"> et al. (2011) Full-length transcriptome assembly from RNA-Seq data without a reference genome. </w:t>
      </w:r>
      <w:r w:rsidRPr="00D65B5D">
        <w:rPr>
          <w:rFonts w:ascii="Helvetica" w:hAnsi="Helvetica"/>
          <w:i/>
        </w:rPr>
        <w:t>Nat Biotech</w:t>
      </w:r>
      <w:r w:rsidRPr="00D65B5D">
        <w:rPr>
          <w:rFonts w:ascii="Helvetica" w:hAnsi="Helvetica"/>
        </w:rPr>
        <w:t xml:space="preserve"> 29:644–652.</w:t>
      </w:r>
    </w:p>
    <w:p w14:paraId="4C727FBA" w14:textId="77777777" w:rsidR="006B7A2B" w:rsidRPr="00D65B5D" w:rsidRDefault="006B7A2B" w:rsidP="006B7A2B">
      <w:pPr>
        <w:pStyle w:val="ListParagraph"/>
        <w:numPr>
          <w:ilvl w:val="0"/>
          <w:numId w:val="1"/>
        </w:numPr>
        <w:shd w:val="clear" w:color="auto" w:fill="FFFFFF"/>
        <w:spacing w:line="480" w:lineRule="auto"/>
        <w:ind w:left="450" w:hanging="450"/>
        <w:contextualSpacing/>
        <w:rPr>
          <w:rFonts w:ascii="Helvetica" w:hAnsi="Helvetica"/>
          <w:color w:val="262B33"/>
        </w:rPr>
      </w:pPr>
      <w:r w:rsidRPr="00D65B5D">
        <w:rPr>
          <w:rFonts w:ascii="Helvetica" w:hAnsi="Helvetica"/>
        </w:rPr>
        <w:t xml:space="preserve">Faircloth BC (2016) PHYLUCE is a software package for the analysis of conserved genomic loci. </w:t>
      </w:r>
      <w:r w:rsidRPr="00D65B5D">
        <w:rPr>
          <w:rFonts w:ascii="Helvetica" w:hAnsi="Helvetica"/>
          <w:i/>
        </w:rPr>
        <w:t>Bioinformatics</w:t>
      </w:r>
      <w:r w:rsidRPr="00D65B5D">
        <w:rPr>
          <w:rFonts w:ascii="Helvetica" w:hAnsi="Helvetica"/>
        </w:rPr>
        <w:t xml:space="preserve"> 32:786–788.</w:t>
      </w:r>
    </w:p>
    <w:p w14:paraId="5F9AF330" w14:textId="77777777" w:rsidR="006B7A2B" w:rsidRPr="00D65B5D" w:rsidRDefault="006B7A2B" w:rsidP="006B7A2B">
      <w:pPr>
        <w:pStyle w:val="ListParagraph"/>
        <w:numPr>
          <w:ilvl w:val="0"/>
          <w:numId w:val="1"/>
        </w:numPr>
        <w:shd w:val="clear" w:color="auto" w:fill="FFFFFF"/>
        <w:spacing w:line="480" w:lineRule="auto"/>
        <w:ind w:left="450" w:hanging="450"/>
        <w:contextualSpacing/>
        <w:rPr>
          <w:rFonts w:ascii="Helvetica" w:hAnsi="Helvetica"/>
          <w:color w:val="262B33"/>
        </w:rPr>
      </w:pPr>
      <w:r w:rsidRPr="00D65B5D">
        <w:rPr>
          <w:rFonts w:ascii="Helvetica" w:hAnsi="Helvetica"/>
        </w:rPr>
        <w:t xml:space="preserve">Katoh K, Kuma K, Toh H, Miyata T (2005) MAFFT version 5: improvement in accuracy of multiple sequence alignment. </w:t>
      </w:r>
      <w:r w:rsidRPr="00D65B5D">
        <w:rPr>
          <w:rFonts w:ascii="Helvetica" w:hAnsi="Helvetica"/>
          <w:i/>
        </w:rPr>
        <w:t xml:space="preserve">Nuc Acid Res </w:t>
      </w:r>
      <w:r w:rsidRPr="00D65B5D">
        <w:rPr>
          <w:rFonts w:ascii="Helvetica" w:hAnsi="Helvetica"/>
        </w:rPr>
        <w:t>20:511–518.</w:t>
      </w:r>
    </w:p>
    <w:p w14:paraId="4266387C" w14:textId="223D7D6C" w:rsidR="00A30B55" w:rsidRPr="00F75E6B" w:rsidRDefault="006B7A2B" w:rsidP="009109E9">
      <w:pPr>
        <w:pStyle w:val="ListParagraph"/>
        <w:numPr>
          <w:ilvl w:val="0"/>
          <w:numId w:val="1"/>
        </w:numPr>
        <w:shd w:val="clear" w:color="auto" w:fill="FFFFFF"/>
        <w:spacing w:line="480" w:lineRule="auto"/>
        <w:ind w:left="450" w:hanging="450"/>
        <w:contextualSpacing/>
        <w:rPr>
          <w:rFonts w:ascii="Helvetica" w:hAnsi="Helvetica"/>
          <w:color w:val="262B33"/>
        </w:rPr>
      </w:pPr>
      <w:r w:rsidRPr="00D65B5D">
        <w:rPr>
          <w:rFonts w:ascii="Helvetica" w:hAnsi="Helvetica"/>
        </w:rPr>
        <w:t xml:space="preserve">Danecek P, et al. (2011) The variant call format and VCFtools. </w:t>
      </w:r>
      <w:r w:rsidRPr="00D65B5D">
        <w:rPr>
          <w:rFonts w:ascii="Helvetica" w:hAnsi="Helvetica"/>
          <w:i/>
        </w:rPr>
        <w:t>Bioinformatics</w:t>
      </w:r>
      <w:r w:rsidRPr="00D65B5D">
        <w:rPr>
          <w:rFonts w:ascii="Helvetica" w:hAnsi="Helvetica"/>
        </w:rPr>
        <w:t xml:space="preserve"> 27, 2156–2158.</w:t>
      </w:r>
    </w:p>
    <w:p w14:paraId="1913FDEB" w14:textId="77777777" w:rsidR="00F75E6B" w:rsidRPr="00B53726" w:rsidRDefault="00F75E6B" w:rsidP="00F75E6B">
      <w:pPr>
        <w:pStyle w:val="ListParagraph"/>
        <w:numPr>
          <w:ilvl w:val="0"/>
          <w:numId w:val="1"/>
        </w:numPr>
        <w:shd w:val="clear" w:color="auto" w:fill="FFFFFF"/>
        <w:spacing w:line="480" w:lineRule="auto"/>
        <w:ind w:left="450" w:hanging="450"/>
        <w:contextualSpacing/>
        <w:rPr>
          <w:rFonts w:ascii="Helvetica" w:hAnsi="Helvetica"/>
          <w:color w:val="262B33"/>
        </w:rPr>
      </w:pPr>
      <w:r w:rsidRPr="00D65B5D">
        <w:rPr>
          <w:rFonts w:ascii="Helvetica" w:hAnsi="Helvetica"/>
        </w:rPr>
        <w:t xml:space="preserve">Duong T (2007) ks: </w:t>
      </w:r>
      <w:r>
        <w:rPr>
          <w:rFonts w:ascii="Helvetica" w:hAnsi="Helvetica"/>
        </w:rPr>
        <w:t>k</w:t>
      </w:r>
      <w:r w:rsidRPr="00D65B5D">
        <w:rPr>
          <w:rFonts w:ascii="Helvetica" w:hAnsi="Helvetica"/>
        </w:rPr>
        <w:t xml:space="preserve">ernel </w:t>
      </w:r>
      <w:r>
        <w:rPr>
          <w:rFonts w:ascii="Helvetica" w:hAnsi="Helvetica"/>
        </w:rPr>
        <w:t>d</w:t>
      </w:r>
      <w:r w:rsidRPr="00D65B5D">
        <w:rPr>
          <w:rFonts w:ascii="Helvetica" w:hAnsi="Helvetica"/>
        </w:rPr>
        <w:t xml:space="preserve">ensity </w:t>
      </w:r>
      <w:r>
        <w:rPr>
          <w:rFonts w:ascii="Helvetica" w:hAnsi="Helvetica"/>
        </w:rPr>
        <w:t>e</w:t>
      </w:r>
      <w:r w:rsidRPr="00D65B5D">
        <w:rPr>
          <w:rFonts w:ascii="Helvetica" w:hAnsi="Helvetica"/>
        </w:rPr>
        <w:t xml:space="preserve">stimation and </w:t>
      </w:r>
      <w:r>
        <w:rPr>
          <w:rFonts w:ascii="Helvetica" w:hAnsi="Helvetica"/>
        </w:rPr>
        <w:t>k</w:t>
      </w:r>
      <w:r w:rsidRPr="00D65B5D">
        <w:rPr>
          <w:rFonts w:ascii="Helvetica" w:hAnsi="Helvetica"/>
        </w:rPr>
        <w:t xml:space="preserve">ernel </w:t>
      </w:r>
      <w:r>
        <w:rPr>
          <w:rFonts w:ascii="Helvetica" w:hAnsi="Helvetica"/>
        </w:rPr>
        <w:t>d</w:t>
      </w:r>
      <w:r w:rsidRPr="00D65B5D">
        <w:rPr>
          <w:rFonts w:ascii="Helvetica" w:hAnsi="Helvetica"/>
        </w:rPr>
        <w:t xml:space="preserve">iscriminant </w:t>
      </w:r>
      <w:r>
        <w:rPr>
          <w:rFonts w:ascii="Helvetica" w:hAnsi="Helvetica"/>
        </w:rPr>
        <w:t>a</w:t>
      </w:r>
      <w:r w:rsidRPr="00D65B5D">
        <w:rPr>
          <w:rFonts w:ascii="Helvetica" w:hAnsi="Helvetica"/>
        </w:rPr>
        <w:t xml:space="preserve">nalysis for </w:t>
      </w:r>
      <w:r>
        <w:rPr>
          <w:rFonts w:ascii="Helvetica" w:hAnsi="Helvetica"/>
        </w:rPr>
        <w:t>m</w:t>
      </w:r>
      <w:r w:rsidRPr="00D65B5D">
        <w:rPr>
          <w:rFonts w:ascii="Helvetica" w:hAnsi="Helvetica"/>
        </w:rPr>
        <w:t xml:space="preserve">ultivariate </w:t>
      </w:r>
      <w:r>
        <w:rPr>
          <w:rFonts w:ascii="Helvetica" w:hAnsi="Helvetica"/>
        </w:rPr>
        <w:t>d</w:t>
      </w:r>
      <w:r w:rsidRPr="00D65B5D">
        <w:rPr>
          <w:rFonts w:ascii="Helvetica" w:hAnsi="Helvetica"/>
        </w:rPr>
        <w:t xml:space="preserve">ata in </w:t>
      </w:r>
      <w:r w:rsidRPr="00D65B5D">
        <w:rPr>
          <w:rFonts w:ascii="Helvetica" w:hAnsi="Helvetica"/>
          <w:i/>
        </w:rPr>
        <w:t>R J Stats Soft</w:t>
      </w:r>
      <w:r w:rsidRPr="00D65B5D">
        <w:rPr>
          <w:rFonts w:ascii="Helvetica" w:hAnsi="Helvetica"/>
        </w:rPr>
        <w:t xml:space="preserve"> 21:1–16.</w:t>
      </w:r>
    </w:p>
    <w:p w14:paraId="735182CE" w14:textId="77777777" w:rsidR="00F75E6B" w:rsidRPr="009109E9" w:rsidRDefault="00F75E6B" w:rsidP="00F75E6B">
      <w:pPr>
        <w:pStyle w:val="ListParagraph"/>
        <w:shd w:val="clear" w:color="auto" w:fill="FFFFFF"/>
        <w:spacing w:line="480" w:lineRule="auto"/>
        <w:ind w:left="450"/>
        <w:contextualSpacing/>
        <w:rPr>
          <w:rFonts w:ascii="Helvetica" w:hAnsi="Helvetica"/>
          <w:color w:val="262B33"/>
        </w:rPr>
      </w:pPr>
    </w:p>
    <w:p w14:paraId="42AA692B" w14:textId="7CC038A5" w:rsidR="009109E9" w:rsidRDefault="009109E9" w:rsidP="009109E9">
      <w:pPr>
        <w:spacing w:line="480" w:lineRule="auto"/>
      </w:pPr>
      <w:r>
        <w:rPr>
          <w:rFonts w:ascii="Helvetica" w:hAnsi="Helvetica" w:cs="Arial"/>
          <w:b/>
        </w:rPr>
        <w:t xml:space="preserve">Supplementary </w:t>
      </w:r>
      <w:r w:rsidRPr="009109E9">
        <w:rPr>
          <w:rFonts w:ascii="Helvetica" w:hAnsi="Helvetica" w:cs="Arial"/>
          <w:b/>
        </w:rPr>
        <w:t xml:space="preserve">Table </w:t>
      </w:r>
      <w:r w:rsidR="00E679B2">
        <w:rPr>
          <w:rFonts w:ascii="Helvetica" w:hAnsi="Helvetica" w:cs="Arial"/>
          <w:b/>
        </w:rPr>
        <w:t>S</w:t>
      </w:r>
      <w:r>
        <w:rPr>
          <w:rFonts w:ascii="Helvetica" w:hAnsi="Helvetica" w:cs="Arial"/>
          <w:b/>
        </w:rPr>
        <w:t>1</w:t>
      </w:r>
      <w:r w:rsidRPr="009109E9">
        <w:rPr>
          <w:rFonts w:ascii="Helvetica" w:hAnsi="Helvetica" w:cs="Arial"/>
          <w:b/>
        </w:rPr>
        <w:t xml:space="preserve">. Feeding guild adaptive optima. </w:t>
      </w:r>
      <w:r w:rsidRPr="009109E9">
        <w:rPr>
          <w:rFonts w:ascii="Arial" w:hAnsi="Arial" w:cs="Arial"/>
        </w:rPr>
        <w:t>Support for four models of trait evolution including single (BM1) and multiple (BMS) rate Brownian motion as well as single (OU1) and multiple peak (OUM) Ornstein-Uhlenbeck models. These models were examined for each trait independently across the three levels of organization (function, mechanics, morphology). Best-supported models appear in bold. Average ∆AIC (</w:t>
      </w:r>
      <w:r w:rsidRPr="009109E9">
        <w:rPr>
          <w:rFonts w:ascii="Arial" w:hAnsi="Arial" w:cs="Arial"/>
          <w:color w:val="000000"/>
        </w:rPr>
        <w:t xml:space="preserve">± standard error) </w:t>
      </w:r>
      <w:r w:rsidRPr="009109E9">
        <w:rPr>
          <w:rFonts w:ascii="Arial" w:hAnsi="Arial" w:cs="Arial"/>
        </w:rPr>
        <w:t>values are given for each best model (highlighted in bold) relative to the next best of the other three models examined based on SIMMAP trait histories reconstructed for 100 trees. In general, the performance and mechanical traits showed evidence of different optima for convergent Malawi feeding guilds while the four-bar linkage morphology did not exhibit clear optima.</w:t>
      </w:r>
    </w:p>
    <w:tbl>
      <w:tblPr>
        <w:tblW w:w="6880" w:type="dxa"/>
        <w:tblInd w:w="108" w:type="dxa"/>
        <w:tblLook w:val="04A0" w:firstRow="1" w:lastRow="0" w:firstColumn="1" w:lastColumn="0" w:noHBand="0" w:noVBand="1"/>
      </w:tblPr>
      <w:tblGrid>
        <w:gridCol w:w="1711"/>
        <w:gridCol w:w="1272"/>
        <w:gridCol w:w="1288"/>
        <w:gridCol w:w="1351"/>
        <w:gridCol w:w="1258"/>
      </w:tblGrid>
      <w:tr w:rsidR="009109E9" w:rsidRPr="00E1227B" w14:paraId="19ADBD90" w14:textId="77777777" w:rsidTr="00CB1010">
        <w:trPr>
          <w:trHeight w:val="320"/>
        </w:trPr>
        <w:tc>
          <w:tcPr>
            <w:tcW w:w="1680" w:type="dxa"/>
            <w:tcBorders>
              <w:top w:val="single" w:sz="4" w:space="0" w:color="auto"/>
              <w:left w:val="nil"/>
              <w:bottom w:val="nil"/>
              <w:right w:val="nil"/>
            </w:tcBorders>
            <w:shd w:val="clear" w:color="auto" w:fill="auto"/>
            <w:vAlign w:val="center"/>
            <w:hideMark/>
          </w:tcPr>
          <w:p w14:paraId="1E916500"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organizational</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4ADC6453"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s="Arial"/>
                <w:color w:val="000000"/>
                <w:szCs w:val="24"/>
              </w:rPr>
              <w:t>trait</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0401AE41"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Brownian</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4F86AEE2" w14:textId="77777777" w:rsidR="009109E9" w:rsidRPr="00E1227B" w:rsidRDefault="009109E9" w:rsidP="00CB1010">
            <w:pPr>
              <w:spacing w:line="480" w:lineRule="auto"/>
              <w:jc w:val="center"/>
              <w:rPr>
                <w:rFonts w:ascii="Arial" w:hAnsi="Arial" w:cs="Arial"/>
                <w:color w:val="000000"/>
                <w:szCs w:val="24"/>
              </w:rPr>
            </w:pPr>
            <w:r w:rsidRPr="00E1227B">
              <w:rPr>
                <w:rFonts w:ascii="Arial" w:hAnsi="Arial" w:cs="Arial"/>
                <w:color w:val="000000"/>
                <w:szCs w:val="24"/>
              </w:rPr>
              <w:t>Ornstein-      Uhlenbeck</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7CEFE193"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s="Arial"/>
                <w:color w:val="000000"/>
                <w:szCs w:val="24"/>
              </w:rPr>
              <w:t>∆AIC</w:t>
            </w:r>
          </w:p>
        </w:tc>
      </w:tr>
      <w:tr w:rsidR="009109E9" w:rsidRPr="00E1227B" w14:paraId="204A5812" w14:textId="77777777" w:rsidTr="00CB1010">
        <w:trPr>
          <w:trHeight w:val="320"/>
        </w:trPr>
        <w:tc>
          <w:tcPr>
            <w:tcW w:w="1680" w:type="dxa"/>
            <w:tcBorders>
              <w:top w:val="nil"/>
              <w:left w:val="nil"/>
              <w:bottom w:val="single" w:sz="4" w:space="0" w:color="auto"/>
              <w:right w:val="nil"/>
            </w:tcBorders>
            <w:shd w:val="clear" w:color="auto" w:fill="auto"/>
            <w:vAlign w:val="center"/>
            <w:hideMark/>
          </w:tcPr>
          <w:p w14:paraId="394E0C36"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level</w:t>
            </w:r>
          </w:p>
        </w:tc>
        <w:tc>
          <w:tcPr>
            <w:tcW w:w="1300" w:type="dxa"/>
            <w:vMerge/>
            <w:tcBorders>
              <w:top w:val="single" w:sz="4" w:space="0" w:color="auto"/>
              <w:left w:val="nil"/>
              <w:bottom w:val="single" w:sz="4" w:space="0" w:color="000000"/>
              <w:right w:val="nil"/>
            </w:tcBorders>
            <w:vAlign w:val="center"/>
            <w:hideMark/>
          </w:tcPr>
          <w:p w14:paraId="023757BA" w14:textId="77777777" w:rsidR="009109E9" w:rsidRPr="00E1227B" w:rsidRDefault="009109E9" w:rsidP="00CB1010">
            <w:pPr>
              <w:spacing w:line="480" w:lineRule="auto"/>
              <w:rPr>
                <w:rFonts w:ascii="Helvetica" w:hAnsi="Helvetica"/>
                <w:color w:val="000000"/>
                <w:szCs w:val="24"/>
              </w:rPr>
            </w:pPr>
          </w:p>
        </w:tc>
        <w:tc>
          <w:tcPr>
            <w:tcW w:w="1300" w:type="dxa"/>
            <w:vMerge/>
            <w:tcBorders>
              <w:top w:val="single" w:sz="4" w:space="0" w:color="auto"/>
              <w:left w:val="nil"/>
              <w:bottom w:val="single" w:sz="4" w:space="0" w:color="000000"/>
              <w:right w:val="nil"/>
            </w:tcBorders>
            <w:vAlign w:val="center"/>
            <w:hideMark/>
          </w:tcPr>
          <w:p w14:paraId="202D2176" w14:textId="77777777" w:rsidR="009109E9" w:rsidRPr="00E1227B" w:rsidRDefault="009109E9" w:rsidP="00CB1010">
            <w:pPr>
              <w:spacing w:line="480" w:lineRule="auto"/>
              <w:rPr>
                <w:rFonts w:ascii="Helvetica" w:hAnsi="Helvetica"/>
                <w:color w:val="000000"/>
                <w:szCs w:val="24"/>
              </w:rPr>
            </w:pPr>
          </w:p>
        </w:tc>
        <w:tc>
          <w:tcPr>
            <w:tcW w:w="1300" w:type="dxa"/>
            <w:vMerge/>
            <w:tcBorders>
              <w:top w:val="single" w:sz="4" w:space="0" w:color="auto"/>
              <w:left w:val="nil"/>
              <w:bottom w:val="single" w:sz="4" w:space="0" w:color="000000"/>
              <w:right w:val="nil"/>
            </w:tcBorders>
            <w:vAlign w:val="center"/>
            <w:hideMark/>
          </w:tcPr>
          <w:p w14:paraId="7E6969C2" w14:textId="77777777" w:rsidR="009109E9" w:rsidRPr="00E1227B" w:rsidRDefault="009109E9" w:rsidP="00CB1010">
            <w:pPr>
              <w:spacing w:line="480" w:lineRule="auto"/>
              <w:rPr>
                <w:rFonts w:ascii="Arial" w:hAnsi="Arial" w:cs="Arial"/>
                <w:color w:val="000000"/>
                <w:szCs w:val="24"/>
              </w:rPr>
            </w:pPr>
          </w:p>
        </w:tc>
        <w:tc>
          <w:tcPr>
            <w:tcW w:w="1300" w:type="dxa"/>
            <w:vMerge/>
            <w:tcBorders>
              <w:top w:val="single" w:sz="4" w:space="0" w:color="auto"/>
              <w:left w:val="nil"/>
              <w:bottom w:val="single" w:sz="4" w:space="0" w:color="000000"/>
              <w:right w:val="nil"/>
            </w:tcBorders>
            <w:vAlign w:val="center"/>
            <w:hideMark/>
          </w:tcPr>
          <w:p w14:paraId="2D0B29AB" w14:textId="77777777" w:rsidR="009109E9" w:rsidRPr="00E1227B" w:rsidRDefault="009109E9" w:rsidP="00CB1010">
            <w:pPr>
              <w:spacing w:line="480" w:lineRule="auto"/>
              <w:rPr>
                <w:rFonts w:ascii="Helvetica" w:hAnsi="Helvetica"/>
                <w:color w:val="000000"/>
                <w:szCs w:val="24"/>
              </w:rPr>
            </w:pPr>
          </w:p>
        </w:tc>
      </w:tr>
      <w:tr w:rsidR="009109E9" w:rsidRPr="00E1227B" w14:paraId="62972035" w14:textId="77777777" w:rsidTr="00CB1010">
        <w:trPr>
          <w:trHeight w:val="320"/>
        </w:trPr>
        <w:tc>
          <w:tcPr>
            <w:tcW w:w="1680" w:type="dxa"/>
            <w:tcBorders>
              <w:top w:val="nil"/>
              <w:left w:val="nil"/>
              <w:bottom w:val="nil"/>
              <w:right w:val="nil"/>
            </w:tcBorders>
            <w:shd w:val="clear" w:color="auto" w:fill="auto"/>
            <w:vAlign w:val="center"/>
            <w:hideMark/>
          </w:tcPr>
          <w:p w14:paraId="5F2160EF"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function</w:t>
            </w:r>
          </w:p>
        </w:tc>
        <w:tc>
          <w:tcPr>
            <w:tcW w:w="1300" w:type="dxa"/>
            <w:tcBorders>
              <w:top w:val="nil"/>
              <w:left w:val="nil"/>
              <w:bottom w:val="nil"/>
              <w:right w:val="nil"/>
            </w:tcBorders>
            <w:shd w:val="clear" w:color="auto" w:fill="auto"/>
            <w:vAlign w:val="center"/>
            <w:hideMark/>
          </w:tcPr>
          <w:p w14:paraId="1E90AC15" w14:textId="77777777" w:rsidR="009109E9" w:rsidRPr="00E1227B" w:rsidRDefault="009109E9" w:rsidP="00CB1010">
            <w:pPr>
              <w:spacing w:line="480" w:lineRule="auto"/>
              <w:rPr>
                <w:rFonts w:ascii="Helvetica" w:hAnsi="Helvetica"/>
                <w:color w:val="000000"/>
                <w:szCs w:val="24"/>
              </w:rPr>
            </w:pPr>
            <w:r>
              <w:rPr>
                <w:rFonts w:ascii="Helvetica" w:hAnsi="Helvetica"/>
                <w:color w:val="000000"/>
                <w:szCs w:val="24"/>
              </w:rPr>
              <w:t>distance</w:t>
            </w:r>
          </w:p>
        </w:tc>
        <w:tc>
          <w:tcPr>
            <w:tcW w:w="1300" w:type="dxa"/>
            <w:tcBorders>
              <w:top w:val="nil"/>
              <w:left w:val="nil"/>
              <w:bottom w:val="nil"/>
              <w:right w:val="nil"/>
            </w:tcBorders>
            <w:shd w:val="clear" w:color="auto" w:fill="auto"/>
            <w:vAlign w:val="center"/>
            <w:hideMark/>
          </w:tcPr>
          <w:p w14:paraId="2F2673C0"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BMS</w:t>
            </w:r>
          </w:p>
        </w:tc>
        <w:tc>
          <w:tcPr>
            <w:tcW w:w="1300" w:type="dxa"/>
            <w:tcBorders>
              <w:top w:val="nil"/>
              <w:left w:val="nil"/>
              <w:bottom w:val="nil"/>
              <w:right w:val="nil"/>
            </w:tcBorders>
            <w:shd w:val="clear" w:color="auto" w:fill="auto"/>
            <w:vAlign w:val="center"/>
            <w:hideMark/>
          </w:tcPr>
          <w:p w14:paraId="71336995"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OUM</w:t>
            </w:r>
          </w:p>
        </w:tc>
        <w:tc>
          <w:tcPr>
            <w:tcW w:w="1300" w:type="dxa"/>
            <w:tcBorders>
              <w:top w:val="nil"/>
              <w:left w:val="nil"/>
              <w:bottom w:val="nil"/>
              <w:right w:val="nil"/>
            </w:tcBorders>
            <w:shd w:val="clear" w:color="auto" w:fill="auto"/>
            <w:vAlign w:val="center"/>
            <w:hideMark/>
          </w:tcPr>
          <w:p w14:paraId="5C667B5A"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s="Arial"/>
                <w:color w:val="000000"/>
                <w:szCs w:val="24"/>
              </w:rPr>
              <w:t>1.2±2.5</w:t>
            </w:r>
          </w:p>
        </w:tc>
      </w:tr>
      <w:tr w:rsidR="009109E9" w:rsidRPr="00E1227B" w14:paraId="361A199D" w14:textId="77777777" w:rsidTr="00CB1010">
        <w:trPr>
          <w:trHeight w:val="320"/>
        </w:trPr>
        <w:tc>
          <w:tcPr>
            <w:tcW w:w="1680" w:type="dxa"/>
            <w:tcBorders>
              <w:top w:val="nil"/>
              <w:left w:val="nil"/>
              <w:bottom w:val="nil"/>
              <w:right w:val="nil"/>
            </w:tcBorders>
            <w:shd w:val="clear" w:color="auto" w:fill="auto"/>
            <w:vAlign w:val="center"/>
            <w:hideMark/>
          </w:tcPr>
          <w:p w14:paraId="5ABB7C66" w14:textId="77777777" w:rsidR="009109E9" w:rsidRPr="00E1227B" w:rsidRDefault="009109E9" w:rsidP="00CB1010">
            <w:pPr>
              <w:spacing w:line="480" w:lineRule="auto"/>
              <w:jc w:val="center"/>
              <w:rPr>
                <w:rFonts w:ascii="Helvetica" w:hAnsi="Helvetica"/>
                <w:color w:val="000000"/>
                <w:szCs w:val="24"/>
              </w:rPr>
            </w:pPr>
          </w:p>
        </w:tc>
        <w:tc>
          <w:tcPr>
            <w:tcW w:w="1300" w:type="dxa"/>
            <w:tcBorders>
              <w:top w:val="nil"/>
              <w:left w:val="nil"/>
              <w:bottom w:val="nil"/>
              <w:right w:val="nil"/>
            </w:tcBorders>
            <w:shd w:val="clear" w:color="auto" w:fill="auto"/>
            <w:vAlign w:val="center"/>
            <w:hideMark/>
          </w:tcPr>
          <w:p w14:paraId="65A04B84" w14:textId="77777777" w:rsidR="009109E9" w:rsidRPr="00E1227B" w:rsidRDefault="009109E9" w:rsidP="00CB1010">
            <w:pPr>
              <w:spacing w:line="480" w:lineRule="auto"/>
              <w:rPr>
                <w:rFonts w:ascii="Helvetica" w:hAnsi="Helvetica"/>
                <w:color w:val="000000"/>
                <w:szCs w:val="24"/>
              </w:rPr>
            </w:pPr>
            <w:r>
              <w:rPr>
                <w:rFonts w:ascii="Helvetica" w:hAnsi="Helvetica"/>
                <w:color w:val="000000"/>
                <w:szCs w:val="24"/>
              </w:rPr>
              <w:t>angle</w:t>
            </w:r>
          </w:p>
        </w:tc>
        <w:tc>
          <w:tcPr>
            <w:tcW w:w="1300" w:type="dxa"/>
            <w:tcBorders>
              <w:top w:val="nil"/>
              <w:left w:val="nil"/>
              <w:bottom w:val="nil"/>
              <w:right w:val="nil"/>
            </w:tcBorders>
            <w:shd w:val="clear" w:color="auto" w:fill="auto"/>
            <w:vAlign w:val="center"/>
            <w:hideMark/>
          </w:tcPr>
          <w:p w14:paraId="517DE776"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s="Arial"/>
                <w:color w:val="000000"/>
                <w:szCs w:val="24"/>
              </w:rPr>
              <w:t>BM1</w:t>
            </w:r>
          </w:p>
        </w:tc>
        <w:tc>
          <w:tcPr>
            <w:tcW w:w="1300" w:type="dxa"/>
            <w:tcBorders>
              <w:top w:val="nil"/>
              <w:left w:val="nil"/>
              <w:bottom w:val="nil"/>
              <w:right w:val="nil"/>
            </w:tcBorders>
            <w:shd w:val="clear" w:color="auto" w:fill="auto"/>
            <w:vAlign w:val="center"/>
            <w:hideMark/>
          </w:tcPr>
          <w:p w14:paraId="662571E8"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OU1</w:t>
            </w:r>
          </w:p>
        </w:tc>
        <w:tc>
          <w:tcPr>
            <w:tcW w:w="1300" w:type="dxa"/>
            <w:tcBorders>
              <w:top w:val="nil"/>
              <w:left w:val="nil"/>
              <w:bottom w:val="nil"/>
              <w:right w:val="nil"/>
            </w:tcBorders>
            <w:shd w:val="clear" w:color="auto" w:fill="auto"/>
            <w:vAlign w:val="center"/>
            <w:hideMark/>
          </w:tcPr>
          <w:p w14:paraId="458FBB88"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4.8±3.5</w:t>
            </w:r>
          </w:p>
        </w:tc>
      </w:tr>
      <w:tr w:rsidR="009109E9" w:rsidRPr="00E1227B" w14:paraId="2170B61C" w14:textId="77777777" w:rsidTr="00CB1010">
        <w:trPr>
          <w:trHeight w:val="320"/>
        </w:trPr>
        <w:tc>
          <w:tcPr>
            <w:tcW w:w="1680" w:type="dxa"/>
            <w:tcBorders>
              <w:top w:val="nil"/>
              <w:left w:val="nil"/>
              <w:bottom w:val="nil"/>
              <w:right w:val="nil"/>
            </w:tcBorders>
            <w:shd w:val="clear" w:color="auto" w:fill="auto"/>
            <w:vAlign w:val="center"/>
            <w:hideMark/>
          </w:tcPr>
          <w:p w14:paraId="22556145"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mechanics</w:t>
            </w:r>
          </w:p>
        </w:tc>
        <w:tc>
          <w:tcPr>
            <w:tcW w:w="1300" w:type="dxa"/>
            <w:tcBorders>
              <w:top w:val="nil"/>
              <w:left w:val="nil"/>
              <w:bottom w:val="nil"/>
              <w:right w:val="nil"/>
            </w:tcBorders>
            <w:shd w:val="clear" w:color="auto" w:fill="auto"/>
            <w:vAlign w:val="center"/>
            <w:hideMark/>
          </w:tcPr>
          <w:p w14:paraId="4081679D"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KT</w:t>
            </w:r>
          </w:p>
        </w:tc>
        <w:tc>
          <w:tcPr>
            <w:tcW w:w="1300" w:type="dxa"/>
            <w:tcBorders>
              <w:top w:val="nil"/>
              <w:left w:val="nil"/>
              <w:bottom w:val="nil"/>
              <w:right w:val="nil"/>
            </w:tcBorders>
            <w:shd w:val="clear" w:color="auto" w:fill="auto"/>
            <w:vAlign w:val="center"/>
            <w:hideMark/>
          </w:tcPr>
          <w:p w14:paraId="3F70B9D1"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BM1</w:t>
            </w:r>
          </w:p>
        </w:tc>
        <w:tc>
          <w:tcPr>
            <w:tcW w:w="1300" w:type="dxa"/>
            <w:tcBorders>
              <w:top w:val="nil"/>
              <w:left w:val="nil"/>
              <w:bottom w:val="nil"/>
              <w:right w:val="nil"/>
            </w:tcBorders>
            <w:shd w:val="clear" w:color="auto" w:fill="auto"/>
            <w:vAlign w:val="center"/>
            <w:hideMark/>
          </w:tcPr>
          <w:p w14:paraId="62956136"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OUM</w:t>
            </w:r>
          </w:p>
        </w:tc>
        <w:tc>
          <w:tcPr>
            <w:tcW w:w="1300" w:type="dxa"/>
            <w:tcBorders>
              <w:top w:val="nil"/>
              <w:left w:val="nil"/>
              <w:bottom w:val="nil"/>
              <w:right w:val="nil"/>
            </w:tcBorders>
            <w:shd w:val="clear" w:color="auto" w:fill="auto"/>
            <w:vAlign w:val="center"/>
            <w:hideMark/>
          </w:tcPr>
          <w:p w14:paraId="17BF501A"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4.7±1.7</w:t>
            </w:r>
          </w:p>
        </w:tc>
      </w:tr>
      <w:tr w:rsidR="009109E9" w:rsidRPr="00E1227B" w14:paraId="6D3FB2AD" w14:textId="77777777" w:rsidTr="00CB1010">
        <w:trPr>
          <w:trHeight w:val="260"/>
        </w:trPr>
        <w:tc>
          <w:tcPr>
            <w:tcW w:w="1680" w:type="dxa"/>
            <w:tcBorders>
              <w:top w:val="nil"/>
              <w:left w:val="nil"/>
              <w:bottom w:val="nil"/>
              <w:right w:val="nil"/>
            </w:tcBorders>
            <w:shd w:val="clear" w:color="auto" w:fill="auto"/>
            <w:vAlign w:val="center"/>
            <w:hideMark/>
          </w:tcPr>
          <w:p w14:paraId="7C0720A4" w14:textId="77777777" w:rsidR="009109E9" w:rsidRPr="00E1227B" w:rsidRDefault="009109E9" w:rsidP="00CB1010">
            <w:pPr>
              <w:spacing w:line="480" w:lineRule="auto"/>
              <w:jc w:val="center"/>
              <w:rPr>
                <w:rFonts w:ascii="Helvetica" w:hAnsi="Helvetica"/>
                <w:b/>
                <w:bCs/>
                <w:color w:val="000000"/>
                <w:szCs w:val="24"/>
              </w:rPr>
            </w:pPr>
          </w:p>
        </w:tc>
        <w:tc>
          <w:tcPr>
            <w:tcW w:w="1300" w:type="dxa"/>
            <w:tcBorders>
              <w:top w:val="nil"/>
              <w:left w:val="nil"/>
              <w:bottom w:val="nil"/>
              <w:right w:val="nil"/>
            </w:tcBorders>
            <w:shd w:val="clear" w:color="auto" w:fill="auto"/>
            <w:vAlign w:val="center"/>
            <w:hideMark/>
          </w:tcPr>
          <w:p w14:paraId="387C36EE" w14:textId="77777777" w:rsidR="009109E9" w:rsidRPr="00E1227B" w:rsidRDefault="009109E9" w:rsidP="00CB1010">
            <w:pPr>
              <w:spacing w:line="480" w:lineRule="auto"/>
              <w:rPr>
                <w:rFonts w:ascii="Helvetica" w:hAnsi="Helvetica"/>
                <w:color w:val="222222"/>
                <w:szCs w:val="24"/>
              </w:rPr>
            </w:pPr>
            <w:r w:rsidRPr="00E1227B">
              <w:rPr>
                <w:rFonts w:ascii="Helvetica" w:hAnsi="Helvetica"/>
                <w:color w:val="222222"/>
                <w:szCs w:val="24"/>
              </w:rPr>
              <w:t>α</w:t>
            </w:r>
            <w:r w:rsidRPr="00E1227B">
              <w:rPr>
                <w:rFonts w:ascii="Helvetica" w:hAnsi="Helvetica"/>
                <w:color w:val="222222"/>
                <w:szCs w:val="24"/>
                <w:vertAlign w:val="subscript"/>
              </w:rPr>
              <w:t>N</w:t>
            </w:r>
          </w:p>
        </w:tc>
        <w:tc>
          <w:tcPr>
            <w:tcW w:w="1300" w:type="dxa"/>
            <w:tcBorders>
              <w:top w:val="nil"/>
              <w:left w:val="nil"/>
              <w:bottom w:val="nil"/>
              <w:right w:val="nil"/>
            </w:tcBorders>
            <w:shd w:val="clear" w:color="auto" w:fill="auto"/>
            <w:vAlign w:val="center"/>
            <w:hideMark/>
          </w:tcPr>
          <w:p w14:paraId="10540BF9"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BM1</w:t>
            </w:r>
          </w:p>
        </w:tc>
        <w:tc>
          <w:tcPr>
            <w:tcW w:w="1300" w:type="dxa"/>
            <w:tcBorders>
              <w:top w:val="nil"/>
              <w:left w:val="nil"/>
              <w:bottom w:val="nil"/>
              <w:right w:val="nil"/>
            </w:tcBorders>
            <w:shd w:val="clear" w:color="auto" w:fill="auto"/>
            <w:vAlign w:val="center"/>
            <w:hideMark/>
          </w:tcPr>
          <w:p w14:paraId="035C1C30"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OUM</w:t>
            </w:r>
          </w:p>
        </w:tc>
        <w:tc>
          <w:tcPr>
            <w:tcW w:w="1300" w:type="dxa"/>
            <w:tcBorders>
              <w:top w:val="nil"/>
              <w:left w:val="nil"/>
              <w:bottom w:val="nil"/>
              <w:right w:val="nil"/>
            </w:tcBorders>
            <w:shd w:val="clear" w:color="auto" w:fill="auto"/>
            <w:vAlign w:val="center"/>
            <w:hideMark/>
          </w:tcPr>
          <w:p w14:paraId="7FB210E9"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9.8±2.1</w:t>
            </w:r>
          </w:p>
        </w:tc>
      </w:tr>
      <w:tr w:rsidR="009109E9" w:rsidRPr="00E1227B" w14:paraId="4D3123C8" w14:textId="77777777" w:rsidTr="00CB1010">
        <w:trPr>
          <w:trHeight w:val="320"/>
        </w:trPr>
        <w:tc>
          <w:tcPr>
            <w:tcW w:w="1680" w:type="dxa"/>
            <w:tcBorders>
              <w:top w:val="nil"/>
              <w:left w:val="nil"/>
              <w:bottom w:val="nil"/>
              <w:right w:val="nil"/>
            </w:tcBorders>
            <w:shd w:val="clear" w:color="auto" w:fill="auto"/>
            <w:vAlign w:val="center"/>
            <w:hideMark/>
          </w:tcPr>
          <w:p w14:paraId="3FB696C0"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morphology</w:t>
            </w:r>
          </w:p>
        </w:tc>
        <w:tc>
          <w:tcPr>
            <w:tcW w:w="1300" w:type="dxa"/>
            <w:tcBorders>
              <w:top w:val="nil"/>
              <w:left w:val="nil"/>
              <w:bottom w:val="nil"/>
              <w:right w:val="nil"/>
            </w:tcBorders>
            <w:shd w:val="clear" w:color="auto" w:fill="auto"/>
            <w:vAlign w:val="center"/>
            <w:hideMark/>
          </w:tcPr>
          <w:p w14:paraId="5AC21FFC"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fixed</w:t>
            </w:r>
          </w:p>
        </w:tc>
        <w:tc>
          <w:tcPr>
            <w:tcW w:w="1300" w:type="dxa"/>
            <w:tcBorders>
              <w:top w:val="nil"/>
              <w:left w:val="nil"/>
              <w:bottom w:val="nil"/>
              <w:right w:val="nil"/>
            </w:tcBorders>
            <w:shd w:val="clear" w:color="auto" w:fill="auto"/>
            <w:vAlign w:val="center"/>
            <w:hideMark/>
          </w:tcPr>
          <w:p w14:paraId="6451F763"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BM1</w:t>
            </w:r>
          </w:p>
        </w:tc>
        <w:tc>
          <w:tcPr>
            <w:tcW w:w="1300" w:type="dxa"/>
            <w:tcBorders>
              <w:top w:val="nil"/>
              <w:left w:val="nil"/>
              <w:bottom w:val="nil"/>
              <w:right w:val="nil"/>
            </w:tcBorders>
            <w:shd w:val="clear" w:color="auto" w:fill="auto"/>
            <w:vAlign w:val="center"/>
            <w:hideMark/>
          </w:tcPr>
          <w:p w14:paraId="378C7FEF"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OUM</w:t>
            </w:r>
          </w:p>
        </w:tc>
        <w:tc>
          <w:tcPr>
            <w:tcW w:w="1300" w:type="dxa"/>
            <w:tcBorders>
              <w:top w:val="nil"/>
              <w:left w:val="nil"/>
              <w:bottom w:val="nil"/>
              <w:right w:val="nil"/>
            </w:tcBorders>
            <w:shd w:val="clear" w:color="auto" w:fill="auto"/>
            <w:vAlign w:val="center"/>
            <w:hideMark/>
          </w:tcPr>
          <w:p w14:paraId="2414CE0A"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1.2±6.1</w:t>
            </w:r>
          </w:p>
        </w:tc>
      </w:tr>
      <w:tr w:rsidR="009109E9" w:rsidRPr="00E1227B" w14:paraId="44B7332B" w14:textId="77777777" w:rsidTr="00CB1010">
        <w:trPr>
          <w:trHeight w:val="320"/>
        </w:trPr>
        <w:tc>
          <w:tcPr>
            <w:tcW w:w="1680" w:type="dxa"/>
            <w:tcBorders>
              <w:top w:val="nil"/>
              <w:left w:val="nil"/>
              <w:bottom w:val="nil"/>
              <w:right w:val="nil"/>
            </w:tcBorders>
            <w:shd w:val="clear" w:color="auto" w:fill="auto"/>
            <w:vAlign w:val="center"/>
            <w:hideMark/>
          </w:tcPr>
          <w:p w14:paraId="71369ACD" w14:textId="77777777" w:rsidR="009109E9" w:rsidRPr="00E1227B" w:rsidRDefault="009109E9" w:rsidP="00CB1010">
            <w:pPr>
              <w:spacing w:line="480" w:lineRule="auto"/>
              <w:jc w:val="center"/>
              <w:rPr>
                <w:rFonts w:ascii="Helvetica" w:hAnsi="Helvetica"/>
                <w:color w:val="000000"/>
                <w:szCs w:val="24"/>
              </w:rPr>
            </w:pPr>
          </w:p>
        </w:tc>
        <w:tc>
          <w:tcPr>
            <w:tcW w:w="1300" w:type="dxa"/>
            <w:tcBorders>
              <w:top w:val="nil"/>
              <w:left w:val="nil"/>
              <w:bottom w:val="nil"/>
              <w:right w:val="nil"/>
            </w:tcBorders>
            <w:shd w:val="clear" w:color="auto" w:fill="auto"/>
            <w:vAlign w:val="center"/>
            <w:hideMark/>
          </w:tcPr>
          <w:p w14:paraId="56DDA0EF"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nasal</w:t>
            </w:r>
          </w:p>
        </w:tc>
        <w:tc>
          <w:tcPr>
            <w:tcW w:w="1300" w:type="dxa"/>
            <w:tcBorders>
              <w:top w:val="nil"/>
              <w:left w:val="nil"/>
              <w:bottom w:val="nil"/>
              <w:right w:val="nil"/>
            </w:tcBorders>
            <w:shd w:val="clear" w:color="auto" w:fill="auto"/>
            <w:vAlign w:val="center"/>
            <w:hideMark/>
          </w:tcPr>
          <w:p w14:paraId="0F73D169"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BMS</w:t>
            </w:r>
          </w:p>
        </w:tc>
        <w:tc>
          <w:tcPr>
            <w:tcW w:w="1300" w:type="dxa"/>
            <w:tcBorders>
              <w:top w:val="nil"/>
              <w:left w:val="nil"/>
              <w:bottom w:val="nil"/>
              <w:right w:val="nil"/>
            </w:tcBorders>
            <w:shd w:val="clear" w:color="auto" w:fill="auto"/>
            <w:vAlign w:val="center"/>
            <w:hideMark/>
          </w:tcPr>
          <w:p w14:paraId="693561CA"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OUM</w:t>
            </w:r>
          </w:p>
        </w:tc>
        <w:tc>
          <w:tcPr>
            <w:tcW w:w="1300" w:type="dxa"/>
            <w:tcBorders>
              <w:top w:val="nil"/>
              <w:left w:val="nil"/>
              <w:bottom w:val="nil"/>
              <w:right w:val="nil"/>
            </w:tcBorders>
            <w:shd w:val="clear" w:color="auto" w:fill="auto"/>
            <w:vAlign w:val="center"/>
            <w:hideMark/>
          </w:tcPr>
          <w:p w14:paraId="3FF56883"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1.8±2.3</w:t>
            </w:r>
          </w:p>
        </w:tc>
      </w:tr>
      <w:tr w:rsidR="009109E9" w:rsidRPr="00E1227B" w14:paraId="24111C79" w14:textId="77777777" w:rsidTr="00CB1010">
        <w:trPr>
          <w:trHeight w:val="320"/>
        </w:trPr>
        <w:tc>
          <w:tcPr>
            <w:tcW w:w="1680" w:type="dxa"/>
            <w:tcBorders>
              <w:top w:val="nil"/>
              <w:left w:val="nil"/>
              <w:bottom w:val="nil"/>
              <w:right w:val="nil"/>
            </w:tcBorders>
            <w:shd w:val="clear" w:color="auto" w:fill="auto"/>
            <w:vAlign w:val="center"/>
            <w:hideMark/>
          </w:tcPr>
          <w:p w14:paraId="4332E0B2" w14:textId="77777777" w:rsidR="009109E9" w:rsidRPr="00E1227B" w:rsidRDefault="009109E9" w:rsidP="00CB1010">
            <w:pPr>
              <w:spacing w:line="480" w:lineRule="auto"/>
              <w:jc w:val="center"/>
              <w:rPr>
                <w:rFonts w:ascii="Helvetica" w:hAnsi="Helvetica"/>
                <w:color w:val="000000"/>
                <w:szCs w:val="24"/>
              </w:rPr>
            </w:pPr>
          </w:p>
        </w:tc>
        <w:tc>
          <w:tcPr>
            <w:tcW w:w="1300" w:type="dxa"/>
            <w:tcBorders>
              <w:top w:val="nil"/>
              <w:left w:val="nil"/>
              <w:bottom w:val="nil"/>
              <w:right w:val="nil"/>
            </w:tcBorders>
            <w:shd w:val="clear" w:color="auto" w:fill="auto"/>
            <w:vAlign w:val="center"/>
            <w:hideMark/>
          </w:tcPr>
          <w:p w14:paraId="11E2F1F8"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maxilla</w:t>
            </w:r>
          </w:p>
        </w:tc>
        <w:tc>
          <w:tcPr>
            <w:tcW w:w="1300" w:type="dxa"/>
            <w:tcBorders>
              <w:top w:val="nil"/>
              <w:left w:val="nil"/>
              <w:bottom w:val="nil"/>
              <w:right w:val="nil"/>
            </w:tcBorders>
            <w:shd w:val="clear" w:color="auto" w:fill="auto"/>
            <w:vAlign w:val="center"/>
            <w:hideMark/>
          </w:tcPr>
          <w:p w14:paraId="4A6980BF"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BM1</w:t>
            </w:r>
          </w:p>
        </w:tc>
        <w:tc>
          <w:tcPr>
            <w:tcW w:w="1300" w:type="dxa"/>
            <w:tcBorders>
              <w:top w:val="nil"/>
              <w:left w:val="nil"/>
              <w:bottom w:val="nil"/>
              <w:right w:val="nil"/>
            </w:tcBorders>
            <w:shd w:val="clear" w:color="auto" w:fill="auto"/>
            <w:vAlign w:val="center"/>
            <w:hideMark/>
          </w:tcPr>
          <w:p w14:paraId="4C7D0E6E"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OUM</w:t>
            </w:r>
          </w:p>
        </w:tc>
        <w:tc>
          <w:tcPr>
            <w:tcW w:w="1300" w:type="dxa"/>
            <w:tcBorders>
              <w:top w:val="nil"/>
              <w:left w:val="nil"/>
              <w:bottom w:val="nil"/>
              <w:right w:val="nil"/>
            </w:tcBorders>
            <w:shd w:val="clear" w:color="auto" w:fill="auto"/>
            <w:vAlign w:val="center"/>
            <w:hideMark/>
          </w:tcPr>
          <w:p w14:paraId="749F7324"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0.7±1.6</w:t>
            </w:r>
          </w:p>
        </w:tc>
      </w:tr>
      <w:tr w:rsidR="009109E9" w:rsidRPr="00E1227B" w14:paraId="14C87AC4" w14:textId="77777777" w:rsidTr="00CB1010">
        <w:trPr>
          <w:trHeight w:val="340"/>
        </w:trPr>
        <w:tc>
          <w:tcPr>
            <w:tcW w:w="1680" w:type="dxa"/>
            <w:tcBorders>
              <w:top w:val="nil"/>
              <w:left w:val="nil"/>
              <w:bottom w:val="single" w:sz="8" w:space="0" w:color="auto"/>
              <w:right w:val="nil"/>
            </w:tcBorders>
            <w:shd w:val="clear" w:color="auto" w:fill="auto"/>
            <w:vAlign w:val="center"/>
            <w:hideMark/>
          </w:tcPr>
          <w:p w14:paraId="3F7E131E"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 </w:t>
            </w:r>
          </w:p>
        </w:tc>
        <w:tc>
          <w:tcPr>
            <w:tcW w:w="1300" w:type="dxa"/>
            <w:tcBorders>
              <w:top w:val="nil"/>
              <w:left w:val="nil"/>
              <w:bottom w:val="single" w:sz="8" w:space="0" w:color="auto"/>
              <w:right w:val="nil"/>
            </w:tcBorders>
            <w:shd w:val="clear" w:color="auto" w:fill="auto"/>
            <w:vAlign w:val="center"/>
            <w:hideMark/>
          </w:tcPr>
          <w:p w14:paraId="62B03279" w14:textId="77777777" w:rsidR="009109E9" w:rsidRPr="00E1227B" w:rsidRDefault="009109E9" w:rsidP="00CB1010">
            <w:pPr>
              <w:spacing w:line="480" w:lineRule="auto"/>
              <w:rPr>
                <w:rFonts w:ascii="Helvetica" w:hAnsi="Helvetica"/>
                <w:color w:val="000000"/>
                <w:szCs w:val="24"/>
              </w:rPr>
            </w:pPr>
            <w:r w:rsidRPr="00E1227B">
              <w:rPr>
                <w:rFonts w:ascii="Helvetica" w:hAnsi="Helvetica"/>
                <w:color w:val="000000"/>
                <w:szCs w:val="24"/>
              </w:rPr>
              <w:t>lower jaw</w:t>
            </w:r>
          </w:p>
        </w:tc>
        <w:tc>
          <w:tcPr>
            <w:tcW w:w="1300" w:type="dxa"/>
            <w:tcBorders>
              <w:top w:val="nil"/>
              <w:left w:val="nil"/>
              <w:bottom w:val="single" w:sz="8" w:space="0" w:color="auto"/>
              <w:right w:val="nil"/>
            </w:tcBorders>
            <w:shd w:val="clear" w:color="auto" w:fill="auto"/>
            <w:vAlign w:val="center"/>
            <w:hideMark/>
          </w:tcPr>
          <w:p w14:paraId="1C8D3E3A" w14:textId="77777777" w:rsidR="009109E9" w:rsidRPr="00E1227B" w:rsidRDefault="009109E9" w:rsidP="00CB1010">
            <w:pPr>
              <w:spacing w:line="480" w:lineRule="auto"/>
              <w:jc w:val="center"/>
              <w:rPr>
                <w:rFonts w:ascii="Helvetica" w:hAnsi="Helvetica"/>
                <w:b/>
                <w:bCs/>
                <w:color w:val="000000"/>
                <w:szCs w:val="24"/>
              </w:rPr>
            </w:pPr>
            <w:r w:rsidRPr="00E1227B">
              <w:rPr>
                <w:rFonts w:ascii="Helvetica" w:hAnsi="Helvetica"/>
                <w:b/>
                <w:bCs/>
                <w:color w:val="000000"/>
                <w:szCs w:val="24"/>
              </w:rPr>
              <w:t>BM1</w:t>
            </w:r>
          </w:p>
        </w:tc>
        <w:tc>
          <w:tcPr>
            <w:tcW w:w="1300" w:type="dxa"/>
            <w:tcBorders>
              <w:top w:val="nil"/>
              <w:left w:val="nil"/>
              <w:bottom w:val="single" w:sz="8" w:space="0" w:color="auto"/>
              <w:right w:val="nil"/>
            </w:tcBorders>
            <w:shd w:val="clear" w:color="auto" w:fill="auto"/>
            <w:vAlign w:val="center"/>
            <w:hideMark/>
          </w:tcPr>
          <w:p w14:paraId="7198EA9E"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OUM</w:t>
            </w:r>
          </w:p>
        </w:tc>
        <w:tc>
          <w:tcPr>
            <w:tcW w:w="1300" w:type="dxa"/>
            <w:tcBorders>
              <w:top w:val="nil"/>
              <w:left w:val="nil"/>
              <w:bottom w:val="single" w:sz="8" w:space="0" w:color="auto"/>
              <w:right w:val="nil"/>
            </w:tcBorders>
            <w:shd w:val="clear" w:color="auto" w:fill="auto"/>
            <w:vAlign w:val="center"/>
            <w:hideMark/>
          </w:tcPr>
          <w:p w14:paraId="126DAE68" w14:textId="77777777" w:rsidR="009109E9" w:rsidRPr="00E1227B" w:rsidRDefault="009109E9" w:rsidP="00CB1010">
            <w:pPr>
              <w:spacing w:line="480" w:lineRule="auto"/>
              <w:jc w:val="center"/>
              <w:rPr>
                <w:rFonts w:ascii="Helvetica" w:hAnsi="Helvetica"/>
                <w:color w:val="000000"/>
                <w:szCs w:val="24"/>
              </w:rPr>
            </w:pPr>
            <w:r w:rsidRPr="00E1227B">
              <w:rPr>
                <w:rFonts w:ascii="Helvetica" w:hAnsi="Helvetica"/>
                <w:color w:val="000000"/>
                <w:szCs w:val="24"/>
              </w:rPr>
              <w:t>0.6±5.1</w:t>
            </w:r>
          </w:p>
        </w:tc>
      </w:tr>
    </w:tbl>
    <w:p w14:paraId="6A1A6068" w14:textId="77777777" w:rsidR="009109E9" w:rsidRPr="009109E9" w:rsidRDefault="009109E9" w:rsidP="009109E9">
      <w:pPr>
        <w:spacing w:line="480" w:lineRule="auto"/>
        <w:rPr>
          <w:szCs w:val="24"/>
        </w:rPr>
      </w:pPr>
    </w:p>
    <w:p w14:paraId="6691B4E7" w14:textId="77777777" w:rsidR="00A30B55" w:rsidRDefault="00A30B55"/>
    <w:p w14:paraId="785802A1" w14:textId="77777777" w:rsidR="00A30B55" w:rsidRDefault="00A30B55" w:rsidP="00A30B55">
      <w:pPr>
        <w:spacing w:line="480" w:lineRule="auto"/>
        <w:contextualSpacing/>
        <w:rPr>
          <w:rFonts w:ascii="Helvetica" w:hAnsi="Helvetica" w:cs="Arial"/>
          <w:b/>
          <w:color w:val="231F20"/>
        </w:rPr>
      </w:pPr>
    </w:p>
    <w:p w14:paraId="7ED5E32C" w14:textId="77777777" w:rsidR="00A30B55" w:rsidRDefault="00A30B55"/>
    <w:sectPr w:rsidR="00A30B55" w:rsidSect="00E02E2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46DD3"/>
    <w:multiLevelType w:val="hybridMultilevel"/>
    <w:tmpl w:val="480C7964"/>
    <w:lvl w:ilvl="0" w:tplc="8AD82518">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B6"/>
    <w:rsid w:val="000E7DDF"/>
    <w:rsid w:val="00124FC3"/>
    <w:rsid w:val="00296670"/>
    <w:rsid w:val="002C55B2"/>
    <w:rsid w:val="00523456"/>
    <w:rsid w:val="0066550F"/>
    <w:rsid w:val="006A3BB6"/>
    <w:rsid w:val="006B7A2B"/>
    <w:rsid w:val="007F29CB"/>
    <w:rsid w:val="00857661"/>
    <w:rsid w:val="008731FC"/>
    <w:rsid w:val="009109E9"/>
    <w:rsid w:val="00A15250"/>
    <w:rsid w:val="00A30B55"/>
    <w:rsid w:val="00A3216C"/>
    <w:rsid w:val="00A546B3"/>
    <w:rsid w:val="00B76960"/>
    <w:rsid w:val="00C0787C"/>
    <w:rsid w:val="00CF7EDF"/>
    <w:rsid w:val="00E02E29"/>
    <w:rsid w:val="00E11BAB"/>
    <w:rsid w:val="00E679B2"/>
    <w:rsid w:val="00E93B42"/>
    <w:rsid w:val="00E9754D"/>
    <w:rsid w:val="00F303F1"/>
    <w:rsid w:val="00F75E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1758E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BB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A3BB6"/>
  </w:style>
  <w:style w:type="paragraph" w:customStyle="1" w:styleId="SMcaption">
    <w:name w:val="SM caption"/>
    <w:basedOn w:val="Normal"/>
    <w:qFormat/>
    <w:rsid w:val="006A3BB6"/>
  </w:style>
  <w:style w:type="paragraph" w:styleId="NormalWeb">
    <w:name w:val="Normal (Web)"/>
    <w:basedOn w:val="Normal"/>
    <w:uiPriority w:val="99"/>
    <w:rsid w:val="006A3BB6"/>
    <w:rPr>
      <w:szCs w:val="24"/>
    </w:rPr>
  </w:style>
  <w:style w:type="paragraph" w:styleId="ListParagraph">
    <w:name w:val="List Paragraph"/>
    <w:basedOn w:val="Normal"/>
    <w:uiPriority w:val="34"/>
    <w:qFormat/>
    <w:rsid w:val="006B7A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844</Words>
  <Characters>4881</Characters>
  <Application>Microsoft Macintosh Word</Application>
  <DocSecurity>0</DocSecurity>
  <Lines>80</Lines>
  <Paragraphs>17</Paragraphs>
  <ScaleCrop>false</ScaleCrop>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2018-12-19T15:10:00Z</dcterms:created>
  <dcterms:modified xsi:type="dcterms:W3CDTF">2019-02-01T12:25:00Z</dcterms:modified>
</cp:coreProperties>
</file>