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E" w:rsidRPr="00951EDE" w:rsidRDefault="00951EDE" w:rsidP="005720CC">
      <w:pPr>
        <w:shd w:val="clear" w:color="auto" w:fill="FFFFFF"/>
        <w:spacing w:after="96" w:line="48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951EDE">
        <w:rPr>
          <w:rFonts w:ascii="Times New Roman" w:hAnsi="Times New Roman" w:cs="Times New Roman"/>
          <w:b/>
          <w:bCs/>
          <w:sz w:val="32"/>
          <w:szCs w:val="32"/>
          <w:lang w:val="en-GB"/>
        </w:rPr>
        <w:t>Supplementary material</w:t>
      </w:r>
    </w:p>
    <w:p w:rsidR="00951EDE" w:rsidRPr="006C0CBA" w:rsidRDefault="00951EDE" w:rsidP="005720C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32"/>
          <w:szCs w:val="32"/>
          <w:lang w:val="en-GB"/>
        </w:rPr>
      </w:pPr>
      <w:r w:rsidRPr="006C0CBA">
        <w:rPr>
          <w:rFonts w:ascii="Times New Roman" w:hAnsi="Times New Roman" w:cs="Times New Roman"/>
          <w:bCs/>
          <w:sz w:val="32"/>
          <w:szCs w:val="32"/>
          <w:lang w:val="en-GB"/>
        </w:rPr>
        <w:t xml:space="preserve">for </w:t>
      </w:r>
    </w:p>
    <w:p w:rsidR="006C0CBA" w:rsidRPr="00831B22" w:rsidRDefault="006C0CBA" w:rsidP="005720C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831B22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Oestrous females avoid mating in front of adult male bystanders in wild chacma baboons </w:t>
      </w:r>
    </w:p>
    <w:p w:rsidR="00951EDE" w:rsidRDefault="00951EDE" w:rsidP="005720CC">
      <w:pPr>
        <w:spacing w:after="0" w:line="480" w:lineRule="auto"/>
        <w:jc w:val="center"/>
        <w:rPr>
          <w:rStyle w:val="lev"/>
          <w:color w:val="000000"/>
          <w:shd w:val="clear" w:color="auto" w:fill="FFFFFF"/>
          <w:lang w:val="en-GB"/>
        </w:rPr>
      </w:pPr>
    </w:p>
    <w:p w:rsidR="00951EDE" w:rsidRPr="008155C4" w:rsidRDefault="00951EDE" w:rsidP="005720CC">
      <w:pPr>
        <w:spacing w:after="0" w:line="480" w:lineRule="auto"/>
        <w:jc w:val="center"/>
        <w:rPr>
          <w:rStyle w:val="lev"/>
          <w:color w:val="000000"/>
          <w:shd w:val="clear" w:color="auto" w:fill="FFFFFF"/>
          <w:lang w:val="en-GB"/>
        </w:rPr>
      </w:pPr>
    </w:p>
    <w:p w:rsidR="00951EDE" w:rsidRPr="00951EDE" w:rsidRDefault="00951EDE" w:rsidP="005720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51E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Alice </w:t>
      </w:r>
      <w:proofErr w:type="spellStart"/>
      <w:r w:rsidRPr="00951EDE">
        <w:rPr>
          <w:rFonts w:ascii="Times New Roman" w:hAnsi="Times New Roman" w:cs="Times New Roman"/>
          <w:b/>
          <w:sz w:val="24"/>
          <w:szCs w:val="24"/>
          <w:lang w:val="en-GB"/>
        </w:rPr>
        <w:t>Baniel</w:t>
      </w:r>
      <w:proofErr w:type="spellEnd"/>
      <w:r w:rsidRPr="00951EDE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§</w:t>
      </w:r>
      <w:r w:rsidRPr="00951ED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proofErr w:type="spellStart"/>
      <w:r w:rsidRPr="00951ED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Axelle</w:t>
      </w:r>
      <w:proofErr w:type="spellEnd"/>
      <w:r w:rsidRPr="00951ED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Delaunay, </w:t>
      </w:r>
      <w:r w:rsidRPr="00951E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Guy </w:t>
      </w:r>
      <w:proofErr w:type="spellStart"/>
      <w:r w:rsidRPr="00951EDE">
        <w:rPr>
          <w:rFonts w:ascii="Times New Roman" w:hAnsi="Times New Roman" w:cs="Times New Roman"/>
          <w:b/>
          <w:sz w:val="24"/>
          <w:szCs w:val="24"/>
          <w:lang w:val="en-GB"/>
        </w:rPr>
        <w:t>Cowlishaw</w:t>
      </w:r>
      <w:proofErr w:type="spellEnd"/>
      <w:r w:rsidRPr="00951E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Elise </w:t>
      </w:r>
      <w:proofErr w:type="spellStart"/>
      <w:r w:rsidRPr="00951EDE">
        <w:rPr>
          <w:rFonts w:ascii="Times New Roman" w:hAnsi="Times New Roman" w:cs="Times New Roman"/>
          <w:b/>
          <w:sz w:val="24"/>
          <w:szCs w:val="24"/>
          <w:lang w:val="en-GB"/>
        </w:rPr>
        <w:t>Huchard</w:t>
      </w:r>
      <w:proofErr w:type="spellEnd"/>
    </w:p>
    <w:p w:rsidR="00951EDE" w:rsidRPr="00951EDE" w:rsidRDefault="00951EDE" w:rsidP="005720C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1EDE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/>
        </w:rPr>
        <w:t>§</w:t>
      </w:r>
      <w:r w:rsidRPr="00951EDE">
        <w:rPr>
          <w:rFonts w:ascii="Times New Roman" w:hAnsi="Times New Roman"/>
          <w:b/>
          <w:color w:val="000000"/>
          <w:sz w:val="24"/>
          <w:szCs w:val="24"/>
          <w:lang w:val="en-US"/>
        </w:rPr>
        <w:t>contact: alice.baniel@gmail.com</w:t>
      </w:r>
    </w:p>
    <w:p w:rsidR="00951EDE" w:rsidRDefault="00951EDE" w:rsidP="005720C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51EDE" w:rsidRDefault="00951EDE" w:rsidP="005720C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51EDE" w:rsidRPr="00951EDE" w:rsidRDefault="00951EDE" w:rsidP="005720C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51EDE" w:rsidRPr="00AF58FD" w:rsidRDefault="00951EDE" w:rsidP="005720CC">
      <w:pPr>
        <w:autoSpaceDE w:val="0"/>
        <w:autoSpaceDN w:val="0"/>
        <w:adjustRightInd w:val="0"/>
        <w:spacing w:after="0" w:line="480" w:lineRule="auto"/>
        <w:rPr>
          <w:rStyle w:val="lev"/>
          <w:rFonts w:ascii="Times New Roman" w:hAnsi="Times New Roman" w:cs="Times New Roman"/>
          <w:b w:val="0"/>
          <w:color w:val="000000"/>
          <w:sz w:val="23"/>
          <w:szCs w:val="23"/>
          <w:u w:val="single"/>
          <w:shd w:val="clear" w:color="auto" w:fill="FFFFFF"/>
          <w:lang w:val="en-US"/>
        </w:rPr>
      </w:pPr>
      <w:r w:rsidRPr="00AF58FD">
        <w:rPr>
          <w:rStyle w:val="lev"/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  <w:lang w:val="en-US"/>
        </w:rPr>
        <w:t>This file includes:</w:t>
      </w:r>
    </w:p>
    <w:p w:rsidR="00951EDE" w:rsidRPr="00AF58FD" w:rsidRDefault="00951EDE" w:rsidP="005720CC">
      <w:pPr>
        <w:autoSpaceDE w:val="0"/>
        <w:autoSpaceDN w:val="0"/>
        <w:adjustRightInd w:val="0"/>
        <w:spacing w:after="0" w:line="480" w:lineRule="auto"/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</w:pPr>
      <w:r w:rsidRPr="00AF58FD"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Table S1: Demography of J and L groups in the study periods (page 2).</w:t>
      </w:r>
    </w:p>
    <w:p w:rsidR="00887F82" w:rsidRPr="00AF58FD" w:rsidRDefault="00887F82" w:rsidP="005720CC">
      <w:pPr>
        <w:autoSpaceDE w:val="0"/>
        <w:autoSpaceDN w:val="0"/>
        <w:adjustRightInd w:val="0"/>
        <w:spacing w:after="0" w:line="480" w:lineRule="auto"/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</w:pPr>
      <w:r w:rsidRPr="00AF58FD"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Table S</w:t>
      </w:r>
      <w:r w:rsidR="00604509" w:rsidRPr="00AF58FD"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2</w:t>
      </w:r>
      <w:r w:rsidRPr="00AF58FD"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. Effect of male and higher-ranking female bystanders on the occurrence of female-initiated copulations, for unguarded and mate-guarded females separately</w:t>
      </w:r>
      <w:r w:rsidR="00604509" w:rsidRPr="00AF58FD"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(page 3</w:t>
      </w:r>
      <w:r w:rsidRPr="00AF58FD"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).</w:t>
      </w:r>
    </w:p>
    <w:p w:rsidR="00212DB0" w:rsidRPr="00AF58FD" w:rsidRDefault="00212DB0" w:rsidP="005720CC">
      <w:pPr>
        <w:autoSpaceDE w:val="0"/>
        <w:autoSpaceDN w:val="0"/>
        <w:adjustRightInd w:val="0"/>
        <w:spacing w:after="0" w:line="480" w:lineRule="auto"/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</w:pPr>
      <w:r w:rsidRPr="00AF58FD"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Table S3. Effect of male and higher-ranking female bystanders on the occurrence of male-initiated copulations, for unguarded and mate-guarded females separately (page 4). </w:t>
      </w:r>
    </w:p>
    <w:p w:rsidR="00951EDE" w:rsidRPr="00AF58FD" w:rsidRDefault="00951EDE" w:rsidP="005720CC">
      <w:pPr>
        <w:autoSpaceDE w:val="0"/>
        <w:autoSpaceDN w:val="0"/>
        <w:adjustRightInd w:val="0"/>
        <w:spacing w:after="0" w:line="480" w:lineRule="auto"/>
        <w:jc w:val="both"/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</w:pPr>
      <w:r w:rsidRPr="00AF58FD"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Appendix 1. Establishment of female dominance ranks (page </w:t>
      </w:r>
      <w:r w:rsidR="00212DB0" w:rsidRPr="00AF58FD"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5</w:t>
      </w:r>
      <w:r w:rsidRPr="00AF58FD"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)</w:t>
      </w:r>
    </w:p>
    <w:p w:rsidR="00951EDE" w:rsidRPr="00AF58FD" w:rsidRDefault="00951EDE" w:rsidP="005720CC">
      <w:pPr>
        <w:spacing w:line="480" w:lineRule="auto"/>
        <w:jc w:val="both"/>
        <w:rPr>
          <w:rStyle w:val="lev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sectPr w:rsidR="00951EDE" w:rsidRPr="00AF58FD" w:rsidSect="00951EDE">
          <w:footerReference w:type="default" r:id="rId8"/>
          <w:pgSz w:w="11906" w:h="16838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:rsidR="003925FE" w:rsidRDefault="003925FE" w:rsidP="00604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062E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S1: </w:t>
      </w:r>
      <w:r w:rsidRPr="003062EF">
        <w:rPr>
          <w:rFonts w:ascii="Times New Roman" w:hAnsi="Times New Roman" w:cs="Times New Roman"/>
          <w:sz w:val="24"/>
          <w:szCs w:val="24"/>
          <w:lang w:val="en-GB"/>
        </w:rPr>
        <w:t>Demography of J and L groups in 2013 and 2014. Demography varies due to emigration</w:t>
      </w:r>
      <w:r w:rsidR="00646BB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062EF">
        <w:rPr>
          <w:rFonts w:ascii="Times New Roman" w:hAnsi="Times New Roman" w:cs="Times New Roman"/>
          <w:sz w:val="24"/>
          <w:szCs w:val="24"/>
          <w:lang w:val="en-GB"/>
        </w:rPr>
        <w:t>, immigration</w:t>
      </w:r>
      <w:r w:rsidR="00646BB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062EF">
        <w:rPr>
          <w:rFonts w:ascii="Times New Roman" w:hAnsi="Times New Roman" w:cs="Times New Roman"/>
          <w:sz w:val="24"/>
          <w:szCs w:val="24"/>
          <w:lang w:val="en-GB"/>
        </w:rPr>
        <w:t>, birth</w:t>
      </w:r>
      <w:r w:rsidR="00646BB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062EF">
        <w:rPr>
          <w:rFonts w:ascii="Times New Roman" w:hAnsi="Times New Roman" w:cs="Times New Roman"/>
          <w:sz w:val="24"/>
          <w:szCs w:val="24"/>
          <w:lang w:val="en-GB"/>
        </w:rPr>
        <w:t>, death</w:t>
      </w:r>
      <w:r w:rsidR="00646BB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062EF">
        <w:rPr>
          <w:rFonts w:ascii="Times New Roman" w:hAnsi="Times New Roman" w:cs="Times New Roman"/>
          <w:sz w:val="24"/>
          <w:szCs w:val="24"/>
          <w:lang w:val="en-GB"/>
        </w:rPr>
        <w:t>, and maturation</w:t>
      </w:r>
      <w:r w:rsidR="00646BB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062E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D2893" w:rsidRDefault="00AD2893" w:rsidP="003925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1188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452"/>
        <w:gridCol w:w="1268"/>
        <w:gridCol w:w="1200"/>
        <w:gridCol w:w="1234"/>
        <w:gridCol w:w="1234"/>
      </w:tblGrid>
      <w:tr w:rsidR="00AD2893" w:rsidRPr="00BA0FC0" w:rsidTr="00AD2893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0FC0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  <w:proofErr w:type="spellEnd"/>
          </w:p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0FC0"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  <w:proofErr w:type="spellEnd"/>
            <w:r w:rsidRPr="00BA0FC0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BA0FC0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  <w:proofErr w:type="spellEnd"/>
            <w:r w:rsidRPr="00BA0FC0">
              <w:rPr>
                <w:rFonts w:ascii="Times New Roman" w:eastAsia="Times New Roman" w:hAnsi="Times New Roman" w:cs="Times New Roman"/>
                <w:color w:val="000000"/>
              </w:rPr>
              <w:t xml:space="preserve"> males</w:t>
            </w:r>
          </w:p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0FC0"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  <w:proofErr w:type="spellEnd"/>
            <w:r w:rsidRPr="00BA0FC0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BA0FC0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  <w:proofErr w:type="spellEnd"/>
            <w:r w:rsidRPr="00BA0F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0FC0">
              <w:rPr>
                <w:rFonts w:ascii="Times New Roman" w:eastAsia="Times New Roman" w:hAnsi="Times New Roman" w:cs="Times New Roman"/>
                <w:color w:val="000000"/>
              </w:rPr>
              <w:t>females</w:t>
            </w:r>
            <w:proofErr w:type="spellEnd"/>
          </w:p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AD289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0FC0"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  <w:proofErr w:type="spellEnd"/>
            <w:r w:rsidRPr="00BA0FC0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BA0FC0">
              <w:rPr>
                <w:rFonts w:ascii="Times New Roman" w:eastAsia="Times New Roman" w:hAnsi="Times New Roman" w:cs="Times New Roman"/>
                <w:color w:val="000000"/>
              </w:rPr>
              <w:t>juveniles</w:t>
            </w:r>
            <w:proofErr w:type="spellEnd"/>
            <w:r w:rsidRPr="00BA0FC0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:rsidR="00AD2893" w:rsidRPr="00BA0FC0" w:rsidRDefault="00AD2893" w:rsidP="00AD289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 group size</w:t>
            </w:r>
          </w:p>
        </w:tc>
      </w:tr>
      <w:tr w:rsidR="00AD2893" w:rsidRPr="00BA0FC0" w:rsidTr="00AD2893">
        <w:trPr>
          <w:trHeight w:val="241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J group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L group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J group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L group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J group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L group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 group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 group</w:t>
            </w:r>
          </w:p>
        </w:tc>
      </w:tr>
      <w:tr w:rsidR="00AD2893" w:rsidRPr="00BA0FC0" w:rsidTr="00AD2893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7-10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18-19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29-32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31-33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53-59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58-63</w:t>
            </w:r>
          </w:p>
        </w:tc>
      </w:tr>
      <w:tr w:rsidR="00AD2893" w:rsidRPr="00BA0FC0" w:rsidTr="00AD2893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7-8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17-19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FC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893" w:rsidRPr="00BA0FC0" w:rsidRDefault="00AD2893" w:rsidP="0087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55-57</w:t>
            </w:r>
          </w:p>
        </w:tc>
      </w:tr>
    </w:tbl>
    <w:p w:rsidR="00AD2893" w:rsidRDefault="00AD2893" w:rsidP="00AD2893">
      <w:pPr>
        <w:spacing w:after="0" w:line="480" w:lineRule="auto"/>
        <w:ind w:left="2124" w:firstLine="708"/>
        <w:jc w:val="both"/>
        <w:rPr>
          <w:rFonts w:ascii="Times New Roman" w:hAnsi="Times New Roman" w:cs="Times New Roman"/>
          <w:lang w:val="en-GB"/>
        </w:rPr>
      </w:pPr>
    </w:p>
    <w:p w:rsidR="003925FE" w:rsidRPr="00BA0FC0" w:rsidRDefault="003925FE" w:rsidP="00AD2893">
      <w:pPr>
        <w:spacing w:after="0" w:line="480" w:lineRule="auto"/>
        <w:ind w:left="2124" w:firstLine="708"/>
        <w:jc w:val="both"/>
        <w:rPr>
          <w:rFonts w:ascii="Times New Roman" w:hAnsi="Times New Roman" w:cs="Times New Roman"/>
          <w:lang w:val="en-GB"/>
        </w:rPr>
      </w:pPr>
      <w:r w:rsidRPr="00BA0FC0">
        <w:rPr>
          <w:rFonts w:ascii="Times New Roman" w:hAnsi="Times New Roman" w:cs="Times New Roman"/>
          <w:lang w:val="en-GB"/>
        </w:rPr>
        <w:t>*</w:t>
      </w:r>
      <w:proofErr w:type="spellStart"/>
      <w:r w:rsidRPr="00BA0FC0">
        <w:rPr>
          <w:rFonts w:ascii="Times New Roman" w:hAnsi="Times New Roman" w:cs="Times New Roman"/>
          <w:lang w:val="en-GB"/>
        </w:rPr>
        <w:t>Subadult</w:t>
      </w:r>
      <w:proofErr w:type="spellEnd"/>
      <w:r w:rsidRPr="00BA0FC0">
        <w:rPr>
          <w:rFonts w:ascii="Times New Roman" w:hAnsi="Times New Roman" w:cs="Times New Roman"/>
          <w:lang w:val="en-GB"/>
        </w:rPr>
        <w:t xml:space="preserve"> males (i.e. between 4 and 8 years old) are counted as juveniles in this study. </w:t>
      </w:r>
    </w:p>
    <w:p w:rsidR="003925FE" w:rsidRPr="00BA0FC0" w:rsidRDefault="003925FE" w:rsidP="003925F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  <w:sectPr w:rsidR="003925FE" w:rsidRPr="00BA0FC0" w:rsidSect="003925FE">
          <w:pgSz w:w="16838" w:h="11906" w:orient="landscape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:rsidR="00BE4DB1" w:rsidRDefault="00BE4DB1" w:rsidP="00BE4D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0F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Table S</w:t>
      </w:r>
      <w:r w:rsidR="006045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BA0F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="00887F82" w:rsidRPr="00887F82"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 xml:space="preserve">Effect of male and higher-ranking female bystanders on the occurrence of female-initiated copulations, for unguarded and mate-guarded females separately. </w:t>
      </w:r>
      <w:r w:rsidRPr="00887F82">
        <w:rPr>
          <w:rFonts w:ascii="Times New Roman" w:hAnsi="Times New Roman" w:cs="Times New Roman"/>
          <w:sz w:val="24"/>
          <w:szCs w:val="24"/>
          <w:lang w:val="en-GB"/>
        </w:rPr>
        <w:t>Parameters and</w:t>
      </w:r>
      <w:r w:rsidRPr="00BA0FC0">
        <w:rPr>
          <w:rFonts w:ascii="Times New Roman" w:hAnsi="Times New Roman" w:cs="Times New Roman"/>
          <w:sz w:val="24"/>
          <w:szCs w:val="24"/>
          <w:lang w:val="en-GB"/>
        </w:rPr>
        <w:t xml:space="preserve"> tests are based on </w:t>
      </w:r>
      <w:r>
        <w:rPr>
          <w:rFonts w:ascii="Times New Roman" w:hAnsi="Times New Roman" w:cs="Times New Roman"/>
          <w:sz w:val="24"/>
          <w:szCs w:val="24"/>
          <w:lang w:val="en-GB"/>
        </w:rPr>
        <w:t>22/17</w:t>
      </w:r>
      <w:r w:rsidRPr="00BA0FC0">
        <w:rPr>
          <w:rFonts w:ascii="Times New Roman" w:hAnsi="Times New Roman" w:cs="Times New Roman"/>
          <w:sz w:val="24"/>
          <w:szCs w:val="24"/>
          <w:lang w:val="en-GB"/>
        </w:rPr>
        <w:t xml:space="preserve"> focal females,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38/15 males copulating, </w:t>
      </w:r>
      <w:r w:rsidRPr="00BA0FC0">
        <w:rPr>
          <w:rFonts w:ascii="Times New Roman" w:hAnsi="Times New Roman" w:cs="Times New Roman"/>
          <w:sz w:val="24"/>
          <w:szCs w:val="24"/>
          <w:lang w:val="en-GB"/>
        </w:rPr>
        <w:t>100/7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BA0FC0">
        <w:rPr>
          <w:rFonts w:ascii="Times New Roman" w:hAnsi="Times New Roman" w:cs="Times New Roman"/>
          <w:sz w:val="24"/>
          <w:szCs w:val="24"/>
          <w:lang w:val="en-GB"/>
        </w:rPr>
        <w:t xml:space="preserve"> copulation scans, 1</w:t>
      </w:r>
      <w:r>
        <w:rPr>
          <w:rFonts w:ascii="Times New Roman" w:hAnsi="Times New Roman" w:cs="Times New Roman"/>
          <w:sz w:val="24"/>
          <w:szCs w:val="24"/>
          <w:lang w:val="en-GB"/>
        </w:rPr>
        <w:t>074/</w:t>
      </w:r>
      <w:r w:rsidRPr="00BA0FC0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002</w:t>
      </w:r>
      <w:r w:rsidRPr="00BA0FC0">
        <w:rPr>
          <w:rFonts w:ascii="Times New Roman" w:hAnsi="Times New Roman" w:cs="Times New Roman"/>
          <w:sz w:val="24"/>
          <w:szCs w:val="24"/>
          <w:lang w:val="en-GB"/>
        </w:rPr>
        <w:t xml:space="preserve"> baseline scans for </w:t>
      </w:r>
      <w:r>
        <w:rPr>
          <w:rFonts w:ascii="Times New Roman" w:hAnsi="Times New Roman" w:cs="Times New Roman"/>
          <w:sz w:val="24"/>
          <w:szCs w:val="24"/>
          <w:lang w:val="en-GB"/>
        </w:rPr>
        <w:t>unguarded</w:t>
      </w:r>
      <w:r w:rsidR="00F27B06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en-GB"/>
        </w:rPr>
        <w:t>mate-guarded females respectively</w:t>
      </w:r>
      <w:r w:rsidRPr="00BA0FC0">
        <w:rPr>
          <w:rFonts w:ascii="Times New Roman" w:hAnsi="Times New Roman" w:cs="Times New Roman"/>
          <w:sz w:val="24"/>
          <w:szCs w:val="24"/>
          <w:lang w:val="en-GB"/>
        </w:rPr>
        <w:t xml:space="preserve">. Significant variables appear in bold. SE: Standard Error, LRT: statistic of a likelihood ratio test, </w:t>
      </w:r>
      <w:proofErr w:type="spellStart"/>
      <w:r w:rsidRPr="00BA0FC0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Pr="00BA0FC0">
        <w:rPr>
          <w:rFonts w:ascii="Times New Roman" w:hAnsi="Times New Roman" w:cs="Times New Roman"/>
          <w:sz w:val="24"/>
          <w:szCs w:val="24"/>
          <w:lang w:val="en-GB"/>
        </w:rPr>
        <w:t>: degrees of freedom.</w:t>
      </w:r>
    </w:p>
    <w:p w:rsidR="00BE4DB1" w:rsidRPr="00BA0FC0" w:rsidRDefault="00BE4DB1" w:rsidP="00BE4D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418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154"/>
        <w:gridCol w:w="3590"/>
        <w:gridCol w:w="910"/>
        <w:gridCol w:w="525"/>
        <w:gridCol w:w="1462"/>
        <w:gridCol w:w="635"/>
        <w:gridCol w:w="324"/>
        <w:gridCol w:w="761"/>
        <w:gridCol w:w="195"/>
        <w:gridCol w:w="910"/>
        <w:gridCol w:w="525"/>
        <w:gridCol w:w="1469"/>
        <w:gridCol w:w="635"/>
        <w:gridCol w:w="324"/>
        <w:gridCol w:w="761"/>
      </w:tblGrid>
      <w:tr w:rsidR="00EC206B" w:rsidRPr="00BE4DB1" w:rsidTr="00604509">
        <w:trPr>
          <w:trHeight w:val="315"/>
        </w:trPr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EC206B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C20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EC206B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C206B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6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Unguarded</w:t>
            </w:r>
            <w:proofErr w:type="spellEnd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female</w:t>
            </w:r>
            <w:r w:rsidR="00F27B0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</w:t>
            </w:r>
            <w:proofErr w:type="spellEnd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6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Mate-</w:t>
            </w: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guarded</w:t>
            </w:r>
            <w:proofErr w:type="spellEnd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female</w:t>
            </w:r>
            <w:r w:rsidR="00F27B0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</w:t>
            </w:r>
            <w:proofErr w:type="spellEnd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EC206B" w:rsidRPr="00BE4DB1" w:rsidTr="00604509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Response</w:t>
            </w:r>
            <w:proofErr w:type="spellEnd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variable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Fixed</w:t>
            </w:r>
            <w:proofErr w:type="spellEnd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factor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Estimate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95% confidence </w:t>
            </w: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interval</w:t>
            </w:r>
            <w:proofErr w:type="spellEnd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LRT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df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P-value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Estimate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95% confidence </w:t>
            </w: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interval</w:t>
            </w:r>
            <w:proofErr w:type="spellEnd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LRT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df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P-value</w:t>
            </w:r>
          </w:p>
        </w:tc>
      </w:tr>
      <w:tr w:rsidR="00EC206B" w:rsidRPr="00BE4DB1" w:rsidTr="00604509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Default="00EC206B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Occurrence</w:t>
            </w:r>
            <w:r w:rsidR="00BE4DB1" w:rsidRPr="00BE4DB1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of female-initiated copulation (0/1)</w:t>
            </w:r>
          </w:p>
          <w:p w:rsid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r-FR"/>
              </w:rPr>
              <w:t>No of higher-ranking female bystanders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[-1.01 ; 0.46]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0.464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[0.18 ; 1.17]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7.86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0.005</w:t>
            </w:r>
          </w:p>
        </w:tc>
      </w:tr>
      <w:tr w:rsidR="00EC206B" w:rsidRPr="00BE4DB1" w:rsidTr="00604509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</w:t>
            </w: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of male </w:t>
            </w: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bystanders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-2.52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[-3.51 ; -1.52]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47.97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&lt;0.001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-1.47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[-3.63 ; 0.70]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2.23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0.135</w:t>
            </w:r>
          </w:p>
        </w:tc>
      </w:tr>
      <w:tr w:rsidR="00EC206B" w:rsidRPr="00BE4DB1" w:rsidTr="00604509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Swelling</w:t>
            </w:r>
            <w:proofErr w:type="spellEnd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size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[0.25 ; 1.15]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11.10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0.001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[-0.37 ; 0.87]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0.403</w:t>
            </w:r>
          </w:p>
        </w:tc>
      </w:tr>
      <w:tr w:rsidR="00EC206B" w:rsidRPr="00BE4DB1" w:rsidTr="00604509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Relative </w:t>
            </w: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rank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[-1.37 ; 0.69]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0.462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[-1.77 ; 0.46]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1.58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0.208</w:t>
            </w:r>
          </w:p>
        </w:tc>
      </w:tr>
      <w:tr w:rsidR="00EC206B" w:rsidRPr="00BE4DB1" w:rsidTr="00604509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Age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[-1.37 ; 0.77]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0.37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[-2.14 ; 0.23]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3.08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0.079</w:t>
            </w:r>
          </w:p>
        </w:tc>
      </w:tr>
      <w:tr w:rsidR="00EC206B" w:rsidRPr="00BE4DB1" w:rsidTr="00604509">
        <w:trPr>
          <w:trHeight w:val="360"/>
        </w:trPr>
        <w:tc>
          <w:tcPr>
            <w:tcW w:w="1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Troop</w:t>
            </w:r>
            <w:r w:rsidRPr="00BE4D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a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[-1.12 ; 0.87]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0.747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[-0.61 ; 1.56]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0.343</w:t>
            </w:r>
          </w:p>
        </w:tc>
      </w:tr>
      <w:tr w:rsidR="00EC206B" w:rsidRPr="00BE4DB1" w:rsidTr="00604509">
        <w:trPr>
          <w:trHeight w:val="375"/>
        </w:trPr>
        <w:tc>
          <w:tcPr>
            <w:tcW w:w="1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Year</w:t>
            </w:r>
            <w:r w:rsidRPr="00BE4D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b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[0.71 ; 3.64]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&lt;0.001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[1.02 ; 3.98]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DB1" w:rsidRPr="00BE4DB1" w:rsidRDefault="00BE4DB1" w:rsidP="00B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E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&lt;0.001</w:t>
            </w:r>
          </w:p>
        </w:tc>
      </w:tr>
    </w:tbl>
    <w:p w:rsidR="00604509" w:rsidRPr="00BA0FC0" w:rsidRDefault="00604509" w:rsidP="006045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A0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a </w:t>
      </w:r>
      <w:r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Reference category: J troop  </w:t>
      </w:r>
    </w:p>
    <w:p w:rsidR="00604509" w:rsidRPr="00BA0FC0" w:rsidRDefault="00604509" w:rsidP="006045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0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 Reference category: 2013</w:t>
      </w:r>
    </w:p>
    <w:p w:rsidR="001F6965" w:rsidRDefault="001F6965" w:rsidP="00817E4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965" w:rsidRDefault="001F6965" w:rsidP="00817E4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965" w:rsidRDefault="001F6965" w:rsidP="001F6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sectPr w:rsidR="001F6965" w:rsidSect="007F4362">
          <w:pgSz w:w="16838" w:h="11906" w:orient="landscape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:rsidR="001F6965" w:rsidRDefault="001F6965" w:rsidP="001F6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0F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Table 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Pr="00BA0F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Pr="00887F82"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 xml:space="preserve">Effect </w:t>
      </w:r>
      <w:r w:rsidRPr="008C6813"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 xml:space="preserve">of male and higher-ranking female bystanders on the occurrence of male-initiated copulations, for unguarded and mate-guarded females separately. </w:t>
      </w:r>
      <w:r w:rsidRPr="008C6813">
        <w:rPr>
          <w:rFonts w:ascii="Times New Roman" w:hAnsi="Times New Roman" w:cs="Times New Roman"/>
          <w:sz w:val="24"/>
          <w:szCs w:val="24"/>
          <w:lang w:val="en-GB"/>
        </w:rPr>
        <w:t xml:space="preserve">Parameters and tests are based on </w:t>
      </w:r>
      <w:r w:rsidR="008C6813" w:rsidRPr="008C6813">
        <w:rPr>
          <w:rFonts w:ascii="Times New Roman" w:hAnsi="Times New Roman" w:cs="Times New Roman"/>
          <w:sz w:val="24"/>
          <w:szCs w:val="24"/>
          <w:lang w:val="en-GB"/>
        </w:rPr>
        <w:t>31/28</w:t>
      </w:r>
      <w:r w:rsidRPr="008C6813">
        <w:rPr>
          <w:rFonts w:ascii="Times New Roman" w:hAnsi="Times New Roman" w:cs="Times New Roman"/>
          <w:sz w:val="24"/>
          <w:szCs w:val="24"/>
          <w:lang w:val="en-GB"/>
        </w:rPr>
        <w:t xml:space="preserve"> focal females, </w:t>
      </w:r>
      <w:r w:rsidR="008C6813" w:rsidRPr="008C6813">
        <w:rPr>
          <w:rFonts w:ascii="Times New Roman" w:hAnsi="Times New Roman" w:cs="Times New Roman"/>
          <w:sz w:val="24"/>
          <w:szCs w:val="24"/>
          <w:lang w:val="en-GB"/>
        </w:rPr>
        <w:t>45/15</w:t>
      </w:r>
      <w:r w:rsidRPr="008C6813">
        <w:rPr>
          <w:rFonts w:ascii="Times New Roman" w:hAnsi="Times New Roman" w:cs="Times New Roman"/>
          <w:sz w:val="24"/>
          <w:szCs w:val="24"/>
          <w:lang w:val="en-GB"/>
        </w:rPr>
        <w:t xml:space="preserve"> males copulating, </w:t>
      </w:r>
      <w:r w:rsidR="008C6813" w:rsidRPr="008C6813">
        <w:rPr>
          <w:rFonts w:ascii="Times New Roman" w:hAnsi="Times New Roman" w:cs="Times New Roman"/>
          <w:sz w:val="24"/>
          <w:szCs w:val="24"/>
          <w:lang w:val="en-GB"/>
        </w:rPr>
        <w:t xml:space="preserve">139/151 copulation scans, 1074/1002 </w:t>
      </w:r>
      <w:r w:rsidRPr="008C6813">
        <w:rPr>
          <w:rFonts w:ascii="Times New Roman" w:hAnsi="Times New Roman" w:cs="Times New Roman"/>
          <w:sz w:val="24"/>
          <w:szCs w:val="24"/>
          <w:lang w:val="en-GB"/>
        </w:rPr>
        <w:t>baseline scans for unguarded/mate-guarded females respectively. Significant</w:t>
      </w:r>
      <w:r w:rsidRPr="00BA0FC0">
        <w:rPr>
          <w:rFonts w:ascii="Times New Roman" w:hAnsi="Times New Roman" w:cs="Times New Roman"/>
          <w:sz w:val="24"/>
          <w:szCs w:val="24"/>
          <w:lang w:val="en-GB"/>
        </w:rPr>
        <w:t xml:space="preserve"> variables appear in bold. SE: Standard Error, LRT: statistic of a likelihood ratio test, </w:t>
      </w:r>
      <w:proofErr w:type="spellStart"/>
      <w:r w:rsidRPr="00BA0FC0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Pr="00BA0FC0">
        <w:rPr>
          <w:rFonts w:ascii="Times New Roman" w:hAnsi="Times New Roman" w:cs="Times New Roman"/>
          <w:sz w:val="24"/>
          <w:szCs w:val="24"/>
          <w:lang w:val="en-GB"/>
        </w:rPr>
        <w:t>: degrees of freedom.</w:t>
      </w:r>
    </w:p>
    <w:p w:rsidR="00817E42" w:rsidRDefault="00817E42" w:rsidP="00817E4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442" w:type="dxa"/>
        <w:jc w:val="center"/>
        <w:tblInd w:w="-16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64"/>
        <w:gridCol w:w="3961"/>
        <w:gridCol w:w="910"/>
        <w:gridCol w:w="525"/>
        <w:gridCol w:w="1389"/>
        <w:gridCol w:w="635"/>
        <w:gridCol w:w="324"/>
        <w:gridCol w:w="761"/>
        <w:gridCol w:w="195"/>
        <w:gridCol w:w="910"/>
        <w:gridCol w:w="525"/>
        <w:gridCol w:w="1323"/>
        <w:gridCol w:w="635"/>
        <w:gridCol w:w="324"/>
        <w:gridCol w:w="761"/>
      </w:tblGrid>
      <w:tr w:rsidR="008C6813" w:rsidRPr="008C6813" w:rsidTr="008C6813">
        <w:trPr>
          <w:trHeight w:val="315"/>
          <w:jc w:val="center"/>
        </w:trPr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Unguarded</w:t>
            </w:r>
            <w:proofErr w:type="spellEnd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female</w:t>
            </w:r>
            <w:proofErr w:type="spellEnd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4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Mate-</w:t>
            </w: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guarded</w:t>
            </w:r>
            <w:proofErr w:type="spellEnd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female</w:t>
            </w:r>
            <w:proofErr w:type="spellEnd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C6813" w:rsidRPr="008C6813" w:rsidTr="008C6813">
        <w:trPr>
          <w:trHeight w:val="315"/>
          <w:jc w:val="center"/>
        </w:trPr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Response</w:t>
            </w:r>
            <w:proofErr w:type="spellEnd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variable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Fixed</w:t>
            </w:r>
            <w:proofErr w:type="spellEnd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factor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Estimate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95% confidence </w:t>
            </w: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interval</w:t>
            </w:r>
            <w:proofErr w:type="spellEnd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LRT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df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P-value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Estimate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95% confidence </w:t>
            </w: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interval</w:t>
            </w:r>
            <w:proofErr w:type="spellEnd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LRT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df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P-value</w:t>
            </w:r>
          </w:p>
        </w:tc>
      </w:tr>
      <w:tr w:rsidR="008C6813" w:rsidRPr="008C6813" w:rsidTr="008C6813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Occurrence of male-initiated copulation (0/1)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r-FR"/>
              </w:rPr>
              <w:t>Number of higher-ranking female bystanders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[-0.43 ; 0.44]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[-0.24 ; 0.66]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0.333</w:t>
            </w:r>
          </w:p>
        </w:tc>
      </w:tr>
      <w:tr w:rsidR="008C6813" w:rsidRPr="008C6813" w:rsidTr="008C6813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Number</w:t>
            </w:r>
            <w:proofErr w:type="spellEnd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of male </w:t>
            </w: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bystanders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-1.14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[-1.60 ; -0.68]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27.90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&lt;0.001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[-0.20 ; 1.32]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2.23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0.135</w:t>
            </w:r>
          </w:p>
        </w:tc>
      </w:tr>
      <w:tr w:rsidR="008C6813" w:rsidRPr="008C6813" w:rsidTr="008C6813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Swelling</w:t>
            </w:r>
            <w:proofErr w:type="spellEnd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size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[0.01 ; 0.79]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4.43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0.035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[-0.11 ; 0.91]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2.98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0.084</w:t>
            </w:r>
          </w:p>
        </w:tc>
      </w:tr>
      <w:tr w:rsidR="008C6813" w:rsidRPr="008C6813" w:rsidTr="008C6813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Relative </w:t>
            </w: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rank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[-1.51 ; 0.50]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0.267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[-1.74 ; 0.31]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2.25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0.134</w:t>
            </w:r>
          </w:p>
        </w:tc>
      </w:tr>
      <w:tr w:rsidR="008C6813" w:rsidRPr="008C6813" w:rsidTr="008C6813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Age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[-1.94 ; 0.14]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3.63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[-1.46 ; 0.67]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0.432</w:t>
            </w:r>
          </w:p>
        </w:tc>
      </w:tr>
      <w:tr w:rsidR="008C6813" w:rsidRPr="008C6813" w:rsidTr="008C6813">
        <w:trPr>
          <w:trHeight w:val="360"/>
          <w:jc w:val="center"/>
        </w:trPr>
        <w:tc>
          <w:tcPr>
            <w:tcW w:w="12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Troop</w:t>
            </w:r>
            <w:r w:rsidRPr="008C681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a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-0.46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[-1.41 ; 0.48]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1.19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0.275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[-0.89 ; 1.10]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0.836</w:t>
            </w:r>
          </w:p>
        </w:tc>
      </w:tr>
      <w:tr w:rsidR="008C6813" w:rsidRPr="008C6813" w:rsidTr="008C6813">
        <w:trPr>
          <w:trHeight w:val="375"/>
          <w:jc w:val="center"/>
        </w:trPr>
        <w:tc>
          <w:tcPr>
            <w:tcW w:w="12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Year</w:t>
            </w:r>
            <w:r w:rsidRPr="008C681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b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[-0.33 ; 1.70]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0.106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1.96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[1.02 ; 2.90]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21.86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13" w:rsidRPr="008C6813" w:rsidRDefault="008C6813" w:rsidP="008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C6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&lt;0.001</w:t>
            </w:r>
          </w:p>
        </w:tc>
      </w:tr>
    </w:tbl>
    <w:p w:rsidR="00A06C0E" w:rsidRPr="00BA0FC0" w:rsidRDefault="00A06C0E" w:rsidP="00A06C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0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a </w:t>
      </w:r>
      <w:r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Reference category: J troop  </w:t>
      </w:r>
    </w:p>
    <w:p w:rsidR="00A06C0E" w:rsidRPr="00BA0FC0" w:rsidRDefault="00A06C0E" w:rsidP="00A06C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0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 Reference category: 2013</w:t>
      </w:r>
    </w:p>
    <w:p w:rsidR="008C6813" w:rsidRPr="00A06C0E" w:rsidRDefault="008C6813" w:rsidP="00817E42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sectPr w:rsidR="008C6813" w:rsidRPr="00A06C0E" w:rsidSect="007F4362">
          <w:pgSz w:w="16838" w:h="11906" w:orient="landscape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:rsidR="00BA410C" w:rsidRPr="00BA0FC0" w:rsidRDefault="003B100E" w:rsidP="00BA410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A0F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Appendix 1. Establishment of female dominance rank</w:t>
      </w:r>
      <w:r w:rsidR="00646BB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</w:p>
    <w:p w:rsidR="00BA0FC0" w:rsidRPr="00DF4033" w:rsidRDefault="0078099D" w:rsidP="00DF40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emale dominance ranks were established using both </w:t>
      </w:r>
      <w:r w:rsidR="003B100E" w:rsidRPr="00BA0F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 </w:t>
      </w:r>
      <w:proofErr w:type="spellStart"/>
      <w:r w:rsidR="003B100E" w:rsidRPr="00BA0FC0">
        <w:rPr>
          <w:rFonts w:ascii="Times New Roman" w:hAnsi="Times New Roman" w:cs="Times New Roman"/>
          <w:i/>
          <w:sz w:val="24"/>
          <w:szCs w:val="24"/>
          <w:lang w:val="en-US"/>
        </w:rPr>
        <w:t>libitum</w:t>
      </w:r>
      <w:proofErr w:type="spellEnd"/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 and focal observat</w:t>
      </w:r>
      <w:r w:rsidR="00922B83" w:rsidRPr="00BA0FC0">
        <w:rPr>
          <w:rFonts w:ascii="Times New Roman" w:hAnsi="Times New Roman" w:cs="Times New Roman"/>
          <w:sz w:val="24"/>
          <w:szCs w:val="24"/>
          <w:lang w:val="en-US"/>
        </w:rPr>
        <w:t>ions of dyadic</w:t>
      </w:r>
      <w:r w:rsidR="00922B83" w:rsidRPr="00BA0F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approach-avoid interactions (</w:t>
      </w:r>
      <w:r w:rsidR="00586F7F" w:rsidRPr="00586F7F">
        <w:rPr>
          <w:rFonts w:ascii="Times New Roman" w:hAnsi="Times New Roman" w:cs="Times New Roman"/>
          <w:bCs/>
          <w:i/>
          <w:sz w:val="24"/>
          <w:szCs w:val="24"/>
          <w:lang w:val="en-GB"/>
        </w:rPr>
        <w:t>supplants</w:t>
      </w:r>
      <w:r w:rsidR="00922B83" w:rsidRPr="00BA0FC0">
        <w:rPr>
          <w:rFonts w:ascii="Times New Roman" w:hAnsi="Times New Roman" w:cs="Times New Roman"/>
          <w:bCs/>
          <w:sz w:val="24"/>
          <w:szCs w:val="24"/>
          <w:lang w:val="en-GB"/>
        </w:rPr>
        <w:t>, when one animal actively displaces another to take its place</w:t>
      </w:r>
      <w:r w:rsidR="00E8468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  <w:r w:rsidR="00586F7F" w:rsidRPr="00586F7F">
        <w:rPr>
          <w:rFonts w:ascii="Times New Roman" w:hAnsi="Times New Roman" w:cs="Times New Roman"/>
          <w:bCs/>
          <w:i/>
          <w:sz w:val="24"/>
          <w:szCs w:val="24"/>
          <w:lang w:val="en-GB"/>
        </w:rPr>
        <w:t>displacements</w:t>
      </w:r>
      <w:r w:rsidR="00922B83" w:rsidRPr="00BA0FC0">
        <w:rPr>
          <w:rFonts w:ascii="Times New Roman" w:hAnsi="Times New Roman" w:cs="Times New Roman"/>
          <w:bCs/>
          <w:sz w:val="24"/>
          <w:szCs w:val="24"/>
          <w:lang w:val="en-GB"/>
        </w:rPr>
        <w:t>, when one animal passes close to another and makes it move away) and dyadic agonistic interactions</w:t>
      </w:r>
      <w:r w:rsidR="00E8468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r w:rsidR="00586F7F" w:rsidRPr="00586F7F">
        <w:rPr>
          <w:rFonts w:ascii="Times New Roman" w:hAnsi="Times New Roman" w:cs="Times New Roman"/>
          <w:bCs/>
          <w:i/>
          <w:sz w:val="24"/>
          <w:szCs w:val="24"/>
          <w:lang w:val="en-GB"/>
        </w:rPr>
        <w:t>attacks</w:t>
      </w:r>
      <w:r w:rsidR="00E8468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922B83" w:rsidRPr="00BA0FC0">
        <w:rPr>
          <w:rFonts w:ascii="Times New Roman" w:hAnsi="Times New Roman" w:cs="Times New Roman"/>
          <w:bCs/>
          <w:sz w:val="24"/>
          <w:szCs w:val="24"/>
          <w:lang w:val="en-GB"/>
        </w:rPr>
        <w:t>any agonistic physical contact including hits, bites, or grabbing movements</w:t>
      </w:r>
      <w:r w:rsidR="00E8468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  <w:r w:rsidR="00586F7F" w:rsidRPr="00586F7F">
        <w:rPr>
          <w:rFonts w:ascii="Times New Roman" w:hAnsi="Times New Roman" w:cs="Times New Roman"/>
          <w:bCs/>
          <w:i/>
          <w:sz w:val="24"/>
          <w:szCs w:val="24"/>
          <w:lang w:val="en-GB"/>
        </w:rPr>
        <w:t>chases</w:t>
      </w:r>
      <w:r w:rsidR="00E8468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922B83" w:rsidRPr="00BA0FC0">
        <w:rPr>
          <w:rFonts w:ascii="Times New Roman" w:hAnsi="Times New Roman" w:cs="Times New Roman"/>
          <w:bCs/>
          <w:sz w:val="24"/>
          <w:szCs w:val="24"/>
          <w:lang w:val="en-GB"/>
        </w:rPr>
        <w:t>when one animal chases another for a distance of at least 3m</w:t>
      </w:r>
      <w:r w:rsidR="00E8468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  <w:r w:rsidR="00586F7F" w:rsidRPr="00586F7F">
        <w:rPr>
          <w:rFonts w:ascii="Times New Roman" w:hAnsi="Times New Roman" w:cs="Times New Roman"/>
          <w:bCs/>
          <w:i/>
          <w:sz w:val="24"/>
          <w:szCs w:val="24"/>
          <w:lang w:val="en-GB"/>
        </w:rPr>
        <w:t>threats</w:t>
      </w:r>
      <w:r w:rsidR="00E8468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922B83" w:rsidRPr="00BA0F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including staring, head bobbing, and </w:t>
      </w:r>
      <w:r w:rsidR="00922B83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ground sweeping while oriented toward the targeted individual). </w:t>
      </w:r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>We calculated female dominance hierarchies separately</w:t>
      </w:r>
      <w:r w:rsidR="00003EB9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 in each year using </w:t>
      </w:r>
      <w:proofErr w:type="spellStart"/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>Matman</w:t>
      </w:r>
      <w:proofErr w:type="spellEnd"/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 1.1.4 (</w:t>
      </w:r>
      <w:proofErr w:type="spellStart"/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>Noldus</w:t>
      </w:r>
      <w:proofErr w:type="spellEnd"/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 Information Technology 2003). </w:t>
      </w:r>
      <w:r w:rsidR="00BA410C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We calculated and tested the adjusted linearity index h, corrected for unknown relationships. </w:t>
      </w:r>
      <w:r w:rsidR="000D1F30">
        <w:rPr>
          <w:rFonts w:ascii="Times New Roman" w:hAnsi="Times New Roman" w:cs="Times New Roman"/>
          <w:sz w:val="24"/>
          <w:szCs w:val="24"/>
          <w:lang w:val="en-US"/>
        </w:rPr>
        <w:t xml:space="preserve">Hierarchies </w:t>
      </w:r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>were always linear (</w:t>
      </w:r>
      <w:r w:rsidR="003B100E" w:rsidRPr="00BA0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B100E" w:rsidRPr="00BA0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2013</w:t>
      </w:r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 = 367 interactions, </w:t>
      </w:r>
      <w:r w:rsidR="003B100E" w:rsidRPr="00BA0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B100E" w:rsidRPr="00BA0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2014</w:t>
      </w:r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 = 1259 in group L; </w:t>
      </w:r>
      <w:r w:rsidR="003B100E" w:rsidRPr="00BA0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B100E" w:rsidRPr="00BA0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2013</w:t>
      </w:r>
      <w:r w:rsidR="0092539E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 = 590, </w:t>
      </w:r>
      <w:r w:rsidR="003B100E" w:rsidRPr="00BA0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B100E" w:rsidRPr="00BA0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2014</w:t>
      </w:r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 = 978 in group J, Landau’s linearity index h: </w:t>
      </w:r>
      <w:r w:rsidR="0092539E" w:rsidRPr="00BA0FC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846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A410C" w:rsidRPr="00BA0FC0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E84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>0.05 in all cases). In the following analys</w:t>
      </w:r>
      <w:r w:rsidR="000D1F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s, we used relative rank to control for variation in group size. To calculate relative rank, absolute ranks were </w:t>
      </w:r>
      <w:proofErr w:type="spellStart"/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>standardised</w:t>
      </w:r>
      <w:proofErr w:type="spellEnd"/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 to vary between 0-1, using the formula: 1-((1-</w:t>
      </w:r>
      <w:r w:rsidR="003B100E" w:rsidRPr="00BA0FC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>)/(1-</w:t>
      </w:r>
      <w:r w:rsidR="003B100E" w:rsidRPr="00BA0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)), where </w:t>
      </w:r>
      <w:r w:rsidR="003B100E" w:rsidRPr="00BA0F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r </w:t>
      </w:r>
      <w:r w:rsidR="003B100E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is the absolute rank of an individual </w:t>
      </w:r>
      <w:r w:rsidR="00003EB9" w:rsidRPr="00BA0FC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03EB9" w:rsidRPr="00BA0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total number female </w:t>
      </w:r>
      <w:r w:rsidR="00003EB9" w:rsidRPr="00BA0FC0">
        <w:rPr>
          <w:rFonts w:ascii="Times New Roman" w:hAnsi="Times New Roman" w:cs="Times New Roman"/>
          <w:sz w:val="24"/>
          <w:szCs w:val="24"/>
          <w:lang w:val="en-US"/>
        </w:rPr>
        <w:t>in the group</w:t>
      </w:r>
      <w:r w:rsidR="00646B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BA0FC0" w:rsidRPr="00DF4033" w:rsidSect="007F4362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42BB74" w15:done="0"/>
  <w15:commentEx w15:paraId="66087CA7" w15:paraIdParent="7642BB7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14" w:rsidRDefault="00D25514" w:rsidP="00951EDE">
      <w:pPr>
        <w:spacing w:after="0" w:line="240" w:lineRule="auto"/>
      </w:pPr>
      <w:r>
        <w:separator/>
      </w:r>
    </w:p>
  </w:endnote>
  <w:endnote w:type="continuationSeparator" w:id="0">
    <w:p w:rsidR="00D25514" w:rsidRDefault="00D25514" w:rsidP="0095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883809"/>
      <w:docPartObj>
        <w:docPartGallery w:val="Page Numbers (Bottom of Page)"/>
        <w:docPartUnique/>
      </w:docPartObj>
    </w:sdtPr>
    <w:sdtContent>
      <w:p w:rsidR="00870605" w:rsidRDefault="000D5A65">
        <w:pPr>
          <w:pStyle w:val="Pieddepage"/>
          <w:jc w:val="center"/>
        </w:pPr>
        <w:r>
          <w:fldChar w:fldCharType="begin"/>
        </w:r>
        <w:r w:rsidR="00EE0742">
          <w:instrText>PAGE   \* MERGEFORMAT</w:instrText>
        </w:r>
        <w:r>
          <w:fldChar w:fldCharType="separate"/>
        </w:r>
        <w:r w:rsidR="005720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0605" w:rsidRDefault="008706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14" w:rsidRDefault="00D25514" w:rsidP="00951EDE">
      <w:pPr>
        <w:spacing w:after="0" w:line="240" w:lineRule="auto"/>
      </w:pPr>
      <w:r>
        <w:separator/>
      </w:r>
    </w:p>
  </w:footnote>
  <w:footnote w:type="continuationSeparator" w:id="0">
    <w:p w:rsidR="00D25514" w:rsidRDefault="00D25514" w:rsidP="0095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2762"/>
    <w:multiLevelType w:val="hybridMultilevel"/>
    <w:tmpl w:val="D0BC4C8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7389"/>
    <w:multiLevelType w:val="hybridMultilevel"/>
    <w:tmpl w:val="7B96996C"/>
    <w:lvl w:ilvl="0" w:tplc="C98ED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e huchard">
    <w15:presenceInfo w15:providerId="AD" w15:userId="S-1-5-21-4145820125-1267106944-2403979137-21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B100E"/>
    <w:rsid w:val="00003EB9"/>
    <w:rsid w:val="000207C8"/>
    <w:rsid w:val="00094ABB"/>
    <w:rsid w:val="000C1615"/>
    <w:rsid w:val="000D1F30"/>
    <w:rsid w:val="000D5A65"/>
    <w:rsid w:val="00127DF1"/>
    <w:rsid w:val="00150DA0"/>
    <w:rsid w:val="00186407"/>
    <w:rsid w:val="00192699"/>
    <w:rsid w:val="001A3866"/>
    <w:rsid w:val="001D3BC7"/>
    <w:rsid w:val="001F6965"/>
    <w:rsid w:val="00212DB0"/>
    <w:rsid w:val="00225957"/>
    <w:rsid w:val="00244CF9"/>
    <w:rsid w:val="002835C5"/>
    <w:rsid w:val="002908F6"/>
    <w:rsid w:val="003062EF"/>
    <w:rsid w:val="00343369"/>
    <w:rsid w:val="003925FE"/>
    <w:rsid w:val="003B100E"/>
    <w:rsid w:val="003D2A4B"/>
    <w:rsid w:val="00421FAC"/>
    <w:rsid w:val="0043391D"/>
    <w:rsid w:val="004540B9"/>
    <w:rsid w:val="00454DE7"/>
    <w:rsid w:val="005061D0"/>
    <w:rsid w:val="00520A55"/>
    <w:rsid w:val="0052578C"/>
    <w:rsid w:val="00570355"/>
    <w:rsid w:val="005720CC"/>
    <w:rsid w:val="00586F7F"/>
    <w:rsid w:val="005B5046"/>
    <w:rsid w:val="00604509"/>
    <w:rsid w:val="006300C6"/>
    <w:rsid w:val="00635247"/>
    <w:rsid w:val="00646BB8"/>
    <w:rsid w:val="006939EA"/>
    <w:rsid w:val="00694029"/>
    <w:rsid w:val="006C0CBA"/>
    <w:rsid w:val="006E62AF"/>
    <w:rsid w:val="006F47E9"/>
    <w:rsid w:val="0071494F"/>
    <w:rsid w:val="007230F5"/>
    <w:rsid w:val="0074155B"/>
    <w:rsid w:val="00756312"/>
    <w:rsid w:val="007564EF"/>
    <w:rsid w:val="0078099D"/>
    <w:rsid w:val="007F4362"/>
    <w:rsid w:val="007F458C"/>
    <w:rsid w:val="008031EE"/>
    <w:rsid w:val="00817ABD"/>
    <w:rsid w:val="00817E42"/>
    <w:rsid w:val="00826E89"/>
    <w:rsid w:val="00833D54"/>
    <w:rsid w:val="00837B39"/>
    <w:rsid w:val="0084208A"/>
    <w:rsid w:val="00850194"/>
    <w:rsid w:val="00870605"/>
    <w:rsid w:val="00887F82"/>
    <w:rsid w:val="008C0F7B"/>
    <w:rsid w:val="008C6813"/>
    <w:rsid w:val="00922B83"/>
    <w:rsid w:val="0092539E"/>
    <w:rsid w:val="0094157F"/>
    <w:rsid w:val="00951EDE"/>
    <w:rsid w:val="009949E9"/>
    <w:rsid w:val="00A06C0E"/>
    <w:rsid w:val="00A52A63"/>
    <w:rsid w:val="00A65533"/>
    <w:rsid w:val="00A928C0"/>
    <w:rsid w:val="00AD2893"/>
    <w:rsid w:val="00AE1CCC"/>
    <w:rsid w:val="00AF58FD"/>
    <w:rsid w:val="00AF5AA8"/>
    <w:rsid w:val="00B047E5"/>
    <w:rsid w:val="00B30487"/>
    <w:rsid w:val="00B47D37"/>
    <w:rsid w:val="00BA0FC0"/>
    <w:rsid w:val="00BA410C"/>
    <w:rsid w:val="00BB5D95"/>
    <w:rsid w:val="00BD31DA"/>
    <w:rsid w:val="00BE4DB1"/>
    <w:rsid w:val="00C34D46"/>
    <w:rsid w:val="00CB680F"/>
    <w:rsid w:val="00CC0C96"/>
    <w:rsid w:val="00CC6DC7"/>
    <w:rsid w:val="00CD368B"/>
    <w:rsid w:val="00CD571D"/>
    <w:rsid w:val="00CF2136"/>
    <w:rsid w:val="00D21352"/>
    <w:rsid w:val="00D25514"/>
    <w:rsid w:val="00D316CE"/>
    <w:rsid w:val="00D6185A"/>
    <w:rsid w:val="00D642EA"/>
    <w:rsid w:val="00DA0C25"/>
    <w:rsid w:val="00DF4033"/>
    <w:rsid w:val="00E03BB2"/>
    <w:rsid w:val="00E1162F"/>
    <w:rsid w:val="00E12B42"/>
    <w:rsid w:val="00E16672"/>
    <w:rsid w:val="00E16B44"/>
    <w:rsid w:val="00E610BB"/>
    <w:rsid w:val="00E651B6"/>
    <w:rsid w:val="00E71833"/>
    <w:rsid w:val="00E84688"/>
    <w:rsid w:val="00E93F57"/>
    <w:rsid w:val="00E95D56"/>
    <w:rsid w:val="00EC206B"/>
    <w:rsid w:val="00EE0742"/>
    <w:rsid w:val="00F27B06"/>
    <w:rsid w:val="00F41AC6"/>
    <w:rsid w:val="00F72AE0"/>
    <w:rsid w:val="00FE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0E"/>
  </w:style>
  <w:style w:type="paragraph" w:styleId="Titre2">
    <w:name w:val="heading 2"/>
    <w:basedOn w:val="Normal"/>
    <w:link w:val="Titre2Car"/>
    <w:uiPriority w:val="9"/>
    <w:qFormat/>
    <w:rsid w:val="00951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061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61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61D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1D0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7F436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2B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2B8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B5D9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51EDE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51E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EDE"/>
  </w:style>
  <w:style w:type="paragraph" w:styleId="Pieddepage">
    <w:name w:val="footer"/>
    <w:basedOn w:val="Normal"/>
    <w:link w:val="PieddepageCar"/>
    <w:uiPriority w:val="99"/>
    <w:unhideWhenUsed/>
    <w:rsid w:val="0095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1629-06A1-4164-B72E-F3741812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829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Baniel</dc:creator>
  <cp:lastModifiedBy>ab</cp:lastModifiedBy>
  <cp:revision>11</cp:revision>
  <dcterms:created xsi:type="dcterms:W3CDTF">2018-09-17T14:09:00Z</dcterms:created>
  <dcterms:modified xsi:type="dcterms:W3CDTF">2018-10-17T20:38:00Z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http://www.zotero.org/styles/apa-no-doi-no-issue</vt:lpwstr>
  </property>
  <property fmtid="{D5CDD505-2E9C-101B-9397-08002B2CF9AE}" pid="7" name="Mendeley Recent Style Name 2_1">
    <vt:lpwstr>American Psychological Association 6th edition (no DOIs, no issue numbers)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http://www.zotero.org/styles/behavioral-ecology-and-sociobiology</vt:lpwstr>
  </property>
  <property fmtid="{D5CDD505-2E9C-101B-9397-08002B2CF9AE}" pid="11" name="Mendeley Recent Style Name 4_1">
    <vt:lpwstr>Behavioral Ecology and Sociobiology</vt:lpwstr>
  </property>
  <property fmtid="{D5CDD505-2E9C-101B-9397-08002B2CF9AE}" pid="12" name="Mendeley Recent Style Id 5_1">
    <vt:lpwstr>http://www.zotero.org/styles/biology-letters</vt:lpwstr>
  </property>
  <property fmtid="{D5CDD505-2E9C-101B-9397-08002B2CF9AE}" pid="13" name="Mendeley Recent Style Name 5_1">
    <vt:lpwstr>Biology Letters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(author-date)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http://www.zotero.org/styles/proceedings-of-the-royal-society-b</vt:lpwstr>
  </property>
  <property fmtid="{D5CDD505-2E9C-101B-9397-08002B2CF9AE}" pid="21" name="Mendeley Recent Style Name 9_1">
    <vt:lpwstr>Proceedings of the Royal Society B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985fd9b3-0c68-32ef-9cef-87b4c8ec5fea</vt:lpwstr>
  </property>
  <property fmtid="{D5CDD505-2E9C-101B-9397-08002B2CF9AE}" pid="24" name="Mendeley Citation Style_1">
    <vt:lpwstr>http://www.zotero.org/styles/proceedings-of-the-royal-society-b</vt:lpwstr>
  </property>
</Properties>
</file>