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27194E" w14:textId="77777777" w:rsidR="00D55060" w:rsidRDefault="00D55060" w:rsidP="00D5506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SUPPLEME</w:t>
      </w:r>
      <w:bookmarkStart w:id="0" w:name="_GoBack"/>
      <w:bookmarkEnd w:id="0"/>
      <w:r>
        <w:rPr>
          <w:rFonts w:ascii="Times New Roman" w:eastAsia="Times New Roman" w:hAnsi="Times New Roman" w:cs="Times New Roman"/>
          <w:sz w:val="24"/>
          <w:szCs w:val="24"/>
        </w:rPr>
        <w:t>NTAL INFORMATION</w:t>
      </w:r>
    </w:p>
    <w:p w14:paraId="7C02A9D0" w14:textId="77777777" w:rsidR="00D55060" w:rsidRDefault="00D55060" w:rsidP="00D55060">
      <w:pPr>
        <w:spacing w:line="480" w:lineRule="auto"/>
        <w:rPr>
          <w:rFonts w:ascii="Times New Roman" w:hAnsi="Times New Roman" w:cs="Times New Roman"/>
          <w:sz w:val="24"/>
          <w:szCs w:val="24"/>
        </w:rPr>
      </w:pPr>
      <w:r>
        <w:rPr>
          <w:rFonts w:ascii="Times New Roman" w:hAnsi="Times New Roman" w:cs="Times New Roman"/>
          <w:sz w:val="24"/>
          <w:szCs w:val="24"/>
        </w:rPr>
        <w:t>Tracking Dragons: Stable isotopes reveal the annual cycle of a long-distance migratory insect</w:t>
      </w:r>
    </w:p>
    <w:p w14:paraId="0D3980A9" w14:textId="77777777" w:rsidR="00D55060" w:rsidRPr="00684206" w:rsidRDefault="00D55060" w:rsidP="00D55060">
      <w:pPr>
        <w:spacing w:line="480" w:lineRule="auto"/>
        <w:rPr>
          <w:rFonts w:ascii="Times New Roman" w:hAnsi="Times New Roman" w:cs="Times New Roman"/>
          <w:sz w:val="24"/>
          <w:szCs w:val="24"/>
        </w:rPr>
      </w:pPr>
      <w:r>
        <w:rPr>
          <w:rFonts w:ascii="Times New Roman" w:hAnsi="Times New Roman" w:cs="Times New Roman"/>
          <w:sz w:val="24"/>
          <w:szCs w:val="24"/>
        </w:rPr>
        <w:t>Michael T. Hallworth</w:t>
      </w:r>
      <w:r>
        <w:rPr>
          <w:rFonts w:ascii="Times New Roman" w:hAnsi="Times New Roman" w:cs="Times New Roman"/>
          <w:sz w:val="24"/>
          <w:szCs w:val="24"/>
          <w:vertAlign w:val="superscript"/>
        </w:rPr>
        <w:t>1</w:t>
      </w:r>
      <w:proofErr w:type="gramStart"/>
      <w:r>
        <w:rPr>
          <w:rFonts w:ascii="Times New Roman" w:hAnsi="Times New Roman" w:cs="Times New Roman"/>
          <w:sz w:val="24"/>
          <w:szCs w:val="24"/>
          <w:vertAlign w:val="superscript"/>
        </w:rPr>
        <w:t>,2</w:t>
      </w:r>
      <w:proofErr w:type="gramEnd"/>
      <w:r>
        <w:rPr>
          <w:rFonts w:ascii="Times New Roman" w:hAnsi="Times New Roman" w:cs="Times New Roman"/>
          <w:sz w:val="24"/>
          <w:szCs w:val="24"/>
          <w:vertAlign w:val="superscript"/>
        </w:rPr>
        <w:t>,</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Peter P. Marra</w:t>
      </w:r>
      <w:r w:rsidRPr="00FF45BA">
        <w:rPr>
          <w:rFonts w:ascii="Times New Roman" w:hAnsi="Times New Roman" w:cs="Times New Roman"/>
          <w:sz w:val="24"/>
          <w:szCs w:val="24"/>
          <w:vertAlign w:val="superscript"/>
        </w:rPr>
        <w:t>1</w:t>
      </w:r>
      <w:r>
        <w:rPr>
          <w:rFonts w:ascii="Times New Roman" w:hAnsi="Times New Roman" w:cs="Times New Roman"/>
          <w:sz w:val="24"/>
          <w:szCs w:val="24"/>
        </w:rPr>
        <w:t xml:space="preserve">, Kent P. </w:t>
      </w:r>
      <w:r w:rsidRPr="00C96C85">
        <w:rPr>
          <w:rFonts w:ascii="Times New Roman" w:hAnsi="Times New Roman" w:cs="Times New Roman"/>
          <w:sz w:val="24"/>
          <w:szCs w:val="24"/>
        </w:rPr>
        <w:t>McFarland</w:t>
      </w:r>
      <w:r w:rsidRPr="00C96C85">
        <w:rPr>
          <w:rFonts w:ascii="Times New Roman" w:hAnsi="Times New Roman" w:cs="Times New Roman"/>
          <w:sz w:val="24"/>
          <w:szCs w:val="24"/>
          <w:vertAlign w:val="superscript"/>
        </w:rPr>
        <w:t>3</w:t>
      </w:r>
      <w:r>
        <w:rPr>
          <w:rFonts w:ascii="Times New Roman" w:hAnsi="Times New Roman" w:cs="Times New Roman"/>
          <w:i/>
          <w:sz w:val="24"/>
          <w:szCs w:val="24"/>
        </w:rPr>
        <w:t xml:space="preserve">, </w:t>
      </w:r>
      <w:r>
        <w:rPr>
          <w:rFonts w:ascii="Times New Roman" w:hAnsi="Times New Roman" w:cs="Times New Roman"/>
          <w:sz w:val="24"/>
          <w:szCs w:val="24"/>
        </w:rPr>
        <w:t>Sara Zahendra</w:t>
      </w:r>
      <w:r w:rsidRPr="008160A7">
        <w:rPr>
          <w:rFonts w:ascii="Times New Roman" w:hAnsi="Times New Roman" w:cs="Times New Roman"/>
          <w:sz w:val="24"/>
          <w:szCs w:val="24"/>
          <w:vertAlign w:val="superscript"/>
        </w:rPr>
        <w:t>3</w:t>
      </w:r>
      <w:r>
        <w:rPr>
          <w:rFonts w:ascii="Times New Roman" w:hAnsi="Times New Roman" w:cs="Times New Roman"/>
          <w:sz w:val="24"/>
          <w:szCs w:val="24"/>
        </w:rPr>
        <w:t xml:space="preserve"> and Colin E. Studds</w:t>
      </w:r>
      <w:r>
        <w:rPr>
          <w:rFonts w:ascii="Times New Roman" w:hAnsi="Times New Roman" w:cs="Times New Roman"/>
          <w:sz w:val="24"/>
          <w:szCs w:val="24"/>
          <w:vertAlign w:val="superscript"/>
        </w:rPr>
        <w:t>1,2</w:t>
      </w:r>
    </w:p>
    <w:p w14:paraId="72097CAD" w14:textId="77777777" w:rsidR="00D55060" w:rsidRPr="00C96C85" w:rsidRDefault="00D55060" w:rsidP="00D55060">
      <w:pPr>
        <w:spacing w:line="480" w:lineRule="auto"/>
        <w:rPr>
          <w:rFonts w:ascii="Times New Roman" w:hAnsi="Times New Roman" w:cs="Times New Roman"/>
          <w:sz w:val="24"/>
          <w:szCs w:val="24"/>
        </w:rPr>
      </w:pPr>
      <w:r w:rsidRPr="00C96C85">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sidRPr="00C96C85">
        <w:rPr>
          <w:rFonts w:ascii="Times New Roman" w:hAnsi="Times New Roman" w:cs="Times New Roman"/>
          <w:sz w:val="24"/>
          <w:szCs w:val="24"/>
        </w:rPr>
        <w:t>Migratory Bird Center</w:t>
      </w:r>
      <w:r>
        <w:rPr>
          <w:rFonts w:ascii="Times New Roman" w:hAnsi="Times New Roman" w:cs="Times New Roman"/>
          <w:sz w:val="24"/>
          <w:szCs w:val="24"/>
        </w:rPr>
        <w:t>,</w:t>
      </w:r>
      <w:r w:rsidRPr="00C96C85">
        <w:rPr>
          <w:rFonts w:ascii="Times New Roman" w:hAnsi="Times New Roman" w:cs="Times New Roman"/>
          <w:sz w:val="24"/>
          <w:szCs w:val="24"/>
        </w:rPr>
        <w:t xml:space="preserve"> Smithsonian Conservation Biology Institute</w:t>
      </w:r>
      <w:r>
        <w:rPr>
          <w:rFonts w:ascii="Times New Roman" w:hAnsi="Times New Roman" w:cs="Times New Roman"/>
          <w:sz w:val="24"/>
          <w:szCs w:val="24"/>
        </w:rPr>
        <w:t>,</w:t>
      </w:r>
      <w:r w:rsidRPr="00C96C85">
        <w:rPr>
          <w:rFonts w:ascii="Times New Roman" w:hAnsi="Times New Roman" w:cs="Times New Roman"/>
          <w:sz w:val="24"/>
          <w:szCs w:val="24"/>
        </w:rPr>
        <w:t xml:space="preserve"> Washington, D.C. 20008.</w:t>
      </w:r>
    </w:p>
    <w:p w14:paraId="7100FC45" w14:textId="77777777" w:rsidR="00D55060" w:rsidRPr="00C96C85" w:rsidRDefault="00D55060" w:rsidP="00D55060">
      <w:pPr>
        <w:spacing w:line="480" w:lineRule="auto"/>
        <w:rPr>
          <w:rFonts w:ascii="Times New Roman" w:hAnsi="Times New Roman" w:cs="Times New Roman"/>
          <w:sz w:val="24"/>
          <w:szCs w:val="24"/>
        </w:rPr>
      </w:pPr>
      <w:r w:rsidRPr="00C96C85">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Pr="00C96C85">
        <w:rPr>
          <w:rFonts w:ascii="Times New Roman" w:hAnsi="Times New Roman" w:cs="Times New Roman"/>
          <w:sz w:val="24"/>
          <w:szCs w:val="24"/>
        </w:rPr>
        <w:t xml:space="preserve">University of Maryland, Baltimore County, Baltimore, MD. </w:t>
      </w:r>
      <w:r w:rsidRPr="00C96C85">
        <w:rPr>
          <w:rStyle w:val="xbe"/>
          <w:rFonts w:ascii="Times New Roman" w:hAnsi="Times New Roman" w:cs="Times New Roman"/>
          <w:sz w:val="24"/>
          <w:szCs w:val="24"/>
        </w:rPr>
        <w:t>21250.</w:t>
      </w:r>
    </w:p>
    <w:p w14:paraId="4DDAD3FC" w14:textId="77777777" w:rsidR="00D55060" w:rsidRPr="00C96C85" w:rsidRDefault="00D55060" w:rsidP="00D55060">
      <w:pPr>
        <w:spacing w:line="48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3 </w:t>
      </w:r>
      <w:r w:rsidRPr="00C96C85">
        <w:rPr>
          <w:rFonts w:ascii="Times New Roman" w:hAnsi="Times New Roman" w:cs="Times New Roman"/>
          <w:sz w:val="24"/>
          <w:szCs w:val="24"/>
        </w:rPr>
        <w:t xml:space="preserve">Vermont Center for </w:t>
      </w:r>
      <w:proofErr w:type="spellStart"/>
      <w:r>
        <w:rPr>
          <w:rFonts w:ascii="Times New Roman" w:hAnsi="Times New Roman" w:cs="Times New Roman"/>
          <w:sz w:val="24"/>
          <w:szCs w:val="24"/>
        </w:rPr>
        <w:t>Ecos</w:t>
      </w:r>
      <w:r w:rsidRPr="00C96C85">
        <w:rPr>
          <w:rFonts w:ascii="Times New Roman" w:hAnsi="Times New Roman" w:cs="Times New Roman"/>
          <w:sz w:val="24"/>
          <w:szCs w:val="24"/>
        </w:rPr>
        <w:t>tudies</w:t>
      </w:r>
      <w:proofErr w:type="spellEnd"/>
      <w:r w:rsidRPr="00C96C85">
        <w:rPr>
          <w:rFonts w:ascii="Times New Roman" w:hAnsi="Times New Roman" w:cs="Times New Roman"/>
          <w:sz w:val="24"/>
          <w:szCs w:val="24"/>
        </w:rPr>
        <w:t xml:space="preserve">, </w:t>
      </w:r>
      <w:r w:rsidRPr="00C96C85">
        <w:rPr>
          <w:rStyle w:val="xbe"/>
          <w:rFonts w:ascii="Times New Roman" w:hAnsi="Times New Roman" w:cs="Times New Roman"/>
          <w:sz w:val="24"/>
          <w:szCs w:val="24"/>
        </w:rPr>
        <w:t>White River Junction, VT. 05001</w:t>
      </w:r>
    </w:p>
    <w:p w14:paraId="5F033A32" w14:textId="77777777" w:rsidR="00D55060" w:rsidRDefault="00D55060" w:rsidP="00D55060">
      <w:pPr>
        <w:spacing w:line="480" w:lineRule="auto"/>
        <w:rPr>
          <w:rFonts w:ascii="Times New Roman" w:hAnsi="Times New Roman" w:cs="Times New Roman"/>
          <w:sz w:val="24"/>
          <w:szCs w:val="24"/>
        </w:rPr>
      </w:pPr>
      <w:r>
        <w:rPr>
          <w:rFonts w:ascii="Times New Roman" w:hAnsi="Times New Roman" w:cs="Times New Roman"/>
          <w:sz w:val="24"/>
          <w:szCs w:val="24"/>
        </w:rPr>
        <w:t>*</w:t>
      </w:r>
      <w:r w:rsidRPr="00C96C85">
        <w:rPr>
          <w:rFonts w:ascii="Times New Roman" w:hAnsi="Times New Roman" w:cs="Times New Roman"/>
          <w:sz w:val="24"/>
          <w:szCs w:val="24"/>
        </w:rPr>
        <w:t>Corresponding author</w:t>
      </w:r>
    </w:p>
    <w:p w14:paraId="19DC6D3A" w14:textId="77777777" w:rsidR="00D55060" w:rsidRDefault="00D55060" w:rsidP="00D55060">
      <w:pPr>
        <w:rPr>
          <w:rFonts w:ascii="Times New Roman" w:hAnsi="Times New Roman" w:cs="Times New Roman"/>
          <w:sz w:val="24"/>
          <w:szCs w:val="24"/>
        </w:rPr>
      </w:pPr>
      <w:r>
        <w:rPr>
          <w:rFonts w:ascii="Times New Roman" w:hAnsi="Times New Roman" w:cs="Times New Roman"/>
          <w:sz w:val="24"/>
          <w:szCs w:val="24"/>
        </w:rPr>
        <w:br w:type="page"/>
      </w:r>
    </w:p>
    <w:p w14:paraId="3857147A" w14:textId="77777777" w:rsidR="00D55060" w:rsidRDefault="00D55060" w:rsidP="00D5506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SUPPLEMENTAL METHODS</w:t>
      </w:r>
    </w:p>
    <w:p w14:paraId="7FB94DF4" w14:textId="11603CC0" w:rsidR="00D55060" w:rsidRDefault="00D55060" w:rsidP="00D55060">
      <w:pPr>
        <w:spacing w:line="480" w:lineRule="auto"/>
        <w:rPr>
          <w:rFonts w:ascii="Times New Roman" w:eastAsia="Times New Roman" w:hAnsi="Times New Roman" w:cs="Times New Roman"/>
          <w:sz w:val="24"/>
          <w:szCs w:val="24"/>
        </w:rPr>
      </w:pPr>
      <w:r w:rsidRPr="002672EC">
        <w:rPr>
          <w:rFonts w:ascii="Times New Roman" w:eastAsia="Times New Roman" w:hAnsi="Times New Roman" w:cs="Times New Roman"/>
          <w:i/>
          <w:sz w:val="24"/>
          <w:szCs w:val="24"/>
        </w:rPr>
        <w:t>First flight temperature threshold</w:t>
      </w:r>
      <w:r>
        <w:rPr>
          <w:rFonts w:ascii="Times New Roman" w:eastAsia="Times New Roman" w:hAnsi="Times New Roman" w:cs="Times New Roman"/>
          <w:sz w:val="24"/>
          <w:szCs w:val="24"/>
        </w:rPr>
        <w:t xml:space="preserve"> - Daily mean </w:t>
      </w:r>
      <w:r w:rsidRPr="00731435">
        <w:rPr>
          <w:rFonts w:ascii="Times New Roman" w:eastAsia="Times New Roman" w:hAnsi="Times New Roman" w:cs="Times New Roman"/>
          <w:sz w:val="24"/>
          <w:szCs w:val="24"/>
        </w:rPr>
        <w:t xml:space="preserve">temperature </w:t>
      </w:r>
      <w:r>
        <w:rPr>
          <w:rFonts w:ascii="Times New Roman" w:eastAsia="Times New Roman" w:hAnsi="Times New Roman" w:cs="Times New Roman"/>
          <w:sz w:val="24"/>
          <w:szCs w:val="24"/>
        </w:rPr>
        <w:t>obtained from PRISM Gridded Climate Data</w:t>
      </w:r>
      <w:r>
        <w:rPr>
          <w:rFonts w:ascii="Times New Roman" w:eastAsia="Times New Roman" w:hAnsi="Times New Roman" w:cs="Times New Roman"/>
          <w:sz w:val="24"/>
          <w:szCs w:val="24"/>
        </w:rPr>
        <w:fldChar w:fldCharType="begin"/>
      </w:r>
      <w:r w:rsidR="00FF02EC">
        <w:rPr>
          <w:rFonts w:ascii="Times New Roman" w:eastAsia="Times New Roman" w:hAnsi="Times New Roman" w:cs="Times New Roman"/>
          <w:sz w:val="24"/>
          <w:szCs w:val="24"/>
        </w:rPr>
        <w:instrText xml:space="preserve"> ADDIN ZOTERO_ITEM CSL_CITATION {"citationID":"ot1Y2Com","properties":{"formattedCitation":"[1]","plainCitation":"[1]","noteIndex":0},"citationItems":[{"id":3810,"uris":["http://zotero.org/users/812033/items/J8PPKAMP"],"uri":["http://zotero.org/users/812033/items/J8PPKAMP"],"itemData":{"id":3810,"type":"article","title":"PRISM Climate Group, Oregon State University, http://prism.oregonstate.edu","issued":{"date-parts":[["2018",7,20]]}}}],"schema":"https://github.com/citation-style-language/schema/raw/master/csl-citation.json"} </w:instrText>
      </w:r>
      <w:r>
        <w:rPr>
          <w:rFonts w:ascii="Times New Roman" w:eastAsia="Times New Roman" w:hAnsi="Times New Roman" w:cs="Times New Roman"/>
          <w:sz w:val="24"/>
          <w:szCs w:val="24"/>
        </w:rPr>
        <w:fldChar w:fldCharType="separate"/>
      </w:r>
      <w:r w:rsidRPr="00D55060">
        <w:rPr>
          <w:rFonts w:ascii="Times New Roman" w:hAnsi="Times New Roman" w:cs="Times New Roman"/>
          <w:sz w:val="24"/>
        </w:rPr>
        <w:t>[1]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Pr="00A220EF">
        <w:rPr>
          <w:rFonts w:ascii="Times New Roman" w:eastAsia="Times New Roman" w:hAnsi="Times New Roman" w:cs="Times New Roman"/>
          <w:sz w:val="24"/>
          <w:szCs w:val="24"/>
        </w:rPr>
        <w:t>on the first flight date</w:t>
      </w:r>
      <w:r>
        <w:rPr>
          <w:rFonts w:ascii="Times New Roman" w:eastAsia="Times New Roman" w:hAnsi="Times New Roman" w:cs="Times New Roman"/>
          <w:sz w:val="24"/>
          <w:szCs w:val="24"/>
        </w:rPr>
        <w:t xml:space="preserve"> was extracted and summarized for each observation location from</w:t>
      </w:r>
      <w:r w:rsidRPr="00A220EF">
        <w:rPr>
          <w:rFonts w:ascii="Times New Roman" w:eastAsia="Times New Roman" w:hAnsi="Times New Roman" w:cs="Times New Roman"/>
          <w:sz w:val="24"/>
          <w:szCs w:val="24"/>
        </w:rPr>
        <w:t xml:space="preserve"> 1994 – 2014 </w:t>
      </w:r>
      <w:r>
        <w:rPr>
          <w:rFonts w:ascii="Times New Roman" w:eastAsia="Times New Roman" w:hAnsi="Times New Roman" w:cs="Times New Roman"/>
          <w:sz w:val="24"/>
          <w:szCs w:val="24"/>
        </w:rPr>
        <w:t>which spanned</w:t>
      </w:r>
      <w:r w:rsidRPr="00A220EF">
        <w:rPr>
          <w:rFonts w:ascii="Times New Roman" w:eastAsia="Times New Roman" w:hAnsi="Times New Roman" w:cs="Times New Roman"/>
          <w:sz w:val="24"/>
          <w:szCs w:val="24"/>
        </w:rPr>
        <w:t xml:space="preserve"> the contemporary observations. </w:t>
      </w:r>
    </w:p>
    <w:p w14:paraId="02F08E58" w14:textId="548D6A4B" w:rsidR="00D55060" w:rsidRDefault="00D55060" w:rsidP="00D55060">
      <w:pPr>
        <w:spacing w:line="480" w:lineRule="auto"/>
        <w:rPr>
          <w:rFonts w:ascii="Times New Roman" w:eastAsia="Times New Roman" w:hAnsi="Times New Roman" w:cs="Times New Roman"/>
          <w:sz w:val="24"/>
          <w:szCs w:val="24"/>
        </w:rPr>
      </w:pPr>
      <w:r w:rsidRPr="00A71A69">
        <w:rPr>
          <w:rFonts w:ascii="Times New Roman" w:eastAsia="Times New Roman" w:hAnsi="Times New Roman" w:cs="Times New Roman"/>
          <w:i/>
          <w:sz w:val="24"/>
          <w:szCs w:val="24"/>
        </w:rPr>
        <w:t xml:space="preserve">Habitat suitability </w:t>
      </w:r>
      <w:r>
        <w:rPr>
          <w:rFonts w:ascii="Times New Roman" w:eastAsia="Times New Roman" w:hAnsi="Times New Roman" w:cs="Times New Roman"/>
          <w:sz w:val="24"/>
          <w:szCs w:val="24"/>
        </w:rPr>
        <w:t>- We generated a habitat suitability surface to help refine stable isotope geographic assignments. The habitat suitability surface was constructed using occurrence records obtained from Global Biodiversity Information Facility (</w:t>
      </w:r>
      <w:r w:rsidR="00FF02EC">
        <w:rPr>
          <w:rFonts w:ascii="Times New Roman" w:eastAsia="Times New Roman" w:hAnsi="Times New Roman" w:cs="Times New Roman"/>
          <w:sz w:val="24"/>
          <w:szCs w:val="24"/>
        </w:rPr>
        <w:fldChar w:fldCharType="begin"/>
      </w:r>
      <w:r w:rsidR="00FF02EC">
        <w:rPr>
          <w:rFonts w:ascii="Times New Roman" w:eastAsia="Times New Roman" w:hAnsi="Times New Roman" w:cs="Times New Roman"/>
          <w:sz w:val="24"/>
          <w:szCs w:val="24"/>
        </w:rPr>
        <w:instrText xml:space="preserve"> ADDIN ZOTERO_ITEM CSL_CITATION {"citationID":"qHOplmkE","properties":{"formattedCitation":"[2]","plainCitation":"[2]","noteIndex":0},"citationItems":[{"id":3948,"uris":["http://zotero.org/users/812033/items/SBSR98C4"],"uri":["http://zotero.org/users/812033/items/SBSR98C4"],"itemData":{"id":3948,"type":"webpage","title":"GBIF Occurrence Download","URL":"https://doi.org/10.15468/dl.pw0uol","language":"en","author":[{"family":"GBIF.org","given":""}],"issued":{"date-parts":[["2018",7,3]]},"accessed":{"date-parts":[["2018",12,3]]}}}],"schema":"https://github.com/citation-style-language/schema/raw/master/csl-citation.json"} </w:instrText>
      </w:r>
      <w:r w:rsidR="00FF02EC">
        <w:rPr>
          <w:rFonts w:ascii="Times New Roman" w:eastAsia="Times New Roman" w:hAnsi="Times New Roman" w:cs="Times New Roman"/>
          <w:sz w:val="24"/>
          <w:szCs w:val="24"/>
        </w:rPr>
        <w:fldChar w:fldCharType="separate"/>
      </w:r>
      <w:r w:rsidR="00FF02EC" w:rsidRPr="00FF02EC">
        <w:rPr>
          <w:rFonts w:ascii="Times New Roman" w:hAnsi="Times New Roman" w:cs="Times New Roman"/>
          <w:sz w:val="24"/>
        </w:rPr>
        <w:t>[2]</w:t>
      </w:r>
      <w:r w:rsidR="00FF02E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n = 5099) combined with our sampling locations (n = 1188) using </w:t>
      </w:r>
      <w:proofErr w:type="spellStart"/>
      <w:r>
        <w:rPr>
          <w:rFonts w:ascii="Times New Roman" w:eastAsia="Times New Roman" w:hAnsi="Times New Roman" w:cs="Times New Roman"/>
          <w:sz w:val="24"/>
          <w:szCs w:val="24"/>
        </w:rPr>
        <w:t>Maxent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sidR="00FF02EC">
        <w:rPr>
          <w:rFonts w:ascii="Times New Roman" w:eastAsia="Times New Roman" w:hAnsi="Times New Roman" w:cs="Times New Roman"/>
          <w:sz w:val="24"/>
          <w:szCs w:val="24"/>
        </w:rPr>
        <w:instrText xml:space="preserve"> ADDIN ZOTERO_ITEM CSL_CITATION {"citationID":"DMXNDuT8","properties":{"formattedCitation":"[3]","plainCitation":"[3]","noteIndex":0},"citationItems":[{"id":3775,"uris":["http://zotero.org/users/812033/items/CLGFAYWI"],"uri":["http://zotero.org/users/812033/items/CLGFAYWI"],"itemData":{"id":3775,"type":"article-journal","title":"Opening the black box: an open-source release of Maxent","container-title":"Ecography","page":"887-893","volume":"40","issue":"7","source":"Wiley Online Library","abstract":"This software note announces a new open-source release of the Maxent software for modeling species distributions from occurrence records and environmental data, and describes a new R package for fitting such models. The new release (ver. 3.4.0) will be hosted online by the American Museum of Natural History, along with future versions. It contains small functional changes, most notably use of a complementary log-log (cloglog) transform to produce an estimate of occurrence probability. The cloglog transform derives from the recently-published interpretation of Maxent as an inhomogeneous Poisson process (IPP), giving it a stronger theoretical justification than the logistic transform which it replaces by default. In addition, the new R package, maxnet, fits Maxent models using the glmnet package for regularized generalized linear models. We discuss the implications of the IPP formulation in terms of model inputs and outputs, treating occurrence records as points rather than grid cells and interpreting the exponential Maxent model (raw output) as as an estimate of relative abundance. With these two open-source developments, we invite others to freely use and contribute to the software.","DOI":"10.1111/ecog.03049","ISSN":"1600-0587","shortTitle":"Opening the black box","language":"en","author":[{"family":"Phillips","given":"Steven J."},{"family":"Anderson","given":"Robert P."},{"family":"Dudík","given":"Miroslav"},{"family":"Schapire","given":"Robert E."},{"family":"Blair","given":"Mary E."}],"issued":{"date-parts":[["2017"]]}}}],"schema":"https://github.com/citation-style-language/schema/raw/master/csl-citation.json"} </w:instrText>
      </w:r>
      <w:r>
        <w:rPr>
          <w:rFonts w:ascii="Times New Roman" w:eastAsia="Times New Roman" w:hAnsi="Times New Roman" w:cs="Times New Roman"/>
          <w:sz w:val="24"/>
          <w:szCs w:val="24"/>
        </w:rPr>
        <w:fldChar w:fldCharType="separate"/>
      </w:r>
      <w:r w:rsidR="00FF02EC" w:rsidRPr="00FF02EC">
        <w:rPr>
          <w:rFonts w:ascii="Times New Roman" w:hAnsi="Times New Roman" w:cs="Times New Roman"/>
          <w:sz w:val="24"/>
        </w:rPr>
        <w:t>[3]</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accessed through R </w:t>
      </w:r>
      <w:r>
        <w:rPr>
          <w:rFonts w:ascii="Times New Roman" w:eastAsia="Times New Roman" w:hAnsi="Times New Roman" w:cs="Times New Roman"/>
          <w:sz w:val="24"/>
          <w:szCs w:val="24"/>
        </w:rPr>
        <w:fldChar w:fldCharType="begin"/>
      </w:r>
      <w:r w:rsidR="00FF02EC">
        <w:rPr>
          <w:rFonts w:ascii="Times New Roman" w:eastAsia="Times New Roman" w:hAnsi="Times New Roman" w:cs="Times New Roman"/>
          <w:sz w:val="24"/>
          <w:szCs w:val="24"/>
        </w:rPr>
        <w:instrText xml:space="preserve"> ADDIN ZOTERO_ITEM CSL_CITATION {"citationID":"7BH31Vpc","properties":{"formattedCitation":"[4]","plainCitation":"[4]","noteIndex":0},"citationItems":[{"id":3133,"uris":["http://zotero.org/users/812033/items/542IJFGD"],"uri":["http://zotero.org/users/812033/items/542IJFGD"],"itemData":{"id":3133,"type":"book","title":"R: A language and environment for statistical computing. R Foundation for Statistical Computing","publisher-place":"Vienna, Austria.","event-place":"Vienna, Austria.","URL":"https://www.R-project.org/.","author":[{"literal":"R Core Team"}],"issued":{"date-parts":[["2016"]]}}}],"schema":"https://github.com/citation-style-language/schema/raw/master/csl-citation.json"} </w:instrText>
      </w:r>
      <w:r>
        <w:rPr>
          <w:rFonts w:ascii="Times New Roman" w:eastAsia="Times New Roman" w:hAnsi="Times New Roman" w:cs="Times New Roman"/>
          <w:sz w:val="24"/>
          <w:szCs w:val="24"/>
        </w:rPr>
        <w:fldChar w:fldCharType="separate"/>
      </w:r>
      <w:r w:rsidR="00FF02EC" w:rsidRPr="00FF02EC">
        <w:rPr>
          <w:rFonts w:ascii="Times New Roman" w:hAnsi="Times New Roman" w:cs="Times New Roman"/>
          <w:sz w:val="24"/>
        </w:rPr>
        <w:t>[4]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via the </w:t>
      </w:r>
      <w:proofErr w:type="spellStart"/>
      <w:r>
        <w:rPr>
          <w:rFonts w:ascii="Times New Roman" w:eastAsia="Times New Roman" w:hAnsi="Times New Roman" w:cs="Times New Roman"/>
          <w:sz w:val="24"/>
          <w:szCs w:val="24"/>
        </w:rPr>
        <w:t>dismo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sidR="00FF02EC">
        <w:rPr>
          <w:rFonts w:ascii="Times New Roman" w:eastAsia="Times New Roman" w:hAnsi="Times New Roman" w:cs="Times New Roman"/>
          <w:sz w:val="24"/>
          <w:szCs w:val="24"/>
        </w:rPr>
        <w:instrText xml:space="preserve"> ADDIN ZOTERO_ITEM CSL_CITATION {"citationID":"IA416hBW","properties":{"formattedCitation":"[5]","plainCitation":"[5]","noteIndex":0},"citationItems":[{"id":3778,"uris":["http://zotero.org/users/812033/items/I79WUUTJ"],"uri":["http://zotero.org/users/812033/items/I79WUUTJ"],"itemData":{"id":3778,"type":"book","title":"dismo: Species Distribution Modeling","version":"1.1-4","source":"R-Packages","abstract":"Functions for species distribution modeling, that is, predicting entire geographic distributions form occurrences at a number of sites and the environment at these sites.","URL":"https://CRAN.R-project.org/package=dismo","shortTitle":"dismo","author":[{"family":"Hijmans","given":"Robert J."},{"family":"Phillips","given":"Steven"},{"family":"Elith","given":"John Leathwick and Jane"}],"issued":{"date-parts":[["2017",1,9]]},"accessed":{"date-parts":[["2018",7,27]]}}}],"schema":"https://github.com/citation-style-language/schema/raw/master/csl-citation.json"} </w:instrText>
      </w:r>
      <w:r>
        <w:rPr>
          <w:rFonts w:ascii="Times New Roman" w:eastAsia="Times New Roman" w:hAnsi="Times New Roman" w:cs="Times New Roman"/>
          <w:sz w:val="24"/>
          <w:szCs w:val="24"/>
        </w:rPr>
        <w:fldChar w:fldCharType="separate"/>
      </w:r>
      <w:r w:rsidR="00FF02EC" w:rsidRPr="00FF02EC">
        <w:rPr>
          <w:rFonts w:ascii="Times New Roman" w:hAnsi="Times New Roman" w:cs="Times New Roman"/>
          <w:sz w:val="24"/>
        </w:rPr>
        <w:t>[5]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package (see SI for more information). Duplicate locations were removed from the dataset resulting in 4226 occurrence locations. The habitat suitability model was generated using a training dataset that encompassed 80% of the occurrence records. We withheld 20% of the data to test the accuracy of predicted suitability surface. Biologically relevant variables likely to influence common green darner habitat preferences and development were included in the Maxent model. Those included mean annual temperature, minimum temperature of the coldest month, annual precipitation, precipitation of the wettest month, precipitation of the driest month and elevation. Environmental layers were obtained from WorldClim.org accessed through the raster package </w:t>
      </w:r>
      <w:r>
        <w:rPr>
          <w:rFonts w:ascii="Times New Roman" w:eastAsia="Times New Roman" w:hAnsi="Times New Roman" w:cs="Times New Roman"/>
          <w:sz w:val="24"/>
          <w:szCs w:val="24"/>
        </w:rPr>
        <w:fldChar w:fldCharType="begin"/>
      </w:r>
      <w:r w:rsidR="00FF02EC">
        <w:rPr>
          <w:rFonts w:ascii="Times New Roman" w:eastAsia="Times New Roman" w:hAnsi="Times New Roman" w:cs="Times New Roman"/>
          <w:sz w:val="24"/>
          <w:szCs w:val="24"/>
        </w:rPr>
        <w:instrText xml:space="preserve"> ADDIN ZOTERO_ITEM CSL_CITATION {"citationID":"9s4XUZzJ","properties":{"formattedCitation":"[6]","plainCitation":"[6]","noteIndex":0},"citationItems":[{"id":733,"uris":["http://zotero.org/users/812033/items/K399I9J9"],"uri":["http://zotero.org/users/812033/items/K399I9J9"],"itemData":{"id":733,"type":"article-journal","title":"raster: Geographic analysis and modeling with raster data","container-title":"R package version","page":"r948","volume":"1","issue":"2","source":"Google Scholar","shortTitle":"raster","author":[{"family":"Hijmans","given":"Robert J."},{"family":"Etten","given":"Jacob","non-dropping-particle":"van"}],"issued":{"date-parts":[["2010"]]}}}],"schema":"https://github.com/citation-style-language/schema/raw/master/csl-citation.json"} </w:instrText>
      </w:r>
      <w:r>
        <w:rPr>
          <w:rFonts w:ascii="Times New Roman" w:eastAsia="Times New Roman" w:hAnsi="Times New Roman" w:cs="Times New Roman"/>
          <w:sz w:val="24"/>
          <w:szCs w:val="24"/>
        </w:rPr>
        <w:fldChar w:fldCharType="separate"/>
      </w:r>
      <w:r w:rsidR="00FF02EC" w:rsidRPr="00FF02EC">
        <w:rPr>
          <w:rFonts w:ascii="Times New Roman" w:hAnsi="Times New Roman" w:cs="Times New Roman"/>
          <w:sz w:val="24"/>
        </w:rPr>
        <w:t>[6]</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modelled habitat suitability surface fit the test</w:t>
      </w:r>
      <w:r w:rsidR="006B4F45">
        <w:rPr>
          <w:rFonts w:ascii="Times New Roman" w:eastAsia="Times New Roman" w:hAnsi="Times New Roman" w:cs="Times New Roman"/>
          <w:sz w:val="24"/>
          <w:szCs w:val="24"/>
        </w:rPr>
        <w:t xml:space="preserve"> data well (AUC = 0.873, Fig. S5</w:t>
      </w:r>
      <w:r>
        <w:rPr>
          <w:rFonts w:ascii="Times New Roman" w:eastAsia="Times New Roman" w:hAnsi="Times New Roman" w:cs="Times New Roman"/>
          <w:sz w:val="24"/>
          <w:szCs w:val="24"/>
        </w:rPr>
        <w:t xml:space="preserve">).  </w:t>
      </w:r>
    </w:p>
    <w:p w14:paraId="61916D74" w14:textId="0E1568FF" w:rsidR="00D55060" w:rsidRDefault="00D55060" w:rsidP="00D55060">
      <w:pPr>
        <w:spacing w:line="480" w:lineRule="auto"/>
        <w:rPr>
          <w:rFonts w:ascii="Times New Roman" w:eastAsia="Times New Roman" w:hAnsi="Times New Roman" w:cs="Times New Roman"/>
          <w:sz w:val="24"/>
          <w:szCs w:val="24"/>
        </w:rPr>
      </w:pPr>
      <w:r w:rsidRPr="00D947BD">
        <w:rPr>
          <w:rFonts w:ascii="Times New Roman" w:eastAsia="Times New Roman" w:hAnsi="Times New Roman" w:cs="Times New Roman"/>
          <w:i/>
          <w:sz w:val="24"/>
          <w:szCs w:val="24"/>
        </w:rPr>
        <w:t>Stable-isotope analysis</w:t>
      </w:r>
      <w:r>
        <w:rPr>
          <w:rFonts w:ascii="Times New Roman" w:eastAsia="Times New Roman" w:hAnsi="Times New Roman" w:cs="Times New Roman"/>
          <w:sz w:val="24"/>
          <w:szCs w:val="24"/>
        </w:rPr>
        <w:t xml:space="preserve"> - Isotope analyses were performed at the Smithsonian Institution’s Stable Isotope Mass Spectrometry Laboratory in Suitland, MD, USA.  Common green darner wings were washed with a 2:1 </w:t>
      </w:r>
      <w:proofErr w:type="spellStart"/>
      <w:r>
        <w:rPr>
          <w:rFonts w:ascii="Times New Roman" w:eastAsia="Times New Roman" w:hAnsi="Times New Roman" w:cs="Times New Roman"/>
          <w:sz w:val="24"/>
          <w:szCs w:val="24"/>
        </w:rPr>
        <w:t>chloroform</w:t>
      </w:r>
      <w:proofErr w:type="gramStart"/>
      <w:r>
        <w:rPr>
          <w:rFonts w:ascii="Times New Roman" w:eastAsia="Times New Roman" w:hAnsi="Times New Roman" w:cs="Times New Roman"/>
          <w:sz w:val="24"/>
          <w:szCs w:val="24"/>
        </w:rPr>
        <w:t>:methonal</w:t>
      </w:r>
      <w:proofErr w:type="spellEnd"/>
      <w:proofErr w:type="gramEnd"/>
      <w:r>
        <w:rPr>
          <w:rFonts w:ascii="Times New Roman" w:eastAsia="Times New Roman" w:hAnsi="Times New Roman" w:cs="Times New Roman"/>
          <w:sz w:val="24"/>
          <w:szCs w:val="24"/>
        </w:rPr>
        <w:t xml:space="preserve"> solution to remove surface oils and debris. Samples were placed in the lab 72h prior to processing to allow tissues to equilibrate to the local </w:t>
      </w:r>
      <w:r>
        <w:rPr>
          <w:rFonts w:ascii="Times New Roman" w:eastAsia="Times New Roman" w:hAnsi="Times New Roman" w:cs="Times New Roman"/>
          <w:sz w:val="24"/>
          <w:szCs w:val="24"/>
        </w:rPr>
        <w:lastRenderedPageBreak/>
        <w:t xml:space="preserve">atmosphere </w:t>
      </w:r>
      <w:r>
        <w:rPr>
          <w:rFonts w:ascii="Times New Roman" w:eastAsia="Times New Roman" w:hAnsi="Times New Roman" w:cs="Times New Roman"/>
          <w:sz w:val="24"/>
          <w:szCs w:val="24"/>
        </w:rPr>
        <w:fldChar w:fldCharType="begin"/>
      </w:r>
      <w:r w:rsidR="00FF02EC">
        <w:rPr>
          <w:rFonts w:ascii="Times New Roman" w:eastAsia="Times New Roman" w:hAnsi="Times New Roman" w:cs="Times New Roman"/>
          <w:sz w:val="24"/>
          <w:szCs w:val="24"/>
        </w:rPr>
        <w:instrText xml:space="preserve"> ADDIN ZOTERO_ITEM CSL_CITATION {"citationID":"avuaeaeur3","properties":{"formattedCitation":"[7]","plainCitation":"[7]","noteIndex":0},"citationItems":[{"id":112,"uris":["http://zotero.org/users/812033/items/4MUED3TC"],"uri":["http://zotero.org/users/812033/items/4MUED3TC"],"itemData":{"id":112,"type":"article-journal","title":"Comparative equilibration and online technique for determination of non-exchangeable hydrogen of keratins for use in animal migration studies","container-title":"Isotopes in Environmental and Health Studies","page":"211–217","volume":"39","issue":"3","source":"Google Scholar","note":"00327","author":[{"family":"Wassenaar","given":"L. I."},{"family":"Hobson","given":"K. A."}],"issued":{"date-parts":[["2003"]]}}}],"schema":"https://github.com/citation-style-language/schema/raw/master/csl-citation.json"} </w:instrText>
      </w:r>
      <w:r>
        <w:rPr>
          <w:rFonts w:ascii="Times New Roman" w:eastAsia="Times New Roman" w:hAnsi="Times New Roman" w:cs="Times New Roman"/>
          <w:sz w:val="24"/>
          <w:szCs w:val="24"/>
        </w:rPr>
        <w:fldChar w:fldCharType="separate"/>
      </w:r>
      <w:r w:rsidR="00FF02EC" w:rsidRPr="00FF02EC">
        <w:rPr>
          <w:rFonts w:ascii="Times New Roman" w:hAnsi="Times New Roman" w:cs="Times New Roman"/>
          <w:sz w:val="24"/>
        </w:rPr>
        <w:t>[7]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A small distal portion of the wing (0.350 ± 0.001, mean ± 1 SE) was removed and packed into a silver capsule. E</w:t>
      </w:r>
      <w:r w:rsidRPr="00B46DCD">
        <w:rPr>
          <w:rFonts w:ascii="Times New Roman" w:eastAsia="Times New Roman" w:hAnsi="Times New Roman" w:cs="Times New Roman"/>
          <w:sz w:val="24"/>
          <w:szCs w:val="24"/>
        </w:rPr>
        <w:t xml:space="preserve">xuviae </w:t>
      </w:r>
      <w:r>
        <w:rPr>
          <w:rFonts w:ascii="Times New Roman" w:eastAsia="Times New Roman" w:hAnsi="Times New Roman" w:cs="Times New Roman"/>
          <w:sz w:val="24"/>
          <w:szCs w:val="24"/>
        </w:rPr>
        <w:t>were</w:t>
      </w:r>
      <w:r w:rsidRPr="00B46D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prepared the same way as wings</w:t>
      </w:r>
      <w:r w:rsidRPr="00B46D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Tissue samples were combusted in an elemental analyzer and introduced to an isotope ratio mass spectrometer via a </w:t>
      </w:r>
      <w:proofErr w:type="spellStart"/>
      <w:r>
        <w:rPr>
          <w:rFonts w:ascii="Times New Roman" w:eastAsia="Times New Roman" w:hAnsi="Times New Roman" w:cs="Times New Roman"/>
          <w:sz w:val="24"/>
          <w:szCs w:val="24"/>
        </w:rPr>
        <w:t>Conflo</w:t>
      </w:r>
      <w:proofErr w:type="spellEnd"/>
      <w:r>
        <w:rPr>
          <w:rFonts w:ascii="Times New Roman" w:eastAsia="Times New Roman" w:hAnsi="Times New Roman" w:cs="Times New Roman"/>
          <w:sz w:val="24"/>
          <w:szCs w:val="24"/>
        </w:rPr>
        <w:t xml:space="preserve"> IV interface. One in-house standard was run for every 5 unknowns to measure accuracy and precision. Analytical error was minimal (2.63 ± 0.84 ‰) based on replicate analysis of the same tissue samples (n = 110). The non-exchangeable hydrogen was determined by linear regression with calibrated in-house keratin based standards (Caribou Hoof Keratin, -197 ‰; Spectrum Keratin, -121.6 ‰;  and Kudo Horn Keratin, -54.1 ‰)</w:t>
      </w:r>
      <w:r>
        <w:rPr>
          <w:rFonts w:ascii="Times New Roman" w:eastAsia="Times New Roman" w:hAnsi="Times New Roman" w:cs="Times New Roman"/>
          <w:sz w:val="24"/>
          <w:szCs w:val="24"/>
        </w:rPr>
        <w:fldChar w:fldCharType="begin"/>
      </w:r>
      <w:r w:rsidR="00FF02EC">
        <w:rPr>
          <w:rFonts w:ascii="Times New Roman" w:eastAsia="Times New Roman" w:hAnsi="Times New Roman" w:cs="Times New Roman"/>
          <w:sz w:val="24"/>
          <w:szCs w:val="24"/>
        </w:rPr>
        <w:instrText xml:space="preserve"> ADDIN ZOTERO_ITEM CSL_CITATION {"citationID":"2aitr5tqep","properties":{"formattedCitation":"[7]","plainCitation":"[7]","noteIndex":0},"citationItems":[{"id":112,"uris":["http://zotero.org/users/812033/items/4MUED3TC"],"uri":["http://zotero.org/users/812033/items/4MUED3TC"],"itemData":{"id":112,"type":"article-journal","title":"Comparative equilibration and online technique for determination of non-exchangeable hydrogen of keratins for use in animal migration studies","container-title":"Isotopes in Environmental and Health Studies","page":"211–217","volume":"39","issue":"3","source":"Google Scholar","note":"00327","author":[{"family":"Wassenaar","given":"L. I."},{"family":"Hobson","given":"K. A."}],"issued":{"date-parts":[["2003"]]}}}],"schema":"https://github.com/citation-style-language/schema/raw/master/csl-citation.json"} </w:instrText>
      </w:r>
      <w:r>
        <w:rPr>
          <w:rFonts w:ascii="Times New Roman" w:eastAsia="Times New Roman" w:hAnsi="Times New Roman" w:cs="Times New Roman"/>
          <w:sz w:val="24"/>
          <w:szCs w:val="24"/>
        </w:rPr>
        <w:fldChar w:fldCharType="separate"/>
      </w:r>
      <w:r w:rsidR="00FF02EC" w:rsidRPr="00FF02EC">
        <w:rPr>
          <w:rFonts w:ascii="Times New Roman" w:hAnsi="Times New Roman" w:cs="Times New Roman"/>
          <w:sz w:val="24"/>
        </w:rPr>
        <w:t>[7]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2320F0C8" w14:textId="5E0C6C2C" w:rsidR="00D55060" w:rsidRDefault="00D55060" w:rsidP="00D55060">
      <w:pPr>
        <w:spacing w:line="480" w:lineRule="auto"/>
        <w:rPr>
          <w:rFonts w:ascii="Times New Roman" w:hAnsi="Times New Roman" w:cs="Times New Roman"/>
          <w:sz w:val="24"/>
          <w:szCs w:val="24"/>
        </w:rPr>
      </w:pPr>
      <w:r w:rsidRPr="008C03C3">
        <w:rPr>
          <w:rFonts w:ascii="Times New Roman" w:eastAsia="Times New Roman" w:hAnsi="Times New Roman" w:cs="Times New Roman"/>
          <w:i/>
          <w:sz w:val="24"/>
          <w:szCs w:val="24"/>
        </w:rPr>
        <w:t>Creating a wing-scape</w:t>
      </w:r>
      <w:r>
        <w:rPr>
          <w:rFonts w:ascii="Times New Roman" w:eastAsia="Times New Roman" w:hAnsi="Times New Roman" w:cs="Times New Roman"/>
          <w:i/>
          <w:sz w:val="24"/>
          <w:szCs w:val="24"/>
        </w:rPr>
        <w:t xml:space="preserve"> - </w:t>
      </w:r>
      <w:r>
        <w:rPr>
          <w:rFonts w:ascii="Times New Roman" w:eastAsia="Times New Roman" w:hAnsi="Times New Roman" w:cs="Times New Roman"/>
          <w:sz w:val="24"/>
          <w:szCs w:val="24"/>
        </w:rPr>
        <w:t>L</w:t>
      </w:r>
      <w:r w:rsidRPr="00C963AB">
        <w:rPr>
          <w:rFonts w:ascii="Times New Roman" w:hAnsi="Times New Roman" w:cs="Times New Roman"/>
          <w:sz w:val="24"/>
          <w:szCs w:val="24"/>
        </w:rPr>
        <w:t xml:space="preserve">ocally emerged </w:t>
      </w:r>
      <w:proofErr w:type="spellStart"/>
      <w:r w:rsidRPr="00C963AB">
        <w:rPr>
          <w:rFonts w:ascii="Times New Roman" w:hAnsi="Times New Roman" w:cs="Times New Roman"/>
          <w:sz w:val="24"/>
          <w:szCs w:val="24"/>
        </w:rPr>
        <w:t>teneral</w:t>
      </w:r>
      <w:proofErr w:type="spellEnd"/>
      <w:r w:rsidRPr="00C963AB">
        <w:rPr>
          <w:rFonts w:ascii="Times New Roman" w:hAnsi="Times New Roman" w:cs="Times New Roman"/>
          <w:sz w:val="24"/>
          <w:szCs w:val="24"/>
        </w:rPr>
        <w:t xml:space="preserve"> and </w:t>
      </w:r>
      <w:proofErr w:type="spellStart"/>
      <w:r w:rsidRPr="00C963AB">
        <w:rPr>
          <w:rFonts w:ascii="Times New Roman" w:hAnsi="Times New Roman" w:cs="Times New Roman"/>
          <w:sz w:val="24"/>
          <w:szCs w:val="24"/>
        </w:rPr>
        <w:t>exuviae</w:t>
      </w:r>
      <w:proofErr w:type="spellEnd"/>
      <w:r w:rsidRPr="00C963AB">
        <w:rPr>
          <w:rFonts w:ascii="Times New Roman" w:hAnsi="Times New Roman" w:cs="Times New Roman"/>
          <w:sz w:val="24"/>
          <w:szCs w:val="24"/>
        </w:rPr>
        <w:t xml:space="preserve"> </w:t>
      </w:r>
      <w:r>
        <w:rPr>
          <w:rFonts w:ascii="Times New Roman" w:hAnsi="Times New Roman" w:cs="Times New Roman"/>
          <w:sz w:val="24"/>
          <w:szCs w:val="24"/>
        </w:rPr>
        <w:t>from 77 locations collected in 4 countries (Bahamas, Canada, Mexica, and United States) and 20 states were used t</w:t>
      </w:r>
      <w:r w:rsidRPr="00C963AB">
        <w:rPr>
          <w:rFonts w:ascii="Times New Roman" w:hAnsi="Times New Roman" w:cs="Times New Roman"/>
          <w:sz w:val="24"/>
          <w:szCs w:val="24"/>
        </w:rPr>
        <w:t xml:space="preserve">o identify the discrimination factor between </w:t>
      </w:r>
      <w:r>
        <w:rPr>
          <w:rFonts w:ascii="Times New Roman" w:eastAsia="Times New Roman" w:hAnsi="Times New Roman" w:cs="Times New Roman"/>
          <w:sz w:val="24"/>
          <w:szCs w:val="24"/>
        </w:rPr>
        <w:t>the expected amount-weighted growing-season precipitation</w:t>
      </w:r>
      <w:r w:rsidRPr="00C963AB">
        <w:rPr>
          <w:rFonts w:ascii="Times New Roman" w:hAnsi="Times New Roman" w:cs="Times New Roman"/>
          <w:sz w:val="24"/>
          <w:szCs w:val="24"/>
        </w:rPr>
        <w:t xml:space="preserve"> </w:t>
      </w:r>
      <w:r>
        <w:rPr>
          <w:rFonts w:ascii="Times New Roman" w:hAnsi="Times New Roman" w:cs="Times New Roman"/>
          <w:sz w:val="24"/>
          <w:szCs w:val="24"/>
        </w:rPr>
        <w:t>(</w:t>
      </w:r>
      <w:r w:rsidRPr="00C963AB">
        <w:rPr>
          <w:rFonts w:ascii="Times New Roman" w:hAnsi="Times New Roman" w:cs="Times New Roman"/>
          <w:sz w:val="24"/>
          <w:szCs w:val="24"/>
        </w:rPr>
        <w:t>δ</w:t>
      </w:r>
      <w:r w:rsidRPr="00C963AB">
        <w:rPr>
          <w:rFonts w:ascii="Times New Roman" w:hAnsi="Times New Roman" w:cs="Times New Roman"/>
          <w:sz w:val="24"/>
          <w:szCs w:val="24"/>
          <w:vertAlign w:val="superscript"/>
        </w:rPr>
        <w:t>2</w:t>
      </w:r>
      <w:r w:rsidRPr="00C963AB">
        <w:rPr>
          <w:rFonts w:ascii="Times New Roman" w:hAnsi="Times New Roman" w:cs="Times New Roman"/>
          <w:sz w:val="24"/>
          <w:szCs w:val="24"/>
        </w:rPr>
        <w:t>H</w:t>
      </w:r>
      <w:r w:rsidRPr="00C963AB">
        <w:rPr>
          <w:rFonts w:ascii="Times New Roman" w:hAnsi="Times New Roman" w:cs="Times New Roman"/>
          <w:sz w:val="24"/>
          <w:szCs w:val="24"/>
          <w:vertAlign w:val="subscript"/>
        </w:rPr>
        <w:t>p</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FF02EC">
        <w:rPr>
          <w:rFonts w:ascii="Times New Roman" w:hAnsi="Times New Roman" w:cs="Times New Roman"/>
          <w:sz w:val="24"/>
          <w:szCs w:val="24"/>
        </w:rPr>
        <w:instrText xml:space="preserve"> ADDIN ZOTERO_ITEM CSL_CITATION {"citationID":"a1bpqauf61t","properties":{"formattedCitation":"[8]","plainCitation":"[8]","noteIndex":0},"citationItems":[{"id":959,"uris":["http://zotero.org/users/812033/items/S2KFAZ2T"],"uri":["http://zotero.org/users/812033/items/S2KFAZ2T"],"itemData":{"id":959,"type":"article-journal","title":"Global application of stable hydrogen and oxygen isotopes to wildlife forensics","container-title":"Oecologia","page":"337–348","volume":"143","issue":"3","source":"Google Scholar","author":[{"family":"Bowen","given":"G. J."},{"family":"Wassenaar","given":"L. I."},{"family":"Hobson","given":"K. A."}],"issued":{"date-parts":[["2005"]]}}}],"schema":"https://github.com/citation-style-language/schema/raw/master/csl-citation.json"} </w:instrText>
      </w:r>
      <w:r>
        <w:rPr>
          <w:rFonts w:ascii="Times New Roman" w:hAnsi="Times New Roman" w:cs="Times New Roman"/>
          <w:sz w:val="24"/>
          <w:szCs w:val="24"/>
        </w:rPr>
        <w:fldChar w:fldCharType="separate"/>
      </w:r>
      <w:r w:rsidR="00FF02EC" w:rsidRPr="00FF02EC">
        <w:rPr>
          <w:rFonts w:ascii="Times New Roman" w:hAnsi="Times New Roman" w:cs="Times New Roman"/>
          <w:sz w:val="24"/>
        </w:rPr>
        <w:t>[8]</w:t>
      </w:r>
      <w:r>
        <w:rPr>
          <w:rFonts w:ascii="Times New Roman" w:hAnsi="Times New Roman" w:cs="Times New Roman"/>
          <w:sz w:val="24"/>
          <w:szCs w:val="24"/>
        </w:rPr>
        <w:fldChar w:fldCharType="end"/>
      </w:r>
      <w:r>
        <w:rPr>
          <w:rFonts w:ascii="Times New Roman" w:hAnsi="Times New Roman" w:cs="Times New Roman"/>
          <w:sz w:val="24"/>
          <w:szCs w:val="24"/>
        </w:rPr>
        <w:t xml:space="preserve"> and </w:t>
      </w:r>
      <w:r>
        <w:rPr>
          <w:rFonts w:ascii="Times New Roman" w:eastAsia="Times New Roman" w:hAnsi="Times New Roman" w:cs="Times New Roman"/>
          <w:sz w:val="24"/>
          <w:szCs w:val="24"/>
        </w:rPr>
        <w:t xml:space="preserve">green darner wings </w:t>
      </w:r>
      <w:r w:rsidRPr="00C963AB">
        <w:rPr>
          <w:rFonts w:ascii="Times New Roman" w:hAnsi="Times New Roman" w:cs="Times New Roman"/>
          <w:sz w:val="24"/>
          <w:szCs w:val="24"/>
        </w:rPr>
        <w:t>(</w:t>
      </w:r>
      <w:r w:rsidRPr="00C963AB">
        <w:rPr>
          <w:rFonts w:ascii="Times New Roman" w:hAnsi="Times New Roman" w:cs="Times New Roman"/>
          <w:i/>
          <w:sz w:val="24"/>
          <w:szCs w:val="24"/>
        </w:rPr>
        <w:t>δ</w:t>
      </w:r>
      <w:r w:rsidRPr="00C963AB">
        <w:rPr>
          <w:rFonts w:ascii="Times New Roman" w:hAnsi="Times New Roman" w:cs="Times New Roman"/>
          <w:sz w:val="24"/>
          <w:szCs w:val="24"/>
        </w:rPr>
        <w:t>H</w:t>
      </w:r>
      <w:r w:rsidRPr="00C963AB">
        <w:rPr>
          <w:rFonts w:ascii="Times New Roman" w:hAnsi="Times New Roman" w:cs="Times New Roman"/>
          <w:sz w:val="24"/>
          <w:szCs w:val="24"/>
          <w:vertAlign w:val="superscript"/>
        </w:rPr>
        <w:t>2</w:t>
      </w:r>
      <w:r w:rsidRPr="00C963AB">
        <w:rPr>
          <w:rFonts w:ascii="Times New Roman" w:hAnsi="Times New Roman" w:cs="Times New Roman"/>
          <w:sz w:val="24"/>
          <w:szCs w:val="24"/>
          <w:vertAlign w:val="subscript"/>
        </w:rPr>
        <w:t>w</w:t>
      </w:r>
      <w:r>
        <w:rPr>
          <w:rFonts w:ascii="Times New Roman" w:hAnsi="Times New Roman" w:cs="Times New Roman"/>
          <w:sz w:val="24"/>
          <w:szCs w:val="24"/>
        </w:rPr>
        <w:t>, Fig. S</w:t>
      </w:r>
      <w:r w:rsidR="006B4F45">
        <w:rPr>
          <w:rFonts w:ascii="Times New Roman" w:hAnsi="Times New Roman" w:cs="Times New Roman"/>
          <w:sz w:val="24"/>
          <w:szCs w:val="24"/>
        </w:rPr>
        <w:t>6</w:t>
      </w:r>
      <w:r>
        <w:rPr>
          <w:rFonts w:ascii="Times New Roman" w:hAnsi="Times New Roman" w:cs="Times New Roman"/>
          <w:sz w:val="24"/>
          <w:szCs w:val="24"/>
        </w:rPr>
        <w:t xml:space="preserve">.). The resulting dragonfly </w:t>
      </w:r>
      <w:proofErr w:type="spellStart"/>
      <w:r>
        <w:rPr>
          <w:rFonts w:ascii="Times New Roman" w:hAnsi="Times New Roman" w:cs="Times New Roman"/>
          <w:sz w:val="24"/>
          <w:szCs w:val="24"/>
        </w:rPr>
        <w:t>isoscape</w:t>
      </w:r>
      <w:proofErr w:type="spellEnd"/>
      <w:r>
        <w:rPr>
          <w:rFonts w:ascii="Times New Roman" w:hAnsi="Times New Roman" w:cs="Times New Roman"/>
          <w:sz w:val="24"/>
          <w:szCs w:val="24"/>
        </w:rPr>
        <w:t xml:space="preserve"> was used to </w:t>
      </w:r>
      <w:r w:rsidRPr="00C963AB">
        <w:rPr>
          <w:rFonts w:ascii="Times New Roman" w:hAnsi="Times New Roman" w:cs="Times New Roman"/>
          <w:sz w:val="24"/>
          <w:szCs w:val="24"/>
        </w:rPr>
        <w:t>determine the</w:t>
      </w:r>
      <w:r>
        <w:rPr>
          <w:rFonts w:ascii="Times New Roman" w:hAnsi="Times New Roman" w:cs="Times New Roman"/>
          <w:sz w:val="24"/>
          <w:szCs w:val="24"/>
        </w:rPr>
        <w:t xml:space="preserve"> </w:t>
      </w:r>
      <w:r w:rsidRPr="00C963AB">
        <w:rPr>
          <w:rFonts w:ascii="Times New Roman" w:hAnsi="Times New Roman" w:cs="Times New Roman"/>
          <w:sz w:val="24"/>
          <w:szCs w:val="24"/>
        </w:rPr>
        <w:t xml:space="preserve">origin of </w:t>
      </w:r>
      <w:r>
        <w:rPr>
          <w:rFonts w:ascii="Times New Roman" w:hAnsi="Times New Roman" w:cs="Times New Roman"/>
          <w:sz w:val="24"/>
          <w:szCs w:val="24"/>
        </w:rPr>
        <w:t>emergence for dragonflies</w:t>
      </w:r>
      <w:r w:rsidRPr="00C963AB">
        <w:rPr>
          <w:rFonts w:ascii="Times New Roman" w:hAnsi="Times New Roman" w:cs="Times New Roman"/>
          <w:sz w:val="24"/>
          <w:szCs w:val="24"/>
        </w:rPr>
        <w:t xml:space="preserve"> collected throughout the year</w:t>
      </w:r>
      <w:r>
        <w:rPr>
          <w:rFonts w:ascii="Times New Roman" w:hAnsi="Times New Roman" w:cs="Times New Roman"/>
          <w:sz w:val="24"/>
          <w:szCs w:val="24"/>
        </w:rPr>
        <w:t xml:space="preserve"> (Fig. S4)</w:t>
      </w:r>
      <w:r w:rsidRPr="00C963AB">
        <w:rPr>
          <w:rFonts w:ascii="Times New Roman" w:hAnsi="Times New Roman" w:cs="Times New Roman"/>
          <w:sz w:val="24"/>
          <w:szCs w:val="24"/>
        </w:rPr>
        <w:t>.</w:t>
      </w:r>
      <w:r>
        <w:rPr>
          <w:rFonts w:ascii="Times New Roman" w:hAnsi="Times New Roman" w:cs="Times New Roman"/>
          <w:sz w:val="24"/>
          <w:szCs w:val="24"/>
        </w:rPr>
        <w:t xml:space="preserve"> </w:t>
      </w:r>
    </w:p>
    <w:p w14:paraId="41C1F9E1" w14:textId="44A7DAD9" w:rsidR="00D55060" w:rsidRDefault="00D55060" w:rsidP="00D55060">
      <w:pPr>
        <w:spacing w:line="480" w:lineRule="auto"/>
        <w:rPr>
          <w:rFonts w:ascii="Times New Roman" w:hAnsi="Times New Roman" w:cs="Times New Roman"/>
          <w:sz w:val="24"/>
          <w:szCs w:val="24"/>
        </w:rPr>
      </w:pPr>
      <w:r>
        <w:rPr>
          <w:rFonts w:ascii="Times New Roman" w:eastAsia="Times New Roman" w:hAnsi="Times New Roman" w:cs="Times New Roman"/>
          <w:i/>
          <w:sz w:val="24"/>
          <w:szCs w:val="24"/>
        </w:rPr>
        <w:t xml:space="preserve">Determining origin of emergence - </w:t>
      </w:r>
      <w:r>
        <w:rPr>
          <w:rFonts w:ascii="Times New Roman" w:hAnsi="Times New Roman" w:cs="Times New Roman"/>
          <w:sz w:val="24"/>
          <w:szCs w:val="24"/>
        </w:rPr>
        <w:t xml:space="preserve">Emergence assignments were conducted using a spatially explicit normal probability density function </w:t>
      </w:r>
      <w:r>
        <w:rPr>
          <w:rFonts w:ascii="Times New Roman" w:hAnsi="Times New Roman" w:cs="Times New Roman"/>
          <w:sz w:val="24"/>
          <w:szCs w:val="24"/>
        </w:rPr>
        <w:fldChar w:fldCharType="begin"/>
      </w:r>
      <w:r w:rsidR="00FF02EC">
        <w:rPr>
          <w:rFonts w:ascii="Times New Roman" w:hAnsi="Times New Roman" w:cs="Times New Roman"/>
          <w:sz w:val="24"/>
          <w:szCs w:val="24"/>
        </w:rPr>
        <w:instrText xml:space="preserve"> ADDIN ZOTERO_ITEM CSL_CITATION {"citationID":"moFvkmGT","properties":{"formattedCitation":"[9]","plainCitation":"[9]","noteIndex":0},"citationItems":[{"id":510,"uris":["http://zotero.org/users/812033/items/E7PWJCT3"],"uri":["http://zotero.org/users/812033/items/E7PWJCT3"],"itemData":{"id":510,"type":"article-journal","title":"The role of species abundance in determining breeding origins of migratory birds with stable isotopes","container-title":"Ecological Applications","page":"1780–1788","volume":"14","issue":"6","source":"Google Scholar","author":[{"family":"Andrew Royle","given":"J."},{"family":"Rubenstein","given":"D. R."}],"issued":{"date-parts":[["2004"]]}}}],"schema":"https://github.com/citation-style-language/schema/raw/master/csl-citation.json"} </w:instrText>
      </w:r>
      <w:r>
        <w:rPr>
          <w:rFonts w:ascii="Times New Roman" w:hAnsi="Times New Roman" w:cs="Times New Roman"/>
          <w:sz w:val="24"/>
          <w:szCs w:val="24"/>
        </w:rPr>
        <w:fldChar w:fldCharType="separate"/>
      </w:r>
      <w:r w:rsidR="00FF02EC" w:rsidRPr="00FF02EC">
        <w:rPr>
          <w:rFonts w:ascii="Times New Roman" w:hAnsi="Times New Roman" w:cs="Times New Roman"/>
          <w:sz w:val="24"/>
        </w:rPr>
        <w:t>[9]</w:t>
      </w:r>
      <w:r>
        <w:rPr>
          <w:rFonts w:ascii="Times New Roman" w:hAnsi="Times New Roman" w:cs="Times New Roman"/>
          <w:sz w:val="24"/>
          <w:szCs w:val="24"/>
        </w:rPr>
        <w:fldChar w:fldCharType="end"/>
      </w:r>
      <w:r>
        <w:rPr>
          <w:rFonts w:ascii="Times New Roman" w:hAnsi="Times New Roman" w:cs="Times New Roman"/>
          <w:sz w:val="24"/>
          <w:szCs w:val="24"/>
        </w:rPr>
        <w:t xml:space="preserve">, where the likelihood that each </w:t>
      </w:r>
      <w:r w:rsidRPr="00C963AB">
        <w:rPr>
          <w:rFonts w:ascii="Times New Roman" w:hAnsi="Times New Roman" w:cs="Times New Roman"/>
          <w:i/>
          <w:sz w:val="24"/>
          <w:szCs w:val="24"/>
        </w:rPr>
        <w:t>δ</w:t>
      </w:r>
      <w:r w:rsidRPr="00C963AB">
        <w:rPr>
          <w:rFonts w:ascii="Times New Roman" w:hAnsi="Times New Roman" w:cs="Times New Roman"/>
          <w:sz w:val="24"/>
          <w:szCs w:val="24"/>
        </w:rPr>
        <w:t>H</w:t>
      </w:r>
      <w:r w:rsidRPr="00C963AB">
        <w:rPr>
          <w:rFonts w:ascii="Times New Roman" w:hAnsi="Times New Roman" w:cs="Times New Roman"/>
          <w:sz w:val="24"/>
          <w:szCs w:val="24"/>
          <w:vertAlign w:val="superscript"/>
        </w:rPr>
        <w:t>2</w:t>
      </w:r>
      <w:r w:rsidRPr="00C963AB">
        <w:rPr>
          <w:rFonts w:ascii="Times New Roman" w:hAnsi="Times New Roman" w:cs="Times New Roman"/>
          <w:sz w:val="24"/>
          <w:szCs w:val="24"/>
          <w:vertAlign w:val="subscript"/>
        </w:rPr>
        <w:t>w</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value, y*, originated from a given location within the surface is </w:t>
      </w:r>
    </w:p>
    <w:p w14:paraId="499C02AE" w14:textId="77777777" w:rsidR="00D55060" w:rsidRPr="00A53AD1" w:rsidRDefault="00D55060" w:rsidP="00D55060">
      <w:pPr>
        <w:spacing w:line="480" w:lineRule="auto"/>
        <w:ind w:firstLine="360"/>
        <w:rPr>
          <w:rFonts w:ascii="Times New Roman" w:hAnsi="Times New Roman" w:cs="Times New Roman"/>
          <w:sz w:val="24"/>
          <w:szCs w:val="24"/>
        </w:rPr>
      </w:pPr>
      <m:oMathPara>
        <m:oMath>
          <m:r>
            <w:rPr>
              <w:rFonts w:ascii="Cambria Math" w:hAnsi="Cambria Math" w:cs="Times New Roman"/>
              <w:sz w:val="24"/>
              <w:szCs w:val="24"/>
            </w:rPr>
            <m:t>f</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e>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b</m:t>
                  </m:r>
                </m:sub>
              </m:sSub>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2ᴨ</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b</m:t>
                      </m:r>
                    </m:sub>
                  </m:sSub>
                </m:e>
              </m:rad>
            </m:den>
          </m:f>
          <m:r>
            <w:rPr>
              <w:rFonts w:ascii="Cambria Math" w:hAnsi="Cambria Math" w:cs="Times New Roman"/>
              <w:sz w:val="24"/>
              <w:szCs w:val="24"/>
            </w:rPr>
            <m:t>exp</m:t>
          </m:r>
          <m:d>
            <m:dPr>
              <m:begChr m:val="["/>
              <m:endChr m:val="]"/>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Sup>
                    <m:sSubSupPr>
                      <m:ctrlPr>
                        <w:rPr>
                          <w:rFonts w:ascii="Cambria Math" w:hAnsi="Cambria Math" w:cs="Times New Roman"/>
                          <w:i/>
                          <w:sz w:val="24"/>
                          <w:szCs w:val="24"/>
                        </w:rPr>
                      </m:ctrlPr>
                    </m:sSubSupPr>
                    <m:e>
                      <m:r>
                        <w:rPr>
                          <w:rFonts w:ascii="Cambria Math" w:hAnsi="Cambria Math" w:cs="Times New Roman"/>
                          <w:sz w:val="24"/>
                          <w:szCs w:val="24"/>
                        </w:rPr>
                        <m:t>2σ</m:t>
                      </m:r>
                    </m:e>
                    <m:sub>
                      <m:r>
                        <w:rPr>
                          <w:rFonts w:ascii="Cambria Math" w:hAnsi="Cambria Math" w:cs="Times New Roman"/>
                          <w:sz w:val="24"/>
                          <w:szCs w:val="24"/>
                        </w:rPr>
                        <m:t>b</m:t>
                      </m:r>
                    </m:sub>
                    <m:sup>
                      <m:r>
                        <w:rPr>
                          <w:rFonts w:ascii="Cambria Math" w:hAnsi="Cambria Math" w:cs="Times New Roman"/>
                          <w:sz w:val="24"/>
                          <w:szCs w:val="24"/>
                        </w:rPr>
                        <m:t>2</m:t>
                      </m:r>
                    </m:sup>
                  </m:sSubSup>
                </m:den>
              </m:f>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b</m:t>
                          </m:r>
                        </m:sub>
                      </m:sSub>
                    </m:e>
                  </m:d>
                </m:e>
                <m:sup>
                  <m:r>
                    <w:rPr>
                      <w:rFonts w:ascii="Cambria Math" w:hAnsi="Cambria Math" w:cs="Times New Roman"/>
                      <w:sz w:val="24"/>
                      <w:szCs w:val="24"/>
                    </w:rPr>
                    <m:t>2</m:t>
                  </m:r>
                </m:sup>
              </m:sSup>
            </m:e>
          </m:d>
        </m:oMath>
      </m:oMathPara>
    </w:p>
    <w:p w14:paraId="011FB42B" w14:textId="15267AD7" w:rsidR="00D55060" w:rsidRPr="00606944" w:rsidRDefault="00D55060" w:rsidP="00D55060">
      <w:pPr>
        <w:spacing w:line="480" w:lineRule="auto"/>
        <w:rPr>
          <w:rFonts w:ascii="Times New Roman" w:hAnsi="Times New Roman" w:cs="Times New Roman"/>
          <w:sz w:val="24"/>
          <w:szCs w:val="24"/>
        </w:rPr>
      </w:pPr>
      <w:r>
        <w:rPr>
          <w:rFonts w:ascii="Times New Roman" w:hAnsi="Times New Roman" w:cs="Times New Roman"/>
          <w:sz w:val="24"/>
          <w:szCs w:val="24"/>
        </w:rPr>
        <w:t xml:space="preserve">where </w:t>
      </w:r>
      <w:proofErr w:type="spellStart"/>
      <w:r>
        <w:rPr>
          <w:rFonts w:ascii="Times New Roman" w:hAnsi="Times New Roman" w:cs="Times New Roman"/>
          <w:sz w:val="24"/>
          <w:szCs w:val="24"/>
        </w:rPr>
        <w:t>μ</w:t>
      </w:r>
      <w:r>
        <w:rPr>
          <w:rFonts w:ascii="Times New Roman" w:hAnsi="Times New Roman" w:cs="Times New Roman"/>
          <w:sz w:val="24"/>
          <w:szCs w:val="24"/>
          <w:vertAlign w:val="superscript"/>
        </w:rPr>
        <w:softHyphen/>
      </w:r>
      <w:r w:rsidRPr="00A53AD1">
        <w:rPr>
          <w:rFonts w:ascii="Times New Roman" w:hAnsi="Times New Roman" w:cs="Times New Roman"/>
          <w:sz w:val="24"/>
          <w:szCs w:val="24"/>
          <w:vertAlign w:val="subscript"/>
        </w:rPr>
        <w:t>b</w:t>
      </w:r>
      <w:proofErr w:type="spellEnd"/>
      <w:r>
        <w:rPr>
          <w:rFonts w:ascii="Times New Roman" w:hAnsi="Times New Roman" w:cs="Times New Roman"/>
          <w:sz w:val="24"/>
          <w:szCs w:val="24"/>
        </w:rPr>
        <w:t xml:space="preserve"> is the specific cell within the dragonfly </w:t>
      </w:r>
      <w:proofErr w:type="spellStart"/>
      <w:r>
        <w:rPr>
          <w:rFonts w:ascii="Times New Roman" w:hAnsi="Times New Roman" w:cs="Times New Roman"/>
          <w:sz w:val="24"/>
          <w:szCs w:val="24"/>
        </w:rPr>
        <w:t>isoscape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σ</w:t>
      </w:r>
      <w:r w:rsidRPr="00A53AD1">
        <w:rPr>
          <w:rFonts w:ascii="Times New Roman" w:hAnsi="Times New Roman" w:cs="Times New Roman"/>
          <w:sz w:val="24"/>
          <w:szCs w:val="24"/>
          <w:vertAlign w:val="subscript"/>
        </w:rPr>
        <w:t>b</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is the standard deviation (15.80 ‰) of the residuals from the discrimination equation (see above). We included the habitat suitability surface as prior information using </w:t>
      </w:r>
      <w:proofErr w:type="spellStart"/>
      <w:r>
        <w:rPr>
          <w:rFonts w:ascii="Times New Roman" w:hAnsi="Times New Roman" w:cs="Times New Roman"/>
          <w:sz w:val="24"/>
          <w:szCs w:val="24"/>
        </w:rPr>
        <w:t>Baye’s</w:t>
      </w:r>
      <w:proofErr w:type="spellEnd"/>
      <w:r>
        <w:rPr>
          <w:rFonts w:ascii="Times New Roman" w:hAnsi="Times New Roman" w:cs="Times New Roman"/>
          <w:sz w:val="24"/>
          <w:szCs w:val="24"/>
        </w:rPr>
        <w:t xml:space="preserve"> rule in our geographic assignments. Doing so increases the likelihood that assignments are made in areas where habitat is suitable and </w:t>
      </w:r>
      <w:r>
        <w:rPr>
          <w:rFonts w:ascii="Times New Roman" w:hAnsi="Times New Roman" w:cs="Times New Roman"/>
          <w:sz w:val="24"/>
          <w:szCs w:val="24"/>
        </w:rPr>
        <w:lastRenderedPageBreak/>
        <w:t xml:space="preserve">decreases the likelihood of assignments being made to areas that are not suitable </w:t>
      </w:r>
      <w:r>
        <w:rPr>
          <w:rFonts w:ascii="Times New Roman" w:hAnsi="Times New Roman" w:cs="Times New Roman"/>
          <w:sz w:val="24"/>
          <w:szCs w:val="24"/>
        </w:rPr>
        <w:fldChar w:fldCharType="begin"/>
      </w:r>
      <w:r w:rsidR="00FF02EC">
        <w:rPr>
          <w:rFonts w:ascii="Times New Roman" w:hAnsi="Times New Roman" w:cs="Times New Roman"/>
          <w:sz w:val="24"/>
          <w:szCs w:val="24"/>
        </w:rPr>
        <w:instrText xml:space="preserve"> ADDIN ZOTERO_ITEM CSL_CITATION {"citationID":"Ik5B3uoy","properties":{"formattedCitation":"[9]","plainCitation":"[9]","noteIndex":0},"citationItems":[{"id":510,"uris":["http://zotero.org/users/812033/items/E7PWJCT3"],"uri":["http://zotero.org/users/812033/items/E7PWJCT3"],"itemData":{"id":510,"type":"article-journal","title":"The role of species abundance in determining breeding origins of migratory birds with stable isotopes","container-title":"Ecological Applications","page":"1780–1788","volume":"14","issue":"6","source":"Google Scholar","author":[{"family":"Andrew Royle","given":"J."},{"family":"Rubenstein","given":"D. R."}],"issued":{"date-parts":[["2004"]]}}}],"schema":"https://github.com/citation-style-language/schema/raw/master/csl-citation.json"} </w:instrText>
      </w:r>
      <w:r>
        <w:rPr>
          <w:rFonts w:ascii="Times New Roman" w:hAnsi="Times New Roman" w:cs="Times New Roman"/>
          <w:sz w:val="24"/>
          <w:szCs w:val="24"/>
        </w:rPr>
        <w:fldChar w:fldCharType="separate"/>
      </w:r>
      <w:r w:rsidR="00FF02EC" w:rsidRPr="00FF02EC">
        <w:rPr>
          <w:rFonts w:ascii="Times New Roman" w:hAnsi="Times New Roman" w:cs="Times New Roman"/>
          <w:sz w:val="24"/>
        </w:rPr>
        <w:t>[9]</w:t>
      </w:r>
      <w:r>
        <w:rPr>
          <w:rFonts w:ascii="Times New Roman" w:hAnsi="Times New Roman" w:cs="Times New Roman"/>
          <w:sz w:val="24"/>
          <w:szCs w:val="24"/>
        </w:rPr>
        <w:fldChar w:fldCharType="end"/>
      </w:r>
      <w:r>
        <w:rPr>
          <w:rFonts w:ascii="Times New Roman" w:hAnsi="Times New Roman" w:cs="Times New Roman"/>
          <w:sz w:val="24"/>
          <w:szCs w:val="24"/>
        </w:rPr>
        <w:t xml:space="preserve">. We truncated emergence assignments for individuals captured in the spring (January – May) to locations south of the 9.17°C isocline to </w:t>
      </w:r>
      <w:r>
        <w:rPr>
          <w:rFonts w:ascii="Times New Roman" w:hAnsi="Times New Roman" w:cs="Times New Roman"/>
          <w:sz w:val="24"/>
        </w:rPr>
        <w:t xml:space="preserve">ensure </w:t>
      </w:r>
      <w:r w:rsidRPr="000E174E">
        <w:rPr>
          <w:rFonts w:ascii="Times New Roman" w:hAnsi="Times New Roman" w:cs="Times New Roman"/>
          <w:sz w:val="24"/>
        </w:rPr>
        <w:t xml:space="preserve">geographic assignments </w:t>
      </w:r>
      <w:r>
        <w:rPr>
          <w:rFonts w:ascii="Times New Roman" w:hAnsi="Times New Roman" w:cs="Times New Roman"/>
          <w:sz w:val="24"/>
        </w:rPr>
        <w:t>were</w:t>
      </w:r>
      <w:r w:rsidRPr="000E174E">
        <w:rPr>
          <w:rFonts w:ascii="Times New Roman" w:hAnsi="Times New Roman" w:cs="Times New Roman"/>
          <w:sz w:val="24"/>
        </w:rPr>
        <w:t xml:space="preserve"> biologically</w:t>
      </w:r>
      <w:r>
        <w:rPr>
          <w:rFonts w:ascii="Times New Roman" w:hAnsi="Times New Roman" w:cs="Times New Roman"/>
          <w:sz w:val="24"/>
        </w:rPr>
        <w:t xml:space="preserve"> plausible</w:t>
      </w:r>
      <w:r>
        <w:rPr>
          <w:rFonts w:ascii="Times New Roman" w:hAnsi="Times New Roman" w:cs="Times New Roman"/>
          <w:sz w:val="24"/>
          <w:szCs w:val="24"/>
        </w:rPr>
        <w:t xml:space="preserve">. The resulting likelihood surface of emergence assignment was converted into a binary surface representing likely and unlikely natal origins following a 3:1 odds ratio </w:t>
      </w:r>
      <w:r>
        <w:rPr>
          <w:rFonts w:ascii="Times New Roman" w:hAnsi="Times New Roman" w:cs="Times New Roman"/>
          <w:sz w:val="24"/>
          <w:szCs w:val="24"/>
        </w:rPr>
        <w:fldChar w:fldCharType="begin"/>
      </w:r>
      <w:r w:rsidR="00FF02EC">
        <w:rPr>
          <w:rFonts w:ascii="Times New Roman" w:hAnsi="Times New Roman" w:cs="Times New Roman"/>
          <w:sz w:val="24"/>
          <w:szCs w:val="24"/>
        </w:rPr>
        <w:instrText xml:space="preserve"> ADDIN ZOTERO_ITEM CSL_CITATION {"citationID":"a1jql5oav5o","properties":{"formattedCitation":"[10]","plainCitation":"[10]","noteIndex":0},"citationItems":[{"id":22,"uris":["http://zotero.org/users/812033/items/2EVMFTDV"],"uri":["http://zotero.org/users/812033/items/2EVMFTDV"],"itemData":{"id":22,"type":"article-journal","title":"Advances in linking wintering migrant birds to their breeding-ground origins using combined analyses of genetic and stable isotope markers","container-title":"PloS one","page":"e43627","volume":"7","issue":"8","source":"Google Scholar","note":"00029","author":[{"family":"Chabot","given":"Amy A."},{"family":"Hobson","given":"Keith A."},{"family":"Van Wilgenburg","given":"Steven L."},{"family":"McQuat","given":"Gregory J."},{"family":"Lougheed","given":"Stephen C."}],"issued":{"date-parts":[["2012"]]}}}],"schema":"https://github.com/citation-style-language/schema/raw/master/csl-citation.json"} </w:instrText>
      </w:r>
      <w:r>
        <w:rPr>
          <w:rFonts w:ascii="Times New Roman" w:hAnsi="Times New Roman" w:cs="Times New Roman"/>
          <w:sz w:val="24"/>
          <w:szCs w:val="24"/>
        </w:rPr>
        <w:fldChar w:fldCharType="separate"/>
      </w:r>
      <w:r w:rsidR="00FF02EC" w:rsidRPr="00FF02EC">
        <w:rPr>
          <w:rFonts w:ascii="Times New Roman" w:hAnsi="Times New Roman" w:cs="Times New Roman"/>
          <w:sz w:val="24"/>
        </w:rPr>
        <w:t>[10]</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84F78C3" w14:textId="77777777" w:rsidR="00D55060" w:rsidRDefault="00D55060" w:rsidP="00D55060">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Delineating populations –</w:t>
      </w:r>
      <w:r>
        <w:rPr>
          <w:rFonts w:ascii="Times New Roman" w:eastAsia="Times New Roman" w:hAnsi="Times New Roman" w:cs="Times New Roman"/>
          <w:sz w:val="24"/>
          <w:szCs w:val="24"/>
        </w:rPr>
        <w:t xml:space="preserve">We categorized capture locations using United States Department of Agriculture hardiness zones (USDA 2012; </w:t>
      </w:r>
      <w:r w:rsidRPr="00AF6E36">
        <w:rPr>
          <w:rFonts w:ascii="Times New Roman" w:eastAsia="Times New Roman" w:hAnsi="Times New Roman" w:cs="Times New Roman"/>
          <w:sz w:val="24"/>
          <w:szCs w:val="24"/>
        </w:rPr>
        <w:t>http://planthardiness.ars.usda.gov</w:t>
      </w:r>
      <w:r>
        <w:rPr>
          <w:rFonts w:ascii="Times New Roman" w:eastAsia="Times New Roman" w:hAnsi="Times New Roman" w:cs="Times New Roman"/>
          <w:sz w:val="24"/>
          <w:szCs w:val="24"/>
        </w:rPr>
        <w:t xml:space="preserve">) which are delineated into thermal zones (5.55°C) based on the average annual minimum temperature. We grouped capture locations that fell within hardiness zones 5-7 and zones 11-14 to increase the sample size in the northern and southern reaches of their distribution, respectively. </w:t>
      </w:r>
    </w:p>
    <w:p w14:paraId="5BD8B1F2" w14:textId="23CE040D" w:rsidR="00D55060" w:rsidRDefault="00D55060" w:rsidP="00D55060">
      <w:pPr>
        <w:spacing w:line="480" w:lineRule="auto"/>
        <w:rPr>
          <w:rFonts w:ascii="Times New Roman" w:eastAsia="Times New Roman" w:hAnsi="Times New Roman" w:cs="Times New Roman"/>
          <w:sz w:val="24"/>
          <w:szCs w:val="24"/>
        </w:rPr>
      </w:pPr>
      <w:r w:rsidRPr="00EA5119">
        <w:rPr>
          <w:rFonts w:ascii="Times New Roman" w:eastAsia="Times New Roman" w:hAnsi="Times New Roman" w:cs="Times New Roman"/>
          <w:i/>
          <w:sz w:val="24"/>
          <w:szCs w:val="24"/>
        </w:rPr>
        <w:t>Annual cycle &amp;  larval phenology</w:t>
      </w:r>
      <w:r>
        <w:rPr>
          <w:rFonts w:ascii="Times New Roman" w:eastAsia="Times New Roman" w:hAnsi="Times New Roman" w:cs="Times New Roman"/>
          <w:sz w:val="24"/>
          <w:szCs w:val="24"/>
        </w:rPr>
        <w:t xml:space="preserve"> - We combined the phenology of migration derived via stable-isotopes with temperature related larval growth</w:t>
      </w:r>
      <w:r>
        <w:rPr>
          <w:rFonts w:ascii="Times New Roman" w:eastAsia="Times New Roman" w:hAnsi="Times New Roman" w:cs="Times New Roman"/>
          <w:sz w:val="24"/>
          <w:szCs w:val="24"/>
        </w:rPr>
        <w:fldChar w:fldCharType="begin"/>
      </w:r>
      <w:r w:rsidR="00FF02EC">
        <w:rPr>
          <w:rFonts w:ascii="Times New Roman" w:eastAsia="Times New Roman" w:hAnsi="Times New Roman" w:cs="Times New Roman"/>
          <w:sz w:val="24"/>
          <w:szCs w:val="24"/>
        </w:rPr>
        <w:instrText xml:space="preserve"> ADDIN ZOTERO_ITEM CSL_CITATION {"citationID":"IQPss6yr","properties":{"formattedCitation":"[11]","plainCitation":"[11]","noteIndex":0},"citationItems":[{"id":3353,"uris":["http://zotero.org/users/812033/items/47EGWUH5"],"uri":["http://zotero.org/users/812033/items/47EGWUH5"],"itemData":{"id":3353,"type":"article-journal","title":"Effect of temperature on the life-cycle of Anax junius (Odonata: Aeshnidae) in Canada","container-title":"The Canadian Entomologist","page":"1671-1683","volume":"103","issue":"12","source":"Cambridge Core","abstract":"AbstractThe effect of temperature on the rate of development of Anax junius Drury was studied. Monthly larval samples were carried out for 2 years and laboratory experiments were conducted at constant temperatures. Field studies, at a eutrophic pond near Toronto, showed that in Canada populations of A. junius are not only maintained by migrants each year but also by residents. Two distinct populations were found, a summer (non-resident) population which developed from oviposition to emergence in approximately 3 months, from June to September, and an overwintering (resident) population which overwintered as half-grown larvae and developed in approximately 11 months from mid-July of one calendar year to the end of June of the next year. The former population was larger and comprised approximately 48% males and the latter was smaller and comprised approximately 41% males. A threshold temperature of development of 8.7° ± 0.1 °C was determined in the laboratory for the development of final-instar larvae of the summer population. The rate of development of final-instar larvae, reared at constant temperature, was similar to that of the entire summer aquatic stages which developed in fluctuating temperature. An average of 1332 degree-days ± 1% was required for development from the onset of oviposition to the onset of emergence of the summer population; whereas 20.5% more degree-days were required for the development of the overwintering population, employing the threshold temperature of 8.7 °C as determined for the summer population.It is recommended that correlation between degree-day totals and duration of larval development be used in further studies as a means for understanding the migration pattern and also the climatic limit of distribution for A. junius.","DOI":"10.4039/Ent1031671-12","ISSN":"1918-3240, 0008-347X","shortTitle":"EFFECT OF TEMPERATURE ON THE LIFE-CYCLE OF &lt;span class=\"italic\"&gt;ANAX JUNIUS&lt;/span&gt; (ODONATA","author":[{"family":"Trottier","given":"Robert"}],"issued":{"date-parts":[["1971",12]]}}}],"schema":"https://github.com/citation-style-language/schema/raw/master/csl-citation.json"} </w:instrText>
      </w:r>
      <w:r>
        <w:rPr>
          <w:rFonts w:ascii="Times New Roman" w:eastAsia="Times New Roman" w:hAnsi="Times New Roman" w:cs="Times New Roman"/>
          <w:sz w:val="24"/>
          <w:szCs w:val="24"/>
        </w:rPr>
        <w:fldChar w:fldCharType="separate"/>
      </w:r>
      <w:r w:rsidR="00FF02EC" w:rsidRPr="00FF02EC">
        <w:rPr>
          <w:rFonts w:ascii="Times New Roman" w:hAnsi="Times New Roman" w:cs="Times New Roman"/>
          <w:sz w:val="24"/>
        </w:rPr>
        <w:t>[11]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and emergence timing</w:t>
      </w:r>
      <w:r>
        <w:rPr>
          <w:rFonts w:ascii="Times New Roman" w:eastAsia="Times New Roman" w:hAnsi="Times New Roman" w:cs="Times New Roman"/>
          <w:sz w:val="24"/>
          <w:szCs w:val="24"/>
        </w:rPr>
        <w:fldChar w:fldCharType="begin"/>
      </w:r>
      <w:r w:rsidR="00FF02EC">
        <w:rPr>
          <w:rFonts w:ascii="Times New Roman" w:eastAsia="Times New Roman" w:hAnsi="Times New Roman" w:cs="Times New Roman"/>
          <w:sz w:val="24"/>
          <w:szCs w:val="24"/>
        </w:rPr>
        <w:instrText xml:space="preserve"> ADDIN ZOTERO_ITEM CSL_CITATION {"citationID":"LHoZMQbh","properties":{"formattedCitation":"[12]","plainCitation":"[12]","noteIndex":0},"citationItems":[{"id":3780,"uris":["http://zotero.org/users/812033/items/E9CRF4J7"],"uri":["http://zotero.org/users/812033/items/E9CRF4J7"],"itemData":{"id":3780,"type":"article-journal","title":"Emergence phenology, uncertainty, and the evolution of migratory behavior in Anax junius (Odonata: Aeshnidae)","container-title":"PLOS ONE","page":"e0183508","volume":"12","issue":"9","source":"PLoS Journals","abstract":"Mass migrations by Odonata, although less studied than those of Monarch butterflies and plague locusts, have provoked comment and study for many years. Relatively recently, increasing interest in dragonflies, supported by new technologies, has resulted in more detailed knowledge of the species involved, behavioral mechanisms, and geographic extent. In this paper we examine, in four independent but complementary studies, how larval habitat and emergence phenology interact with climate to shape the evolution of migratory strategy in Anax junius, a common species throughout much of the eastern United States and southern Canada. In brief, we argue that fish predation on larvae, coupled with the need for ample emergent vegetation for oviposition and adult eclosion, dictates that larval development and survival is optimal in ponds that are neither permanent nor extremely ephemeral. Coupled with annual variation in regional weather and winters in much of their range too cold for adult survival, conditions facing newly emerged A. junius may unpredictably favor either local reproduction or long-distance movement to more favorable areas. Both temperature and hydroperiod tend to favor local reproduction early in the adult activity period and migration later, so late emerging adults are more likely to migrate. No single pond is always predictably suitable or unsuitable, however, so ovipositing females also may spread the risk to their offspring by ovipositing at multiple sites that, for migrants, may be distributed over very long distances.","DOI":"10.1371/journal.pone.0183508","ISSN":"1932-6203","shortTitle":"Emergence phenology, uncertainty, and the evolution of migratory behavior in Anax junius (Odonata","journalAbbreviation":"PLOS ONE","language":"en","author":[{"family":"May","given":"Michael L."},{"family":"Gregoire","given":"John A."},{"family":"Gregoire","given":"Suzanne M."},{"family":"Lubertazzi","given":"Maria Aliberti"},{"family":"Matthews","given":"John H."}],"issued":{"date-parts":[["2017",9,8]]}}}],"schema":"https://github.com/citation-style-language/schema/raw/master/csl-citation.json"} </w:instrText>
      </w:r>
      <w:r>
        <w:rPr>
          <w:rFonts w:ascii="Times New Roman" w:eastAsia="Times New Roman" w:hAnsi="Times New Roman" w:cs="Times New Roman"/>
          <w:sz w:val="24"/>
          <w:szCs w:val="24"/>
        </w:rPr>
        <w:fldChar w:fldCharType="separate"/>
      </w:r>
      <w:r w:rsidR="00FF02EC" w:rsidRPr="00FF02EC">
        <w:rPr>
          <w:rFonts w:ascii="Times New Roman" w:hAnsi="Times New Roman" w:cs="Times New Roman"/>
          <w:sz w:val="24"/>
        </w:rPr>
        <w:t>[12]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to better understand the full annual cycle. We estimated the date of larval emergence based on the number of accumulated growing degree-days (base = 8.7°C</w:t>
      </w:r>
      <w:r>
        <w:rPr>
          <w:rFonts w:ascii="Times New Roman" w:eastAsia="Times New Roman" w:hAnsi="Times New Roman" w:cs="Times New Roman"/>
          <w:sz w:val="24"/>
          <w:szCs w:val="24"/>
        </w:rPr>
        <w:fldChar w:fldCharType="begin"/>
      </w:r>
      <w:r w:rsidR="00FF02EC">
        <w:rPr>
          <w:rFonts w:ascii="Times New Roman" w:eastAsia="Times New Roman" w:hAnsi="Times New Roman" w:cs="Times New Roman"/>
          <w:sz w:val="24"/>
          <w:szCs w:val="24"/>
        </w:rPr>
        <w:instrText xml:space="preserve"> ADDIN ZOTERO_ITEM CSL_CITATION {"citationID":"TeOmTIRe","properties":{"formattedCitation":"[11]","plainCitation":"[11]","noteIndex":0},"citationItems":[{"id":3353,"uris":["http://zotero.org/users/812033/items/47EGWUH5"],"uri":["http://zotero.org/users/812033/items/47EGWUH5"],"itemData":{"id":3353,"type":"article-journal","title":"Effect of temperature on the life-cycle of Anax junius (Odonata: Aeshnidae) in Canada","container-title":"The Canadian Entomologist","page":"1671-1683","volume":"103","issue":"12","source":"Cambridge Core","abstract":"AbstractThe effect of temperature on the rate of development of Anax junius Drury was studied. Monthly larval samples were carried out for 2 years and laboratory experiments were conducted at constant temperatures. Field studies, at a eutrophic pond near Toronto, showed that in Canada populations of A. junius are not only maintained by migrants each year but also by residents. Two distinct populations were found, a summer (non-resident) population which developed from oviposition to emergence in approximately 3 months, from June to September, and an overwintering (resident) population which overwintered as half-grown larvae and developed in approximately 11 months from mid-July of one calendar year to the end of June of the next year. The former population was larger and comprised approximately 48% males and the latter was smaller and comprised approximately 41% males. A threshold temperature of development of 8.7° ± 0.1 °C was determined in the laboratory for the development of final-instar larvae of the summer population. The rate of development of final-instar larvae, reared at constant temperature, was similar to that of the entire summer aquatic stages which developed in fluctuating temperature. An average of 1332 degree-days ± 1% was required for development from the onset of oviposition to the onset of emergence of the summer population; whereas 20.5% more degree-days were required for the development of the overwintering population, employing the threshold temperature of 8.7 °C as determined for the summer population.It is recommended that correlation between degree-day totals and duration of larval development be used in further studies as a means for understanding the migration pattern and also the climatic limit of distribution for A. junius.","DOI":"10.4039/Ent1031671-12","ISSN":"1918-3240, 0008-347X","shortTitle":"EFFECT OF TEMPERATURE ON THE LIFE-CYCLE OF &lt;span class=\"italic\"&gt;ANAX JUNIUS&lt;/span&gt; (ODONATA","author":[{"family":"Trottier","given":"Robert"}],"issued":{"date-parts":[["1971",12]]}}}],"schema":"https://github.com/citation-style-language/schema/raw/master/csl-citation.json"} </w:instrText>
      </w:r>
      <w:r>
        <w:rPr>
          <w:rFonts w:ascii="Times New Roman" w:eastAsia="Times New Roman" w:hAnsi="Times New Roman" w:cs="Times New Roman"/>
          <w:sz w:val="24"/>
          <w:szCs w:val="24"/>
        </w:rPr>
        <w:fldChar w:fldCharType="separate"/>
      </w:r>
      <w:r w:rsidR="00FF02EC" w:rsidRPr="00FF02EC">
        <w:rPr>
          <w:rFonts w:ascii="Times New Roman" w:hAnsi="Times New Roman" w:cs="Times New Roman"/>
          <w:sz w:val="24"/>
        </w:rPr>
        <w:t>[11]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since oviposition. Our estimates of oviposition were constructed from the migration phenology of adults. We assumed larva emerged when the accumulated growing degree-days surpassed 1346</w:t>
      </w:r>
      <w:r>
        <w:rPr>
          <w:rFonts w:ascii="Times New Roman" w:eastAsia="Times New Roman" w:hAnsi="Times New Roman" w:cs="Times New Roman"/>
          <w:sz w:val="24"/>
          <w:szCs w:val="24"/>
        </w:rPr>
        <w:fldChar w:fldCharType="begin"/>
      </w:r>
      <w:r w:rsidR="00FF02EC">
        <w:rPr>
          <w:rFonts w:ascii="Times New Roman" w:eastAsia="Times New Roman" w:hAnsi="Times New Roman" w:cs="Times New Roman"/>
          <w:sz w:val="24"/>
          <w:szCs w:val="24"/>
        </w:rPr>
        <w:instrText xml:space="preserve"> ADDIN ZOTERO_ITEM CSL_CITATION {"citationID":"D70BHfvr","properties":{"formattedCitation":"[11]","plainCitation":"[11]","noteIndex":0},"citationItems":[{"id":3353,"uris":["http://zotero.org/users/812033/items/47EGWUH5"],"uri":["http://zotero.org/users/812033/items/47EGWUH5"],"itemData":{"id":3353,"type":"article-journal","title":"Effect of temperature on the life-cycle of Anax junius (Odonata: Aeshnidae) in Canada","container-title":"The Canadian Entomologist","page":"1671-1683","volume":"103","issue":"12","source":"Cambridge Core","abstract":"AbstractThe effect of temperature on the rate of development of Anax junius Drury was studied. Monthly larval samples were carried out for 2 years and laboratory experiments were conducted at constant temperatures. Field studies, at a eutrophic pond near Toronto, showed that in Canada populations of A. junius are not only maintained by migrants each year but also by residents. Two distinct populations were found, a summer (non-resident) population which developed from oviposition to emergence in approximately 3 months, from June to September, and an overwintering (resident) population which overwintered as half-grown larvae and developed in approximately 11 months from mid-July of one calendar year to the end of June of the next year. The former population was larger and comprised approximately 48% males and the latter was smaller and comprised approximately 41% males. A threshold temperature of development of 8.7° ± 0.1 °C was determined in the laboratory for the development of final-instar larvae of the summer population. The rate of development of final-instar larvae, reared at constant temperature, was similar to that of the entire summer aquatic stages which developed in fluctuating temperature. An average of 1332 degree-days ± 1% was required for development from the onset of oviposition to the onset of emergence of the summer population; whereas 20.5% more degree-days were required for the development of the overwintering population, employing the threshold temperature of 8.7 °C as determined for the summer population.It is recommended that correlation between degree-day totals and duration of larval development be used in further studies as a means for understanding the migration pattern and also the climatic limit of distribution for A. junius.","DOI":"10.4039/Ent1031671-12","ISSN":"1918-3240, 0008-347X","shortTitle":"EFFECT OF TEMPERATURE ON THE LIFE-CYCLE OF &lt;span class=\"italic\"&gt;ANAX JUNIUS&lt;/span&gt; (ODONATA","author":[{"family":"Trottier","given":"Robert"}],"issued":{"date-parts":[["1971",12]]}}}],"schema":"https://github.com/citation-style-language/schema/raw/master/csl-citation.json"} </w:instrText>
      </w:r>
      <w:r>
        <w:rPr>
          <w:rFonts w:ascii="Times New Roman" w:eastAsia="Times New Roman" w:hAnsi="Times New Roman" w:cs="Times New Roman"/>
          <w:sz w:val="24"/>
          <w:szCs w:val="24"/>
        </w:rPr>
        <w:fldChar w:fldCharType="separate"/>
      </w:r>
      <w:r w:rsidR="00FF02EC" w:rsidRPr="00FF02EC">
        <w:rPr>
          <w:rFonts w:ascii="Times New Roman" w:hAnsi="Times New Roman" w:cs="Times New Roman"/>
          <w:sz w:val="24"/>
        </w:rPr>
        <w:t>[11]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Degree-day accumulation was derived from daily temperature minima and maxima from 1994-2014.</w:t>
      </w:r>
      <w:r w:rsidRPr="009F6E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Surface temperature was used as a proxy for surface water temperatures. Spatial-explicit daily temperature estimates were obtained from PRISM Gridded Climate Data</w:t>
      </w:r>
      <w:r>
        <w:rPr>
          <w:rFonts w:ascii="Times New Roman" w:eastAsia="Times New Roman" w:hAnsi="Times New Roman" w:cs="Times New Roman"/>
          <w:sz w:val="24"/>
          <w:szCs w:val="24"/>
        </w:rPr>
        <w:fldChar w:fldCharType="begin"/>
      </w:r>
      <w:r w:rsidR="00FF02EC">
        <w:rPr>
          <w:rFonts w:ascii="Times New Roman" w:eastAsia="Times New Roman" w:hAnsi="Times New Roman" w:cs="Times New Roman"/>
          <w:sz w:val="24"/>
          <w:szCs w:val="24"/>
        </w:rPr>
        <w:instrText xml:space="preserve"> ADDIN ZOTERO_ITEM CSL_CITATION {"citationID":"SvwE9xzW","properties":{"formattedCitation":"[1]","plainCitation":"[1]","noteIndex":0},"citationItems":[{"id":3810,"uris":["http://zotero.org/users/812033/items/J8PPKAMP"],"uri":["http://zotero.org/users/812033/items/J8PPKAMP"],"itemData":{"id":3810,"type":"article","title":"PRISM Climate Group, Oregon State University, http://prism.oregonstate.edu","issued":{"date-parts":[["2018",7,20]]}}}],"schema":"https://github.com/citation-style-language/schema/raw/master/csl-citation.json"} </w:instrText>
      </w:r>
      <w:r>
        <w:rPr>
          <w:rFonts w:ascii="Times New Roman" w:eastAsia="Times New Roman" w:hAnsi="Times New Roman" w:cs="Times New Roman"/>
          <w:sz w:val="24"/>
          <w:szCs w:val="24"/>
        </w:rPr>
        <w:fldChar w:fldCharType="separate"/>
      </w:r>
      <w:r w:rsidRPr="00D55060">
        <w:rPr>
          <w:rFonts w:ascii="Times New Roman" w:hAnsi="Times New Roman" w:cs="Times New Roman"/>
          <w:sz w:val="24"/>
        </w:rPr>
        <w:t>[1]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232F85CE" w14:textId="77777777" w:rsidR="00D55060" w:rsidRPr="001B7C7C" w:rsidRDefault="00D55060" w:rsidP="00D55060">
      <w:pPr>
        <w:spacing w:line="480" w:lineRule="auto"/>
        <w:rPr>
          <w:rFonts w:ascii="Times New Roman" w:eastAsia="Times New Roman" w:hAnsi="Times New Roman" w:cs="Times New Roman"/>
          <w:sz w:val="24"/>
          <w:szCs w:val="24"/>
        </w:rPr>
      </w:pPr>
    </w:p>
    <w:p w14:paraId="712CF119" w14:textId="77777777" w:rsidR="00D55060" w:rsidRDefault="00D55060" w:rsidP="00D55060">
      <w:pPr>
        <w:rPr>
          <w:rFonts w:ascii="Times New Roman" w:eastAsia="Times New Roman" w:hAnsi="Times New Roman" w:cs="Times New Roman"/>
          <w:sz w:val="24"/>
          <w:szCs w:val="24"/>
        </w:rPr>
      </w:pPr>
    </w:p>
    <w:p w14:paraId="62F12EC6" w14:textId="7451BBB3" w:rsidR="00D55060" w:rsidRDefault="00D55060" w:rsidP="00D55060">
      <w:pPr>
        <w:rPr>
          <w:rFonts w:ascii="Times New Roman" w:eastAsia="Times New Roman" w:hAnsi="Times New Roman" w:cs="Times New Roman"/>
          <w:sz w:val="24"/>
          <w:szCs w:val="24"/>
        </w:rPr>
      </w:pPr>
      <w:r>
        <w:rPr>
          <w:rFonts w:ascii="Times New Roman" w:eastAsia="Times New Roman" w:hAnsi="Times New Roman" w:cs="Times New Roman"/>
          <w:sz w:val="24"/>
          <w:szCs w:val="24"/>
        </w:rPr>
        <w:t>SUPPLEMENTAL REFERENCES:</w:t>
      </w:r>
    </w:p>
    <w:p w14:paraId="6802DBCB" w14:textId="77777777" w:rsidR="00FF02EC" w:rsidRPr="00FF02EC" w:rsidRDefault="00D55060" w:rsidP="00FF02EC">
      <w:pPr>
        <w:pStyle w:val="Bibliography"/>
        <w:rPr>
          <w:rFonts w:ascii="Times New Roman" w:hAnsi="Times New Roman" w:cs="Times New Roman"/>
          <w:sz w:val="24"/>
        </w:rPr>
      </w:pPr>
      <w:r>
        <w:rPr>
          <w:rFonts w:eastAsia="Times New Roman"/>
        </w:rPr>
        <w:lastRenderedPageBreak/>
        <w:fldChar w:fldCharType="begin"/>
      </w:r>
      <w:r w:rsidR="00FF02EC">
        <w:rPr>
          <w:rFonts w:eastAsia="Times New Roman"/>
        </w:rPr>
        <w:instrText xml:space="preserve"> ADDIN ZOTERO_BIBL {"uncited":[],"omitted":[],"custom":[]} CSL_BIBLIOGRAPHY </w:instrText>
      </w:r>
      <w:r>
        <w:rPr>
          <w:rFonts w:eastAsia="Times New Roman"/>
        </w:rPr>
        <w:fldChar w:fldCharType="separate"/>
      </w:r>
      <w:r w:rsidR="00FF02EC" w:rsidRPr="00FF02EC">
        <w:rPr>
          <w:rFonts w:ascii="Times New Roman" w:hAnsi="Times New Roman" w:cs="Times New Roman"/>
          <w:sz w:val="24"/>
        </w:rPr>
        <w:t>1.</w:t>
      </w:r>
      <w:r w:rsidR="00FF02EC" w:rsidRPr="00FF02EC">
        <w:rPr>
          <w:rFonts w:ascii="Times New Roman" w:hAnsi="Times New Roman" w:cs="Times New Roman"/>
          <w:sz w:val="24"/>
        </w:rPr>
        <w:tab/>
        <w:t xml:space="preserve">2018 PRISM Climate Group, Oregon State University, http://prism.oregonstate.edu. </w:t>
      </w:r>
    </w:p>
    <w:p w14:paraId="50B6EA3D" w14:textId="77777777" w:rsidR="00FF02EC" w:rsidRPr="00FF02EC" w:rsidRDefault="00FF02EC" w:rsidP="00FF02EC">
      <w:pPr>
        <w:pStyle w:val="Bibliography"/>
        <w:rPr>
          <w:rFonts w:ascii="Times New Roman" w:hAnsi="Times New Roman" w:cs="Times New Roman"/>
          <w:sz w:val="24"/>
        </w:rPr>
      </w:pPr>
      <w:r w:rsidRPr="00FF02EC">
        <w:rPr>
          <w:rFonts w:ascii="Times New Roman" w:hAnsi="Times New Roman" w:cs="Times New Roman"/>
          <w:sz w:val="24"/>
        </w:rPr>
        <w:t>2.</w:t>
      </w:r>
      <w:r w:rsidRPr="00FF02EC">
        <w:rPr>
          <w:rFonts w:ascii="Times New Roman" w:hAnsi="Times New Roman" w:cs="Times New Roman"/>
          <w:sz w:val="24"/>
        </w:rPr>
        <w:tab/>
        <w:t>GBIF.org. 2018 GBIF Occurrence Download. See https://doi.org/10.15468/dl.pw0uol (accessed on 3 December 2018).</w:t>
      </w:r>
    </w:p>
    <w:p w14:paraId="14450ACB" w14:textId="77777777" w:rsidR="00FF02EC" w:rsidRPr="00FF02EC" w:rsidRDefault="00FF02EC" w:rsidP="00FF02EC">
      <w:pPr>
        <w:pStyle w:val="Bibliography"/>
        <w:rPr>
          <w:rFonts w:ascii="Times New Roman" w:hAnsi="Times New Roman" w:cs="Times New Roman"/>
          <w:sz w:val="24"/>
        </w:rPr>
      </w:pPr>
      <w:r w:rsidRPr="00FF02EC">
        <w:rPr>
          <w:rFonts w:ascii="Times New Roman" w:hAnsi="Times New Roman" w:cs="Times New Roman"/>
          <w:sz w:val="24"/>
        </w:rPr>
        <w:t>3.</w:t>
      </w:r>
      <w:r w:rsidRPr="00FF02EC">
        <w:rPr>
          <w:rFonts w:ascii="Times New Roman" w:hAnsi="Times New Roman" w:cs="Times New Roman"/>
          <w:sz w:val="24"/>
        </w:rPr>
        <w:tab/>
        <w:t xml:space="preserve">Phillips SJ, Anderson RP, Dudík M, Schapire RE, Blair ME. 2017 Opening the black box: an open-source release of Maxent. </w:t>
      </w:r>
      <w:r w:rsidRPr="00FF02EC">
        <w:rPr>
          <w:rFonts w:ascii="Times New Roman" w:hAnsi="Times New Roman" w:cs="Times New Roman"/>
          <w:i/>
          <w:iCs/>
          <w:sz w:val="24"/>
        </w:rPr>
        <w:t>Ecography</w:t>
      </w:r>
      <w:r w:rsidRPr="00FF02EC">
        <w:rPr>
          <w:rFonts w:ascii="Times New Roman" w:hAnsi="Times New Roman" w:cs="Times New Roman"/>
          <w:sz w:val="24"/>
        </w:rPr>
        <w:t xml:space="preserve"> </w:t>
      </w:r>
      <w:r w:rsidRPr="00FF02EC">
        <w:rPr>
          <w:rFonts w:ascii="Times New Roman" w:hAnsi="Times New Roman" w:cs="Times New Roman"/>
          <w:b/>
          <w:bCs/>
          <w:sz w:val="24"/>
        </w:rPr>
        <w:t>40</w:t>
      </w:r>
      <w:r w:rsidRPr="00FF02EC">
        <w:rPr>
          <w:rFonts w:ascii="Times New Roman" w:hAnsi="Times New Roman" w:cs="Times New Roman"/>
          <w:sz w:val="24"/>
        </w:rPr>
        <w:t>, 887–893. (doi:10.1111/ecog.03049)</w:t>
      </w:r>
    </w:p>
    <w:p w14:paraId="37BBBF0D" w14:textId="77777777" w:rsidR="00FF02EC" w:rsidRPr="00FF02EC" w:rsidRDefault="00FF02EC" w:rsidP="00FF02EC">
      <w:pPr>
        <w:pStyle w:val="Bibliography"/>
        <w:rPr>
          <w:rFonts w:ascii="Times New Roman" w:hAnsi="Times New Roman" w:cs="Times New Roman"/>
          <w:sz w:val="24"/>
        </w:rPr>
      </w:pPr>
      <w:r w:rsidRPr="00FF02EC">
        <w:rPr>
          <w:rFonts w:ascii="Times New Roman" w:hAnsi="Times New Roman" w:cs="Times New Roman"/>
          <w:sz w:val="24"/>
        </w:rPr>
        <w:t>4.</w:t>
      </w:r>
      <w:r w:rsidRPr="00FF02EC">
        <w:rPr>
          <w:rFonts w:ascii="Times New Roman" w:hAnsi="Times New Roman" w:cs="Times New Roman"/>
          <w:sz w:val="24"/>
        </w:rPr>
        <w:tab/>
        <w:t xml:space="preserve">R Core Team. 2016 </w:t>
      </w:r>
      <w:r w:rsidRPr="00FF02EC">
        <w:rPr>
          <w:rFonts w:ascii="Times New Roman" w:hAnsi="Times New Roman" w:cs="Times New Roman"/>
          <w:i/>
          <w:iCs/>
          <w:sz w:val="24"/>
        </w:rPr>
        <w:t>R: A language and environment for statistical computing. R Foundation for Statistical Computing</w:t>
      </w:r>
      <w:r w:rsidRPr="00FF02EC">
        <w:rPr>
          <w:rFonts w:ascii="Times New Roman" w:hAnsi="Times New Roman" w:cs="Times New Roman"/>
          <w:sz w:val="24"/>
        </w:rPr>
        <w:t>. Vienna, Austria. See https://www.R-project.org/.</w:t>
      </w:r>
    </w:p>
    <w:p w14:paraId="389D1D21" w14:textId="77777777" w:rsidR="00FF02EC" w:rsidRPr="00FF02EC" w:rsidRDefault="00FF02EC" w:rsidP="00FF02EC">
      <w:pPr>
        <w:pStyle w:val="Bibliography"/>
        <w:rPr>
          <w:rFonts w:ascii="Times New Roman" w:hAnsi="Times New Roman" w:cs="Times New Roman"/>
          <w:sz w:val="24"/>
        </w:rPr>
      </w:pPr>
      <w:r w:rsidRPr="00FF02EC">
        <w:rPr>
          <w:rFonts w:ascii="Times New Roman" w:hAnsi="Times New Roman" w:cs="Times New Roman"/>
          <w:sz w:val="24"/>
        </w:rPr>
        <w:t>5.</w:t>
      </w:r>
      <w:r w:rsidRPr="00FF02EC">
        <w:rPr>
          <w:rFonts w:ascii="Times New Roman" w:hAnsi="Times New Roman" w:cs="Times New Roman"/>
          <w:sz w:val="24"/>
        </w:rPr>
        <w:tab/>
        <w:t xml:space="preserve">Hijmans RJ, Phillips S, Elith JL and J. 2017 </w:t>
      </w:r>
      <w:r w:rsidRPr="00FF02EC">
        <w:rPr>
          <w:rFonts w:ascii="Times New Roman" w:hAnsi="Times New Roman" w:cs="Times New Roman"/>
          <w:i/>
          <w:iCs/>
          <w:sz w:val="24"/>
        </w:rPr>
        <w:t>dismo: Species Distribution Modeling</w:t>
      </w:r>
      <w:r w:rsidRPr="00FF02EC">
        <w:rPr>
          <w:rFonts w:ascii="Times New Roman" w:hAnsi="Times New Roman" w:cs="Times New Roman"/>
          <w:sz w:val="24"/>
        </w:rPr>
        <w:t>. See https://CRAN.R-project.org/package=dismo.</w:t>
      </w:r>
    </w:p>
    <w:p w14:paraId="7E7358CC" w14:textId="77777777" w:rsidR="00FF02EC" w:rsidRPr="00FF02EC" w:rsidRDefault="00FF02EC" w:rsidP="00FF02EC">
      <w:pPr>
        <w:pStyle w:val="Bibliography"/>
        <w:rPr>
          <w:rFonts w:ascii="Times New Roman" w:hAnsi="Times New Roman" w:cs="Times New Roman"/>
          <w:sz w:val="24"/>
        </w:rPr>
      </w:pPr>
      <w:r w:rsidRPr="00FF02EC">
        <w:rPr>
          <w:rFonts w:ascii="Times New Roman" w:hAnsi="Times New Roman" w:cs="Times New Roman"/>
          <w:sz w:val="24"/>
        </w:rPr>
        <w:t>6.</w:t>
      </w:r>
      <w:r w:rsidRPr="00FF02EC">
        <w:rPr>
          <w:rFonts w:ascii="Times New Roman" w:hAnsi="Times New Roman" w:cs="Times New Roman"/>
          <w:sz w:val="24"/>
        </w:rPr>
        <w:tab/>
        <w:t xml:space="preserve">Hijmans RJ, van Etten J. 2010 raster: Geographic analysis and modeling with raster data. </w:t>
      </w:r>
      <w:r w:rsidRPr="00FF02EC">
        <w:rPr>
          <w:rFonts w:ascii="Times New Roman" w:hAnsi="Times New Roman" w:cs="Times New Roman"/>
          <w:i/>
          <w:iCs/>
          <w:sz w:val="24"/>
        </w:rPr>
        <w:t>R Package Version</w:t>
      </w:r>
      <w:r w:rsidRPr="00FF02EC">
        <w:rPr>
          <w:rFonts w:ascii="Times New Roman" w:hAnsi="Times New Roman" w:cs="Times New Roman"/>
          <w:sz w:val="24"/>
        </w:rPr>
        <w:t xml:space="preserve"> </w:t>
      </w:r>
      <w:r w:rsidRPr="00FF02EC">
        <w:rPr>
          <w:rFonts w:ascii="Times New Roman" w:hAnsi="Times New Roman" w:cs="Times New Roman"/>
          <w:b/>
          <w:bCs/>
          <w:sz w:val="24"/>
        </w:rPr>
        <w:t>1</w:t>
      </w:r>
      <w:r w:rsidRPr="00FF02EC">
        <w:rPr>
          <w:rFonts w:ascii="Times New Roman" w:hAnsi="Times New Roman" w:cs="Times New Roman"/>
          <w:sz w:val="24"/>
        </w:rPr>
        <w:t>, r948.</w:t>
      </w:r>
    </w:p>
    <w:p w14:paraId="2A2273D6" w14:textId="77777777" w:rsidR="00FF02EC" w:rsidRPr="00FF02EC" w:rsidRDefault="00FF02EC" w:rsidP="00FF02EC">
      <w:pPr>
        <w:pStyle w:val="Bibliography"/>
        <w:rPr>
          <w:rFonts w:ascii="Times New Roman" w:hAnsi="Times New Roman" w:cs="Times New Roman"/>
          <w:sz w:val="24"/>
        </w:rPr>
      </w:pPr>
      <w:r w:rsidRPr="00FF02EC">
        <w:rPr>
          <w:rFonts w:ascii="Times New Roman" w:hAnsi="Times New Roman" w:cs="Times New Roman"/>
          <w:sz w:val="24"/>
        </w:rPr>
        <w:t>7.</w:t>
      </w:r>
      <w:r w:rsidRPr="00FF02EC">
        <w:rPr>
          <w:rFonts w:ascii="Times New Roman" w:hAnsi="Times New Roman" w:cs="Times New Roman"/>
          <w:sz w:val="24"/>
        </w:rPr>
        <w:tab/>
        <w:t xml:space="preserve">Wassenaar LI, Hobson KA. 2003 Comparative equilibration and online technique for determination of non-exchangeable hydrogen of keratins for use in animal migration studies. </w:t>
      </w:r>
      <w:r w:rsidRPr="00FF02EC">
        <w:rPr>
          <w:rFonts w:ascii="Times New Roman" w:hAnsi="Times New Roman" w:cs="Times New Roman"/>
          <w:i/>
          <w:iCs/>
          <w:sz w:val="24"/>
        </w:rPr>
        <w:t>Isotopes Environ. Health Stud.</w:t>
      </w:r>
      <w:r w:rsidRPr="00FF02EC">
        <w:rPr>
          <w:rFonts w:ascii="Times New Roman" w:hAnsi="Times New Roman" w:cs="Times New Roman"/>
          <w:sz w:val="24"/>
        </w:rPr>
        <w:t xml:space="preserve"> </w:t>
      </w:r>
      <w:r w:rsidRPr="00FF02EC">
        <w:rPr>
          <w:rFonts w:ascii="Times New Roman" w:hAnsi="Times New Roman" w:cs="Times New Roman"/>
          <w:b/>
          <w:bCs/>
          <w:sz w:val="24"/>
        </w:rPr>
        <w:t>39</w:t>
      </w:r>
      <w:r w:rsidRPr="00FF02EC">
        <w:rPr>
          <w:rFonts w:ascii="Times New Roman" w:hAnsi="Times New Roman" w:cs="Times New Roman"/>
          <w:sz w:val="24"/>
        </w:rPr>
        <w:t>, 211–217.</w:t>
      </w:r>
    </w:p>
    <w:p w14:paraId="06C2979C" w14:textId="77777777" w:rsidR="00FF02EC" w:rsidRPr="00FF02EC" w:rsidRDefault="00FF02EC" w:rsidP="00FF02EC">
      <w:pPr>
        <w:pStyle w:val="Bibliography"/>
        <w:rPr>
          <w:rFonts w:ascii="Times New Roman" w:hAnsi="Times New Roman" w:cs="Times New Roman"/>
          <w:sz w:val="24"/>
        </w:rPr>
      </w:pPr>
      <w:r w:rsidRPr="00FF02EC">
        <w:rPr>
          <w:rFonts w:ascii="Times New Roman" w:hAnsi="Times New Roman" w:cs="Times New Roman"/>
          <w:sz w:val="24"/>
        </w:rPr>
        <w:t>8.</w:t>
      </w:r>
      <w:r w:rsidRPr="00FF02EC">
        <w:rPr>
          <w:rFonts w:ascii="Times New Roman" w:hAnsi="Times New Roman" w:cs="Times New Roman"/>
          <w:sz w:val="24"/>
        </w:rPr>
        <w:tab/>
        <w:t xml:space="preserve">Bowen GJ, Wassenaar LI, Hobson KA. 2005 Global application of stable hydrogen and oxygen isotopes to wildlife forensics. </w:t>
      </w:r>
      <w:r w:rsidRPr="00FF02EC">
        <w:rPr>
          <w:rFonts w:ascii="Times New Roman" w:hAnsi="Times New Roman" w:cs="Times New Roman"/>
          <w:i/>
          <w:iCs/>
          <w:sz w:val="24"/>
        </w:rPr>
        <w:t>Oecologia</w:t>
      </w:r>
      <w:r w:rsidRPr="00FF02EC">
        <w:rPr>
          <w:rFonts w:ascii="Times New Roman" w:hAnsi="Times New Roman" w:cs="Times New Roman"/>
          <w:sz w:val="24"/>
        </w:rPr>
        <w:t xml:space="preserve"> </w:t>
      </w:r>
      <w:r w:rsidRPr="00FF02EC">
        <w:rPr>
          <w:rFonts w:ascii="Times New Roman" w:hAnsi="Times New Roman" w:cs="Times New Roman"/>
          <w:b/>
          <w:bCs/>
          <w:sz w:val="24"/>
        </w:rPr>
        <w:t>143</w:t>
      </w:r>
      <w:r w:rsidRPr="00FF02EC">
        <w:rPr>
          <w:rFonts w:ascii="Times New Roman" w:hAnsi="Times New Roman" w:cs="Times New Roman"/>
          <w:sz w:val="24"/>
        </w:rPr>
        <w:t>, 337–348.</w:t>
      </w:r>
    </w:p>
    <w:p w14:paraId="723EFE5B" w14:textId="77777777" w:rsidR="00FF02EC" w:rsidRPr="00FF02EC" w:rsidRDefault="00FF02EC" w:rsidP="00FF02EC">
      <w:pPr>
        <w:pStyle w:val="Bibliography"/>
        <w:rPr>
          <w:rFonts w:ascii="Times New Roman" w:hAnsi="Times New Roman" w:cs="Times New Roman"/>
          <w:sz w:val="24"/>
        </w:rPr>
      </w:pPr>
      <w:r w:rsidRPr="00FF02EC">
        <w:rPr>
          <w:rFonts w:ascii="Times New Roman" w:hAnsi="Times New Roman" w:cs="Times New Roman"/>
          <w:sz w:val="24"/>
        </w:rPr>
        <w:t>9.</w:t>
      </w:r>
      <w:r w:rsidRPr="00FF02EC">
        <w:rPr>
          <w:rFonts w:ascii="Times New Roman" w:hAnsi="Times New Roman" w:cs="Times New Roman"/>
          <w:sz w:val="24"/>
        </w:rPr>
        <w:tab/>
        <w:t xml:space="preserve">Andrew Royle J, Rubenstein DR. 2004 The role of species abundance in determining breeding origins of migratory birds with stable isotopes. </w:t>
      </w:r>
      <w:r w:rsidRPr="00FF02EC">
        <w:rPr>
          <w:rFonts w:ascii="Times New Roman" w:hAnsi="Times New Roman" w:cs="Times New Roman"/>
          <w:i/>
          <w:iCs/>
          <w:sz w:val="24"/>
        </w:rPr>
        <w:t>Ecol. Appl.</w:t>
      </w:r>
      <w:r w:rsidRPr="00FF02EC">
        <w:rPr>
          <w:rFonts w:ascii="Times New Roman" w:hAnsi="Times New Roman" w:cs="Times New Roman"/>
          <w:sz w:val="24"/>
        </w:rPr>
        <w:t xml:space="preserve"> </w:t>
      </w:r>
      <w:r w:rsidRPr="00FF02EC">
        <w:rPr>
          <w:rFonts w:ascii="Times New Roman" w:hAnsi="Times New Roman" w:cs="Times New Roman"/>
          <w:b/>
          <w:bCs/>
          <w:sz w:val="24"/>
        </w:rPr>
        <w:t>14</w:t>
      </w:r>
      <w:r w:rsidRPr="00FF02EC">
        <w:rPr>
          <w:rFonts w:ascii="Times New Roman" w:hAnsi="Times New Roman" w:cs="Times New Roman"/>
          <w:sz w:val="24"/>
        </w:rPr>
        <w:t>, 1780–1788.</w:t>
      </w:r>
    </w:p>
    <w:p w14:paraId="75B0DC38" w14:textId="77777777" w:rsidR="00FF02EC" w:rsidRPr="00FF02EC" w:rsidRDefault="00FF02EC" w:rsidP="00FF02EC">
      <w:pPr>
        <w:pStyle w:val="Bibliography"/>
        <w:rPr>
          <w:rFonts w:ascii="Times New Roman" w:hAnsi="Times New Roman" w:cs="Times New Roman"/>
          <w:sz w:val="24"/>
        </w:rPr>
      </w:pPr>
      <w:r w:rsidRPr="00FF02EC">
        <w:rPr>
          <w:rFonts w:ascii="Times New Roman" w:hAnsi="Times New Roman" w:cs="Times New Roman"/>
          <w:sz w:val="24"/>
        </w:rPr>
        <w:t>10.</w:t>
      </w:r>
      <w:r w:rsidRPr="00FF02EC">
        <w:rPr>
          <w:rFonts w:ascii="Times New Roman" w:hAnsi="Times New Roman" w:cs="Times New Roman"/>
          <w:sz w:val="24"/>
        </w:rPr>
        <w:tab/>
        <w:t xml:space="preserve">Chabot AA, Hobson KA, Van Wilgenburg SL, McQuat GJ, Lougheed SC. 2012 Advances in linking wintering migrant birds to their breeding-ground origins using combined analyses of genetic and stable isotope markers. </w:t>
      </w:r>
      <w:r w:rsidRPr="00FF02EC">
        <w:rPr>
          <w:rFonts w:ascii="Times New Roman" w:hAnsi="Times New Roman" w:cs="Times New Roman"/>
          <w:i/>
          <w:iCs/>
          <w:sz w:val="24"/>
        </w:rPr>
        <w:t>PloS One</w:t>
      </w:r>
      <w:r w:rsidRPr="00FF02EC">
        <w:rPr>
          <w:rFonts w:ascii="Times New Roman" w:hAnsi="Times New Roman" w:cs="Times New Roman"/>
          <w:sz w:val="24"/>
        </w:rPr>
        <w:t xml:space="preserve"> </w:t>
      </w:r>
      <w:r w:rsidRPr="00FF02EC">
        <w:rPr>
          <w:rFonts w:ascii="Times New Roman" w:hAnsi="Times New Roman" w:cs="Times New Roman"/>
          <w:b/>
          <w:bCs/>
          <w:sz w:val="24"/>
        </w:rPr>
        <w:t>7</w:t>
      </w:r>
      <w:r w:rsidRPr="00FF02EC">
        <w:rPr>
          <w:rFonts w:ascii="Times New Roman" w:hAnsi="Times New Roman" w:cs="Times New Roman"/>
          <w:sz w:val="24"/>
        </w:rPr>
        <w:t>, e43627.</w:t>
      </w:r>
    </w:p>
    <w:p w14:paraId="1CFD5797" w14:textId="77777777" w:rsidR="00FF02EC" w:rsidRPr="00FF02EC" w:rsidRDefault="00FF02EC" w:rsidP="00FF02EC">
      <w:pPr>
        <w:pStyle w:val="Bibliography"/>
        <w:rPr>
          <w:rFonts w:ascii="Times New Roman" w:hAnsi="Times New Roman" w:cs="Times New Roman"/>
          <w:sz w:val="24"/>
        </w:rPr>
      </w:pPr>
      <w:r w:rsidRPr="00FF02EC">
        <w:rPr>
          <w:rFonts w:ascii="Times New Roman" w:hAnsi="Times New Roman" w:cs="Times New Roman"/>
          <w:sz w:val="24"/>
        </w:rPr>
        <w:t>11.</w:t>
      </w:r>
      <w:r w:rsidRPr="00FF02EC">
        <w:rPr>
          <w:rFonts w:ascii="Times New Roman" w:hAnsi="Times New Roman" w:cs="Times New Roman"/>
          <w:sz w:val="24"/>
        </w:rPr>
        <w:tab/>
        <w:t xml:space="preserve">Trottier R. 1971 Effect of temperature on the life-cycle of Anax junius (Odonata: Aeshnidae) in Canada. </w:t>
      </w:r>
      <w:r w:rsidRPr="00FF02EC">
        <w:rPr>
          <w:rFonts w:ascii="Times New Roman" w:hAnsi="Times New Roman" w:cs="Times New Roman"/>
          <w:i/>
          <w:iCs/>
          <w:sz w:val="24"/>
        </w:rPr>
        <w:t>Can. Entomol.</w:t>
      </w:r>
      <w:r w:rsidRPr="00FF02EC">
        <w:rPr>
          <w:rFonts w:ascii="Times New Roman" w:hAnsi="Times New Roman" w:cs="Times New Roman"/>
          <w:sz w:val="24"/>
        </w:rPr>
        <w:t xml:space="preserve"> </w:t>
      </w:r>
      <w:r w:rsidRPr="00FF02EC">
        <w:rPr>
          <w:rFonts w:ascii="Times New Roman" w:hAnsi="Times New Roman" w:cs="Times New Roman"/>
          <w:b/>
          <w:bCs/>
          <w:sz w:val="24"/>
        </w:rPr>
        <w:t>103</w:t>
      </w:r>
      <w:r w:rsidRPr="00FF02EC">
        <w:rPr>
          <w:rFonts w:ascii="Times New Roman" w:hAnsi="Times New Roman" w:cs="Times New Roman"/>
          <w:sz w:val="24"/>
        </w:rPr>
        <w:t>, 1671–1683. (doi:10.4039/Ent1031671-12)</w:t>
      </w:r>
    </w:p>
    <w:p w14:paraId="3E161073" w14:textId="77777777" w:rsidR="00FF02EC" w:rsidRPr="00FF02EC" w:rsidRDefault="00FF02EC" w:rsidP="00FF02EC">
      <w:pPr>
        <w:pStyle w:val="Bibliography"/>
        <w:rPr>
          <w:rFonts w:ascii="Times New Roman" w:hAnsi="Times New Roman" w:cs="Times New Roman"/>
          <w:sz w:val="24"/>
        </w:rPr>
      </w:pPr>
      <w:r w:rsidRPr="00FF02EC">
        <w:rPr>
          <w:rFonts w:ascii="Times New Roman" w:hAnsi="Times New Roman" w:cs="Times New Roman"/>
          <w:sz w:val="24"/>
        </w:rPr>
        <w:t>12.</w:t>
      </w:r>
      <w:r w:rsidRPr="00FF02EC">
        <w:rPr>
          <w:rFonts w:ascii="Times New Roman" w:hAnsi="Times New Roman" w:cs="Times New Roman"/>
          <w:sz w:val="24"/>
        </w:rPr>
        <w:tab/>
        <w:t xml:space="preserve">May ML, Gregoire JA, Gregoire SM, Lubertazzi MA, Matthews JH. 2017 Emergence phenology, uncertainty, and the evolution of migratory behavior in Anax junius (Odonata: Aeshnidae). </w:t>
      </w:r>
      <w:r w:rsidRPr="00FF02EC">
        <w:rPr>
          <w:rFonts w:ascii="Times New Roman" w:hAnsi="Times New Roman" w:cs="Times New Roman"/>
          <w:i/>
          <w:iCs/>
          <w:sz w:val="24"/>
        </w:rPr>
        <w:t>PLOS ONE</w:t>
      </w:r>
      <w:r w:rsidRPr="00FF02EC">
        <w:rPr>
          <w:rFonts w:ascii="Times New Roman" w:hAnsi="Times New Roman" w:cs="Times New Roman"/>
          <w:sz w:val="24"/>
        </w:rPr>
        <w:t xml:space="preserve"> </w:t>
      </w:r>
      <w:r w:rsidRPr="00FF02EC">
        <w:rPr>
          <w:rFonts w:ascii="Times New Roman" w:hAnsi="Times New Roman" w:cs="Times New Roman"/>
          <w:b/>
          <w:bCs/>
          <w:sz w:val="24"/>
        </w:rPr>
        <w:t>12</w:t>
      </w:r>
      <w:r w:rsidRPr="00FF02EC">
        <w:rPr>
          <w:rFonts w:ascii="Times New Roman" w:hAnsi="Times New Roman" w:cs="Times New Roman"/>
          <w:sz w:val="24"/>
        </w:rPr>
        <w:t>, e0183508. (doi:10.1371/journal.pone.0183508)</w:t>
      </w:r>
    </w:p>
    <w:p w14:paraId="7E9AB809" w14:textId="6F81E863" w:rsidR="00D55060" w:rsidRDefault="00D55060" w:rsidP="00D55060">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p w14:paraId="5422752F" w14:textId="77777777" w:rsidR="00D55060" w:rsidRDefault="00D5506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DAD61B3" w14:textId="77777777" w:rsidR="006A373D" w:rsidRDefault="006A373D" w:rsidP="00D55060">
      <w:pPr>
        <w:rPr>
          <w:rFonts w:ascii="Times New Roman" w:eastAsia="Times New Roman" w:hAnsi="Times New Roman" w:cs="Times New Roman"/>
          <w:sz w:val="24"/>
          <w:szCs w:val="24"/>
        </w:rPr>
      </w:pPr>
    </w:p>
    <w:p w14:paraId="642A2DF0" w14:textId="2AA9EE29" w:rsidR="00D55060" w:rsidRDefault="00D55060" w:rsidP="00D55060">
      <w:pPr>
        <w:rPr>
          <w:rFonts w:ascii="Times New Roman" w:eastAsia="Times New Roman" w:hAnsi="Times New Roman" w:cs="Times New Roman"/>
          <w:sz w:val="24"/>
          <w:szCs w:val="24"/>
        </w:rPr>
      </w:pPr>
      <w:r>
        <w:rPr>
          <w:rFonts w:ascii="Times New Roman" w:eastAsia="Times New Roman" w:hAnsi="Times New Roman" w:cs="Times New Roman"/>
          <w:sz w:val="24"/>
          <w:szCs w:val="24"/>
        </w:rPr>
        <w:t>SUPPLEMENTAL FIGURES</w:t>
      </w:r>
    </w:p>
    <w:p w14:paraId="413132B8" w14:textId="77777777" w:rsidR="00D55060" w:rsidRPr="00A648F9" w:rsidRDefault="00D55060" w:rsidP="00D55060">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 xml:space="preserve">Fig. S1. Common green darner natal origins determined using stable-hydrogen isotopes from wings of adults flying in March and April in the northern reaches of their distribution (A) and September and October in the southern reaches of their distribution (B). The color ramps (A: gray to blue, B: gray to red) represent the number of emergence origin assignments to a particular region collected at sampling locations represented by the black dots. </w:t>
      </w:r>
      <w:r>
        <w:rPr>
          <w:rFonts w:ascii="Times New Roman" w:hAnsi="Times New Roman" w:cs="Times New Roman"/>
          <w:sz w:val="24"/>
          <w:szCs w:val="24"/>
        </w:rPr>
        <w:t>T</w:t>
      </w:r>
      <w:r>
        <w:rPr>
          <w:rFonts w:ascii="Times New Roman" w:eastAsia="Times New Roman" w:hAnsi="Times New Roman" w:cs="Times New Roman"/>
          <w:sz w:val="24"/>
          <w:szCs w:val="24"/>
        </w:rPr>
        <w:t xml:space="preserve">he minimum migration distance from the emergence origin to the collection site of each individual (A: n = 50, B: n = 11) is shown in the figure inset. Mean migration distance in spring (680.97 ± </w:t>
      </w:r>
      <w:r w:rsidRPr="00491930">
        <w:rPr>
          <w:rFonts w:ascii="Times New Roman" w:eastAsia="Times New Roman" w:hAnsi="Times New Roman" w:cs="Times New Roman"/>
          <w:sz w:val="24"/>
          <w:szCs w:val="24"/>
        </w:rPr>
        <w:t>178.84</w:t>
      </w:r>
      <w:r>
        <w:rPr>
          <w:rFonts w:ascii="Times New Roman" w:eastAsia="Times New Roman" w:hAnsi="Times New Roman" w:cs="Times New Roman"/>
          <w:sz w:val="24"/>
          <w:szCs w:val="24"/>
        </w:rPr>
        <w:t xml:space="preserve"> km) and fall (</w:t>
      </w:r>
      <w:r w:rsidRPr="00F53A41">
        <w:rPr>
          <w:rFonts w:ascii="Times New Roman" w:eastAsia="Times New Roman" w:hAnsi="Times New Roman" w:cs="Times New Roman"/>
          <w:sz w:val="24"/>
          <w:szCs w:val="24"/>
        </w:rPr>
        <w:t>659.46 ± 49.11</w:t>
      </w:r>
      <w:r>
        <w:rPr>
          <w:rFonts w:ascii="Times New Roman" w:eastAsia="Times New Roman" w:hAnsi="Times New Roman" w:cs="Times New Roman"/>
          <w:sz w:val="24"/>
          <w:szCs w:val="24"/>
        </w:rPr>
        <w:t xml:space="preserve"> km) along with the standard error are indicated with the dotted red line and gray shaded area, respectively. </w:t>
      </w:r>
    </w:p>
    <w:p w14:paraId="17739137" w14:textId="77777777" w:rsidR="00D55060" w:rsidRDefault="00D55060" w:rsidP="00D55060">
      <w:pPr>
        <w:spacing w:line="480" w:lineRule="auto"/>
        <w:rPr>
          <w:rFonts w:ascii="Times New Roman" w:hAnsi="Times New Roman" w:cs="Times New Roman"/>
          <w:sz w:val="24"/>
          <w:szCs w:val="24"/>
        </w:rPr>
      </w:pPr>
      <w:r>
        <w:rPr>
          <w:rFonts w:ascii="Times New Roman" w:hAnsi="Times New Roman" w:cs="Times New Roman"/>
          <w:sz w:val="24"/>
          <w:szCs w:val="24"/>
        </w:rPr>
        <w:t>Fig. S1.</w:t>
      </w:r>
    </w:p>
    <w:p w14:paraId="4796B2B0" w14:textId="77777777" w:rsidR="00D55060" w:rsidRDefault="00D55060" w:rsidP="00D55060">
      <w:pPr>
        <w:spacing w:line="480" w:lineRule="auto"/>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16D839BD" wp14:editId="002BD48A">
            <wp:extent cx="5943600" cy="297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one7_Zone11_springfall.tif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7B51DD41" w14:textId="77777777" w:rsidR="00D55060" w:rsidRDefault="00D55060" w:rsidP="00D55060">
      <w:pPr>
        <w:spacing w:line="480" w:lineRule="auto"/>
        <w:rPr>
          <w:rFonts w:ascii="Times New Roman" w:eastAsia="Times New Roman" w:hAnsi="Times New Roman" w:cs="Times New Roman"/>
          <w:sz w:val="24"/>
          <w:szCs w:val="24"/>
        </w:rPr>
      </w:pPr>
    </w:p>
    <w:p w14:paraId="0EA20638" w14:textId="77777777" w:rsidR="00D55060" w:rsidRDefault="00D55060" w:rsidP="00D55060">
      <w:pPr>
        <w:spacing w:line="480" w:lineRule="auto"/>
        <w:rPr>
          <w:rFonts w:ascii="Times New Roman" w:eastAsia="Times New Roman" w:hAnsi="Times New Roman" w:cs="Times New Roman"/>
          <w:sz w:val="24"/>
          <w:szCs w:val="24"/>
        </w:rPr>
      </w:pPr>
    </w:p>
    <w:p w14:paraId="78D552B4" w14:textId="77777777" w:rsidR="00D55060" w:rsidRDefault="00D55060" w:rsidP="00D55060">
      <w:pPr>
        <w:spacing w:line="480" w:lineRule="auto"/>
        <w:rPr>
          <w:rFonts w:ascii="Times New Roman" w:eastAsia="Times New Roman" w:hAnsi="Times New Roman" w:cs="Times New Roman"/>
          <w:sz w:val="24"/>
          <w:szCs w:val="24"/>
        </w:rPr>
      </w:pPr>
      <w:r w:rsidRPr="007E3CF8">
        <w:rPr>
          <w:rFonts w:ascii="Times New Roman" w:eastAsia="Times New Roman" w:hAnsi="Times New Roman" w:cs="Times New Roman"/>
          <w:sz w:val="24"/>
          <w:szCs w:val="24"/>
        </w:rPr>
        <w:t xml:space="preserve">Fig. </w:t>
      </w:r>
      <w:r>
        <w:rPr>
          <w:rFonts w:ascii="Times New Roman" w:eastAsia="Times New Roman" w:hAnsi="Times New Roman" w:cs="Times New Roman"/>
          <w:sz w:val="24"/>
          <w:szCs w:val="24"/>
        </w:rPr>
        <w:t>S2</w:t>
      </w:r>
      <w:r w:rsidRPr="007E3CF8">
        <w:rPr>
          <w:rFonts w:ascii="Times New Roman" w:eastAsia="Times New Roman" w:hAnsi="Times New Roman" w:cs="Times New Roman"/>
          <w:sz w:val="24"/>
          <w:szCs w:val="24"/>
        </w:rPr>
        <w:t>. Minimum migration distance between natal origin and collection site of adult common green darners flying in the northern reaches of their distribution. Adults collected in March and April were pooled to increase sample size. Individuals captured late in the season, August and September were also combined to increase sample size. The number of adults captured in each month are shown inside the each column. Figure graphic was</w:t>
      </w:r>
      <w:r>
        <w:rPr>
          <w:rFonts w:ascii="Times New Roman" w:eastAsia="Times New Roman" w:hAnsi="Times New Roman" w:cs="Times New Roman"/>
          <w:sz w:val="24"/>
          <w:szCs w:val="24"/>
        </w:rPr>
        <w:t xml:space="preserve"> drawn by John Muir Laws and was </w:t>
      </w:r>
      <w:r w:rsidRPr="007E3CF8">
        <w:rPr>
          <w:rFonts w:ascii="Times New Roman" w:eastAsia="Times New Roman" w:hAnsi="Times New Roman" w:cs="Times New Roman"/>
          <w:sz w:val="24"/>
          <w:szCs w:val="24"/>
        </w:rPr>
        <w:t>used with permission</w:t>
      </w:r>
      <w:r>
        <w:rPr>
          <w:rFonts w:ascii="Times New Roman" w:eastAsia="Times New Roman" w:hAnsi="Times New Roman" w:cs="Times New Roman"/>
          <w:sz w:val="24"/>
          <w:szCs w:val="24"/>
        </w:rPr>
        <w:t>.</w:t>
      </w:r>
    </w:p>
    <w:p w14:paraId="2AD2C4B8" w14:textId="77777777" w:rsidR="00D55060" w:rsidRDefault="00D55060" w:rsidP="00D5506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 S2.</w:t>
      </w:r>
    </w:p>
    <w:p w14:paraId="72D18E19" w14:textId="77777777" w:rsidR="00D55060" w:rsidRDefault="00D55060" w:rsidP="00D55060">
      <w:pPr>
        <w:spacing w:line="480" w:lineRule="auto"/>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2C85738C" wp14:editId="16AE8B4B">
            <wp:extent cx="3929062" cy="39290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one7migdist.tif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31773" cy="3931773"/>
                    </a:xfrm>
                    <a:prstGeom prst="rect">
                      <a:avLst/>
                    </a:prstGeom>
                  </pic:spPr>
                </pic:pic>
              </a:graphicData>
            </a:graphic>
          </wp:inline>
        </w:drawing>
      </w:r>
    </w:p>
    <w:p w14:paraId="6C454B51" w14:textId="77777777" w:rsidR="00D55060" w:rsidRDefault="00D55060" w:rsidP="00D55060">
      <w:pPr>
        <w:spacing w:line="480" w:lineRule="auto"/>
        <w:rPr>
          <w:rFonts w:ascii="Times New Roman" w:eastAsia="Times New Roman" w:hAnsi="Times New Roman" w:cs="Times New Roman"/>
          <w:sz w:val="24"/>
          <w:szCs w:val="24"/>
        </w:rPr>
      </w:pPr>
    </w:p>
    <w:p w14:paraId="3967548B" w14:textId="77777777" w:rsidR="00D55060" w:rsidRDefault="00D55060" w:rsidP="00D55060">
      <w:pPr>
        <w:spacing w:line="480" w:lineRule="auto"/>
        <w:rPr>
          <w:rFonts w:ascii="Times New Roman" w:eastAsia="Times New Roman" w:hAnsi="Times New Roman" w:cs="Times New Roman"/>
          <w:sz w:val="24"/>
          <w:szCs w:val="24"/>
        </w:rPr>
      </w:pPr>
    </w:p>
    <w:p w14:paraId="4C23248C" w14:textId="288B2EDA" w:rsidR="00D55060" w:rsidRDefault="00D55060" w:rsidP="00D5506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 S</w:t>
      </w:r>
      <w:r w:rsidR="0030029E">
        <w:rPr>
          <w:rFonts w:ascii="Times New Roman" w:eastAsia="Times New Roman" w:hAnsi="Times New Roman" w:cs="Times New Roman"/>
          <w:sz w:val="24"/>
          <w:szCs w:val="24"/>
        </w:rPr>
        <w:t>3</w:t>
      </w:r>
      <w:r>
        <w:rPr>
          <w:rFonts w:ascii="Times New Roman" w:eastAsia="Times New Roman" w:hAnsi="Times New Roman" w:cs="Times New Roman"/>
          <w:sz w:val="24"/>
          <w:szCs w:val="24"/>
        </w:rPr>
        <w:t>. Migratory status of common green darners (</w:t>
      </w:r>
      <w:proofErr w:type="spellStart"/>
      <w:r w:rsidRPr="00B2214E">
        <w:rPr>
          <w:rFonts w:ascii="Times New Roman" w:eastAsia="Times New Roman" w:hAnsi="Times New Roman" w:cs="Times New Roman"/>
          <w:i/>
          <w:sz w:val="24"/>
          <w:szCs w:val="24"/>
        </w:rPr>
        <w:t>Anax</w:t>
      </w:r>
      <w:proofErr w:type="spellEnd"/>
      <w:r w:rsidRPr="00B2214E">
        <w:rPr>
          <w:rFonts w:ascii="Times New Roman" w:eastAsia="Times New Roman" w:hAnsi="Times New Roman" w:cs="Times New Roman"/>
          <w:i/>
          <w:sz w:val="24"/>
          <w:szCs w:val="24"/>
        </w:rPr>
        <w:t xml:space="preserve"> </w:t>
      </w:r>
      <w:proofErr w:type="spellStart"/>
      <w:r w:rsidRPr="00B2214E">
        <w:rPr>
          <w:rFonts w:ascii="Times New Roman" w:eastAsia="Times New Roman" w:hAnsi="Times New Roman" w:cs="Times New Roman"/>
          <w:i/>
          <w:sz w:val="24"/>
          <w:szCs w:val="24"/>
        </w:rPr>
        <w:t>junius</w:t>
      </w:r>
      <w:proofErr w:type="spellEnd"/>
      <w:r>
        <w:rPr>
          <w:rFonts w:ascii="Times New Roman" w:eastAsia="Times New Roman" w:hAnsi="Times New Roman" w:cs="Times New Roman"/>
          <w:sz w:val="24"/>
          <w:szCs w:val="24"/>
        </w:rPr>
        <w:t>) captured at the northern (dark gray polygon) and southern (light gray polygon) terminus of their distribution. The proportion of migratory individuals (light-blue) and locally emerged (gray) individuals sampled are shown for each month in the northern (top right) and southern (bottom right) portion of their distribution. The dotted lines and shaded polygons represent the predicted proportion and 95% confidence interval within each month, respectively. Predictions were made using a loess smoother.</w:t>
      </w:r>
    </w:p>
    <w:p w14:paraId="7B3DF6B5" w14:textId="246D3BA0" w:rsidR="00D55060" w:rsidRDefault="00D55060" w:rsidP="00D5506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 S</w:t>
      </w:r>
      <w:r w:rsidR="0030029E">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p>
    <w:p w14:paraId="132E7485" w14:textId="77777777" w:rsidR="00D55060" w:rsidRDefault="00D55060" w:rsidP="00D55060">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inline distT="0" distB="0" distL="0" distR="0" wp14:anchorId="41227E68" wp14:editId="63584487">
            <wp:extent cx="5060951" cy="379571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lProps.tif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61375" cy="3796031"/>
                    </a:xfrm>
                    <a:prstGeom prst="rect">
                      <a:avLst/>
                    </a:prstGeom>
                  </pic:spPr>
                </pic:pic>
              </a:graphicData>
            </a:graphic>
          </wp:inline>
        </w:drawing>
      </w:r>
    </w:p>
    <w:p w14:paraId="7838C20B" w14:textId="77777777" w:rsidR="00D55060" w:rsidRDefault="00D55060" w:rsidP="00D5506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9431632" w14:textId="6380793C" w:rsidR="0030029E" w:rsidRDefault="0030029E" w:rsidP="00D5506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 S4. Predicted common green darner (</w:t>
      </w:r>
      <w:proofErr w:type="spellStart"/>
      <w:r w:rsidRPr="0030029E">
        <w:rPr>
          <w:rFonts w:ascii="Times New Roman" w:eastAsia="Times New Roman" w:hAnsi="Times New Roman" w:cs="Times New Roman"/>
          <w:i/>
          <w:sz w:val="24"/>
          <w:szCs w:val="24"/>
        </w:rPr>
        <w:t>Anax</w:t>
      </w:r>
      <w:proofErr w:type="spellEnd"/>
      <w:r w:rsidRPr="0030029E">
        <w:rPr>
          <w:rFonts w:ascii="Times New Roman" w:eastAsia="Times New Roman" w:hAnsi="Times New Roman" w:cs="Times New Roman"/>
          <w:i/>
          <w:sz w:val="24"/>
          <w:szCs w:val="24"/>
        </w:rPr>
        <w:t xml:space="preserve"> </w:t>
      </w:r>
      <w:proofErr w:type="spellStart"/>
      <w:r w:rsidRPr="0030029E">
        <w:rPr>
          <w:rFonts w:ascii="Times New Roman" w:eastAsia="Times New Roman" w:hAnsi="Times New Roman" w:cs="Times New Roman"/>
          <w:i/>
          <w:sz w:val="24"/>
          <w:szCs w:val="24"/>
        </w:rPr>
        <w:t>junius</w:t>
      </w:r>
      <w:proofErr w:type="spellEnd"/>
      <w:r>
        <w:rPr>
          <w:rFonts w:ascii="Times New Roman" w:eastAsia="Times New Roman" w:hAnsi="Times New Roman" w:cs="Times New Roman"/>
          <w:sz w:val="24"/>
          <w:szCs w:val="24"/>
        </w:rPr>
        <w:t xml:space="preserve">) nymph development (black lines) within </w:t>
      </w:r>
      <w:r w:rsidR="00352299">
        <w:rPr>
          <w:rFonts w:ascii="Times New Roman" w:eastAsia="Times New Roman" w:hAnsi="Times New Roman" w:cs="Times New Roman"/>
          <w:sz w:val="24"/>
          <w:szCs w:val="24"/>
        </w:rPr>
        <w:t xml:space="preserve">hardiness zones 7-11 </w:t>
      </w:r>
      <w:r>
        <w:rPr>
          <w:rFonts w:ascii="Times New Roman" w:eastAsia="Times New Roman" w:hAnsi="Times New Roman" w:cs="Times New Roman"/>
          <w:sz w:val="24"/>
          <w:szCs w:val="24"/>
        </w:rPr>
        <w:t>assuming eggs are laid (black point) on the first day in each month flying adults  are observed</w:t>
      </w:r>
      <w:r w:rsidR="008B3661">
        <w:rPr>
          <w:rFonts w:ascii="Times New Roman" w:eastAsia="Times New Roman" w:hAnsi="Times New Roman" w:cs="Times New Roman"/>
          <w:sz w:val="24"/>
          <w:szCs w:val="24"/>
        </w:rPr>
        <w:t xml:space="preserve"> (gray boxes)</w:t>
      </w:r>
      <w:r>
        <w:rPr>
          <w:rFonts w:ascii="Times New Roman" w:eastAsia="Times New Roman" w:hAnsi="Times New Roman" w:cs="Times New Roman"/>
          <w:sz w:val="24"/>
          <w:szCs w:val="24"/>
        </w:rPr>
        <w:t xml:space="preserve">. Nymphs are able to </w:t>
      </w:r>
      <w:proofErr w:type="spellStart"/>
      <w:r>
        <w:rPr>
          <w:rFonts w:ascii="Times New Roman" w:eastAsia="Times New Roman" w:hAnsi="Times New Roman" w:cs="Times New Roman"/>
          <w:sz w:val="24"/>
          <w:szCs w:val="24"/>
        </w:rPr>
        <w:t>eclose</w:t>
      </w:r>
      <w:proofErr w:type="spellEnd"/>
      <w:r>
        <w:rPr>
          <w:rFonts w:ascii="Times New Roman" w:eastAsia="Times New Roman" w:hAnsi="Times New Roman" w:cs="Times New Roman"/>
          <w:sz w:val="24"/>
          <w:szCs w:val="24"/>
        </w:rPr>
        <w:t xml:space="preserve"> </w:t>
      </w:r>
      <w:r w:rsidR="00352A02">
        <w:rPr>
          <w:rFonts w:ascii="Times New Roman" w:eastAsia="Times New Roman" w:hAnsi="Times New Roman" w:cs="Times New Roman"/>
          <w:sz w:val="24"/>
          <w:szCs w:val="24"/>
        </w:rPr>
        <w:t>after</w:t>
      </w:r>
      <w:r>
        <w:rPr>
          <w:rFonts w:ascii="Times New Roman" w:eastAsia="Times New Roman" w:hAnsi="Times New Roman" w:cs="Times New Roman"/>
          <w:sz w:val="24"/>
          <w:szCs w:val="24"/>
        </w:rPr>
        <w:t xml:space="preserve"> accumulated growing degree days above a base of 8.7 °C</w:t>
      </w:r>
      <w:r w:rsidR="008B3661">
        <w:rPr>
          <w:rFonts w:ascii="Times New Roman" w:eastAsia="Times New Roman" w:hAnsi="Times New Roman" w:cs="Times New Roman"/>
          <w:sz w:val="24"/>
          <w:szCs w:val="24"/>
        </w:rPr>
        <w:t xml:space="preserve"> reach 1346 days</w:t>
      </w:r>
      <w:r w:rsidR="00352A02">
        <w:rPr>
          <w:rFonts w:ascii="Times New Roman" w:eastAsia="Times New Roman" w:hAnsi="Times New Roman" w:cs="Times New Roman"/>
          <w:sz w:val="24"/>
          <w:szCs w:val="24"/>
        </w:rPr>
        <w:t xml:space="preserve"> [10] (dotted horizontal line).</w:t>
      </w:r>
      <w:r>
        <w:rPr>
          <w:rFonts w:ascii="Times New Roman" w:eastAsia="Times New Roman" w:hAnsi="Times New Roman" w:cs="Times New Roman"/>
          <w:sz w:val="24"/>
          <w:szCs w:val="24"/>
        </w:rPr>
        <w:t xml:space="preserve"> </w:t>
      </w:r>
      <w:r w:rsidR="004D36E7">
        <w:rPr>
          <w:rFonts w:ascii="Times New Roman" w:eastAsia="Times New Roman" w:hAnsi="Times New Roman" w:cs="Times New Roman"/>
          <w:sz w:val="24"/>
          <w:szCs w:val="24"/>
        </w:rPr>
        <w:t>Nymphs enter a state of diapause when growth is flat.</w:t>
      </w:r>
    </w:p>
    <w:p w14:paraId="217BAB36" w14:textId="6322BA73" w:rsidR="00225A2C" w:rsidRDefault="00225A2C" w:rsidP="00D5506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 S4.</w:t>
      </w:r>
    </w:p>
    <w:p w14:paraId="0DB74A9E" w14:textId="1D7B1494" w:rsidR="0030029E" w:rsidRDefault="004B4FD5" w:rsidP="00D55060">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inline distT="0" distB="0" distL="0" distR="0" wp14:anchorId="15D12D30" wp14:editId="1BCD788A">
            <wp:extent cx="2895600" cy="579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ergencePatterns.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0" cy="5791200"/>
                    </a:xfrm>
                    <a:prstGeom prst="rect">
                      <a:avLst/>
                    </a:prstGeom>
                  </pic:spPr>
                </pic:pic>
              </a:graphicData>
            </a:graphic>
          </wp:inline>
        </w:drawing>
      </w:r>
    </w:p>
    <w:p w14:paraId="347914E3" w14:textId="741985F4" w:rsidR="00D55060" w:rsidRDefault="00D55060" w:rsidP="00D5506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 S</w:t>
      </w:r>
      <w:r w:rsidR="006B4F45">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Predicted habitat suitability of Common Green Darners. Habitat suitability (low suitability = 0, high suitability = 1) of darners was derived using Maxent from occurrence records. The area under the curve (AUC) was high indicating the predicted habitat suitability fit the data well.  </w:t>
      </w:r>
    </w:p>
    <w:p w14:paraId="242309BB" w14:textId="123BE80C" w:rsidR="00D55060" w:rsidRDefault="00D55060" w:rsidP="00D55060">
      <w:pP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Fig. S</w:t>
      </w:r>
      <w:r w:rsidR="006B4F45">
        <w:rPr>
          <w:rFonts w:ascii="Times New Roman" w:eastAsia="Times New Roman" w:hAnsi="Times New Roman" w:cs="Times New Roman"/>
          <w:sz w:val="24"/>
          <w:szCs w:val="24"/>
        </w:rPr>
        <w:t>5</w:t>
      </w:r>
    </w:p>
    <w:p w14:paraId="6F39066D" w14:textId="77777777" w:rsidR="00D55060" w:rsidRDefault="00D55060" w:rsidP="00D5506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inline distT="0" distB="0" distL="0" distR="0" wp14:anchorId="4C49ECB3" wp14:editId="4B0A59F5">
            <wp:extent cx="4491038" cy="44910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bitatSuitability.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1922" cy="4491922"/>
                    </a:xfrm>
                    <a:prstGeom prst="rect">
                      <a:avLst/>
                    </a:prstGeom>
                  </pic:spPr>
                </pic:pic>
              </a:graphicData>
            </a:graphic>
          </wp:inline>
        </w:drawing>
      </w:r>
    </w:p>
    <w:p w14:paraId="79B865FA" w14:textId="77777777" w:rsidR="00D55060" w:rsidRDefault="00D55060" w:rsidP="00D5506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22D14B1" w14:textId="38E156D2" w:rsidR="00D55060" w:rsidRPr="00073690" w:rsidRDefault="00D55060" w:rsidP="00D5506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 S</w:t>
      </w:r>
      <w:r w:rsidR="006B4F45">
        <w:rPr>
          <w:rFonts w:ascii="Times New Roman" w:eastAsia="Times New Roman" w:hAnsi="Times New Roman" w:cs="Times New Roman"/>
          <w:sz w:val="24"/>
          <w:szCs w:val="24"/>
        </w:rPr>
        <w:t>6</w:t>
      </w:r>
      <w:r>
        <w:rPr>
          <w:rFonts w:ascii="Times New Roman" w:eastAsia="Times New Roman" w:hAnsi="Times New Roman" w:cs="Times New Roman"/>
          <w:sz w:val="24"/>
          <w:szCs w:val="24"/>
        </w:rPr>
        <w:t>. Discrimination relationship between stable hydrogen isotope signatures found in amount-weighted growing-season precipitation (</w:t>
      </w:r>
      <w:r w:rsidRPr="00C963AB">
        <w:rPr>
          <w:rFonts w:ascii="Times New Roman" w:hAnsi="Times New Roman" w:cs="Times New Roman"/>
          <w:sz w:val="24"/>
          <w:szCs w:val="24"/>
        </w:rPr>
        <w:t>δ</w:t>
      </w:r>
      <w:r w:rsidRPr="00C963AB">
        <w:rPr>
          <w:rFonts w:ascii="Times New Roman" w:hAnsi="Times New Roman" w:cs="Times New Roman"/>
          <w:sz w:val="24"/>
          <w:szCs w:val="24"/>
          <w:vertAlign w:val="superscript"/>
        </w:rPr>
        <w:t>2</w:t>
      </w:r>
      <w:r w:rsidRPr="00C963AB">
        <w:rPr>
          <w:rFonts w:ascii="Times New Roman" w:hAnsi="Times New Roman" w:cs="Times New Roman"/>
          <w:sz w:val="24"/>
          <w:szCs w:val="24"/>
        </w:rPr>
        <w:t>H</w:t>
      </w:r>
      <w:r w:rsidRPr="00C963AB">
        <w:rPr>
          <w:rFonts w:ascii="Times New Roman" w:hAnsi="Times New Roman" w:cs="Times New Roman"/>
          <w:sz w:val="24"/>
          <w:szCs w:val="24"/>
          <w:vertAlign w:val="subscript"/>
        </w:rPr>
        <w:t>p</w:t>
      </w:r>
      <w:r>
        <w:rPr>
          <w:rFonts w:ascii="Times New Roman" w:hAnsi="Times New Roman" w:cs="Times New Roman"/>
          <w:sz w:val="24"/>
          <w:szCs w:val="24"/>
          <w:vertAlign w:val="subscript"/>
        </w:rPr>
        <w:t>recipitation</w:t>
      </w:r>
      <w:r>
        <w:rPr>
          <w:rFonts w:ascii="Times New Roman" w:hAnsi="Times New Roman" w:cs="Times New Roman"/>
          <w:sz w:val="24"/>
          <w:szCs w:val="24"/>
        </w:rPr>
        <w:t>) and those found in local, recently emerged common green darner adults (</w:t>
      </w:r>
      <w:proofErr w:type="spellStart"/>
      <w:r>
        <w:rPr>
          <w:rFonts w:ascii="Times New Roman" w:hAnsi="Times New Roman" w:cs="Times New Roman"/>
          <w:sz w:val="24"/>
          <w:szCs w:val="24"/>
        </w:rPr>
        <w:t>tenerals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exuviae</w:t>
      </w:r>
      <w:proofErr w:type="spellEnd"/>
      <w:r>
        <w:rPr>
          <w:rFonts w:ascii="Times New Roman" w:hAnsi="Times New Roman" w:cs="Times New Roman"/>
          <w:sz w:val="24"/>
          <w:szCs w:val="24"/>
        </w:rPr>
        <w:t xml:space="preserve"> (</w:t>
      </w:r>
      <w:r w:rsidRPr="00C963AB">
        <w:rPr>
          <w:rFonts w:ascii="Times New Roman" w:hAnsi="Times New Roman" w:cs="Times New Roman"/>
          <w:sz w:val="24"/>
          <w:szCs w:val="24"/>
        </w:rPr>
        <w:t>δ</w:t>
      </w:r>
      <w:r w:rsidRPr="00C963AB">
        <w:rPr>
          <w:rFonts w:ascii="Times New Roman" w:hAnsi="Times New Roman" w:cs="Times New Roman"/>
          <w:sz w:val="24"/>
          <w:szCs w:val="24"/>
          <w:vertAlign w:val="superscript"/>
        </w:rPr>
        <w:t>2</w:t>
      </w:r>
      <w:r w:rsidRPr="00C963AB">
        <w:rPr>
          <w:rFonts w:ascii="Times New Roman" w:hAnsi="Times New Roman" w:cs="Times New Roman"/>
          <w:sz w:val="24"/>
          <w:szCs w:val="24"/>
        </w:rPr>
        <w:t>H</w:t>
      </w:r>
      <w:r>
        <w:rPr>
          <w:rFonts w:ascii="Times New Roman" w:hAnsi="Times New Roman" w:cs="Times New Roman"/>
          <w:sz w:val="24"/>
          <w:szCs w:val="24"/>
          <w:vertAlign w:val="subscript"/>
        </w:rPr>
        <w:t>wing</w:t>
      </w:r>
      <w:r>
        <w:rPr>
          <w:rFonts w:ascii="Times New Roman" w:hAnsi="Times New Roman" w:cs="Times New Roman"/>
          <w:sz w:val="24"/>
          <w:szCs w:val="24"/>
        </w:rPr>
        <w:t xml:space="preserve">). This discrimination relationship was used to create a common green darner </w:t>
      </w:r>
      <w:proofErr w:type="spellStart"/>
      <w:r>
        <w:rPr>
          <w:rFonts w:ascii="Times New Roman" w:hAnsi="Times New Roman" w:cs="Times New Roman"/>
          <w:sz w:val="24"/>
          <w:szCs w:val="24"/>
        </w:rPr>
        <w:t>isoscape</w:t>
      </w:r>
      <w:proofErr w:type="spellEnd"/>
      <w:r>
        <w:rPr>
          <w:rFonts w:ascii="Times New Roman" w:hAnsi="Times New Roman" w:cs="Times New Roman"/>
          <w:sz w:val="24"/>
          <w:szCs w:val="24"/>
        </w:rPr>
        <w:t xml:space="preserve"> for use in assigning the natal origins to adult common green darners captured throughout their range. </w:t>
      </w:r>
    </w:p>
    <w:p w14:paraId="067FA14C" w14:textId="3D96F59A" w:rsidR="00D55060" w:rsidRDefault="00D55060" w:rsidP="00D55060">
      <w:pP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Fig. S</w:t>
      </w:r>
      <w:r w:rsidR="006B4F45">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p>
    <w:p w14:paraId="695B8FAA" w14:textId="77777777" w:rsidR="00D55060" w:rsidRDefault="00D55060" w:rsidP="00D5506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inline distT="0" distB="0" distL="0" distR="0" wp14:anchorId="6729D80E" wp14:editId="4B5278F0">
            <wp:extent cx="4076700" cy="4076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scriminationFactor.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77593" cy="4077593"/>
                    </a:xfrm>
                    <a:prstGeom prst="rect">
                      <a:avLst/>
                    </a:prstGeom>
                  </pic:spPr>
                </pic:pic>
              </a:graphicData>
            </a:graphic>
          </wp:inline>
        </w:drawing>
      </w:r>
      <w:r>
        <w:rPr>
          <w:rFonts w:ascii="Times New Roman" w:eastAsia="Times New Roman" w:hAnsi="Times New Roman" w:cs="Times New Roman"/>
          <w:sz w:val="24"/>
          <w:szCs w:val="24"/>
        </w:rPr>
        <w:br w:type="page"/>
      </w:r>
    </w:p>
    <w:p w14:paraId="145F53BE" w14:textId="281C6C87" w:rsidR="00625F32" w:rsidRDefault="00625F32" w:rsidP="00D5506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SUPPLEMENTAL TABLES</w:t>
      </w:r>
    </w:p>
    <w:p w14:paraId="78A3494B" w14:textId="13131BF2" w:rsidR="00D55060" w:rsidRDefault="00D55060" w:rsidP="00D5506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S1. Common green darner (</w:t>
      </w:r>
      <w:proofErr w:type="spellStart"/>
      <w:r w:rsidRPr="00433B5D">
        <w:rPr>
          <w:rFonts w:ascii="Times New Roman" w:eastAsia="Times New Roman" w:hAnsi="Times New Roman" w:cs="Times New Roman"/>
          <w:i/>
          <w:sz w:val="24"/>
          <w:szCs w:val="24"/>
        </w:rPr>
        <w:t>Anax</w:t>
      </w:r>
      <w:proofErr w:type="spellEnd"/>
      <w:r w:rsidRPr="00433B5D">
        <w:rPr>
          <w:rFonts w:ascii="Times New Roman" w:eastAsia="Times New Roman" w:hAnsi="Times New Roman" w:cs="Times New Roman"/>
          <w:i/>
          <w:sz w:val="24"/>
          <w:szCs w:val="24"/>
        </w:rPr>
        <w:t xml:space="preserve"> </w:t>
      </w:r>
      <w:proofErr w:type="spellStart"/>
      <w:r w:rsidRPr="00433B5D">
        <w:rPr>
          <w:rFonts w:ascii="Times New Roman" w:eastAsia="Times New Roman" w:hAnsi="Times New Roman" w:cs="Times New Roman"/>
          <w:i/>
          <w:sz w:val="24"/>
          <w:szCs w:val="24"/>
        </w:rPr>
        <w:t>junius</w:t>
      </w:r>
      <w:proofErr w:type="spellEnd"/>
      <w:r>
        <w:rPr>
          <w:rFonts w:ascii="Times New Roman" w:eastAsia="Times New Roman" w:hAnsi="Times New Roman" w:cs="Times New Roman"/>
          <w:sz w:val="24"/>
          <w:szCs w:val="24"/>
        </w:rPr>
        <w:t xml:space="preserve">) survey data of first flight observations. Survey locations are indicated by the state of observation followed by the region or county where the surveys took place. If only the state is listed, surveys were conducted statewide with the exception of Maryland (MD). </w:t>
      </w:r>
      <w:r w:rsidRPr="00433B5D">
        <w:rPr>
          <w:rFonts w:ascii="Times New Roman" w:eastAsia="Times New Roman" w:hAnsi="Times New Roman" w:cs="Times New Roman"/>
          <w:sz w:val="24"/>
          <w:szCs w:val="24"/>
        </w:rPr>
        <w:t xml:space="preserve">Surveys were conducted at the Patuxent Wildlife Research Center, in </w:t>
      </w:r>
      <w:r w:rsidRPr="00433B5D">
        <w:rPr>
          <w:rFonts w:ascii="Times New Roman" w:hAnsi="Times New Roman" w:cs="Times New Roman"/>
          <w:sz w:val="24"/>
          <w:szCs w:val="24"/>
        </w:rPr>
        <w:t>Prince George's County, Maryland.</w:t>
      </w:r>
      <w:r>
        <w:rPr>
          <w:rFonts w:ascii="Times New Roman" w:eastAsia="Times New Roman" w:hAnsi="Times New Roman" w:cs="Times New Roman"/>
          <w:sz w:val="24"/>
          <w:szCs w:val="24"/>
        </w:rPr>
        <w:t xml:space="preserve"> The earliest observation date (First Flight Date) represents the earliest date where an adult was observed flying in the region. The geographic coordinates of the geometric center of the state, county or location of sampling and the period covered by surveys (Year</w:t>
      </w:r>
      <w:r w:rsidRPr="00F43D54">
        <w:rPr>
          <w:rFonts w:ascii="Times New Roman" w:eastAsia="Times New Roman" w:hAnsi="Times New Roman" w:cs="Times New Roman"/>
          <w:sz w:val="24"/>
          <w:szCs w:val="24"/>
        </w:rPr>
        <w:t>s; if reported)</w:t>
      </w:r>
      <w:r>
        <w:rPr>
          <w:rFonts w:ascii="Times New Roman" w:eastAsia="Times New Roman" w:hAnsi="Times New Roman" w:cs="Times New Roman"/>
          <w:sz w:val="24"/>
          <w:szCs w:val="24"/>
        </w:rPr>
        <w:t xml:space="preserve"> are reported.</w:t>
      </w:r>
      <w:r w:rsidRPr="00F43D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Pr="00F43D54">
        <w:rPr>
          <w:rFonts w:ascii="Times New Roman" w:eastAsia="Times New Roman" w:hAnsi="Times New Roman" w:cs="Times New Roman"/>
          <w:sz w:val="24"/>
          <w:szCs w:val="24"/>
        </w:rPr>
        <w:t>he mean elevation of the state, county or location of sampling was</w:t>
      </w:r>
      <w:r>
        <w:rPr>
          <w:rFonts w:ascii="Times New Roman" w:eastAsia="Times New Roman" w:hAnsi="Times New Roman" w:cs="Times New Roman"/>
          <w:sz w:val="24"/>
          <w:szCs w:val="24"/>
        </w:rPr>
        <w:t xml:space="preserve"> determined</w:t>
      </w:r>
      <w:r w:rsidRPr="00F43D54">
        <w:rPr>
          <w:rFonts w:ascii="Times New Roman" w:eastAsia="Times New Roman" w:hAnsi="Times New Roman" w:cs="Times New Roman"/>
          <w:sz w:val="24"/>
          <w:szCs w:val="24"/>
        </w:rPr>
        <w:t xml:space="preserve"> from the </w:t>
      </w:r>
      <w:r w:rsidRPr="00F43D54">
        <w:rPr>
          <w:rFonts w:ascii="Times New Roman" w:hAnsi="Times New Roman" w:cs="Times New Roman"/>
          <w:sz w:val="24"/>
          <w:szCs w:val="24"/>
        </w:rPr>
        <w:t xml:space="preserve">SRTM 90m digital elevation model </w:t>
      </w:r>
      <w:r>
        <w:rPr>
          <w:rFonts w:ascii="Times New Roman" w:hAnsi="Times New Roman" w:cs="Times New Roman"/>
          <w:sz w:val="24"/>
          <w:szCs w:val="24"/>
        </w:rPr>
        <w:t xml:space="preserve">(m above sea level) </w:t>
      </w:r>
      <w:r w:rsidRPr="00F43D54">
        <w:rPr>
          <w:rFonts w:ascii="Times New Roman" w:hAnsi="Times New Roman" w:cs="Times New Roman"/>
          <w:sz w:val="24"/>
          <w:szCs w:val="24"/>
        </w:rPr>
        <w:t>accessed through the raster package</w:t>
      </w:r>
      <w:r>
        <w:rPr>
          <w:rFonts w:ascii="Times New Roman" w:hAnsi="Times New Roman" w:cs="Times New Roman"/>
          <w:sz w:val="24"/>
          <w:szCs w:val="24"/>
        </w:rPr>
        <w:fldChar w:fldCharType="begin"/>
      </w:r>
      <w:r w:rsidR="00FF02EC">
        <w:rPr>
          <w:rFonts w:ascii="Times New Roman" w:hAnsi="Times New Roman" w:cs="Times New Roman"/>
          <w:sz w:val="24"/>
          <w:szCs w:val="24"/>
        </w:rPr>
        <w:instrText xml:space="preserve"> ADDIN ZOTERO_ITEM CSL_CITATION {"citationID":"d0nrV9EE","properties":{"formattedCitation":"[6]","plainCitation":"[6]","noteIndex":0},"citationItems":[{"id":733,"uris":["http://zotero.org/users/812033/items/K399I9J9"],"uri":["http://zotero.org/users/812033/items/K399I9J9"],"itemData":{"id":733,"type":"article-journal","title":"raster: Geographic analysis and modeling with raster data","container-title":"R package version","page":"r948","volume":"1","issue":"2","source":"Google Scholar","shortTitle":"raster","author":[{"family":"Hijmans","given":"Robert J."},{"family":"Etten","given":"Jacob","non-dropping-particle":"van"}],"issued":{"date-parts":[["2010"]]}}}],"schema":"https://github.com/citation-style-language/schema/raw/master/csl-citation.json"} </w:instrText>
      </w:r>
      <w:r>
        <w:rPr>
          <w:rFonts w:ascii="Times New Roman" w:hAnsi="Times New Roman" w:cs="Times New Roman"/>
          <w:sz w:val="24"/>
          <w:szCs w:val="24"/>
        </w:rPr>
        <w:fldChar w:fldCharType="separate"/>
      </w:r>
      <w:r w:rsidR="00FF02EC" w:rsidRPr="00FF02EC">
        <w:rPr>
          <w:rFonts w:ascii="Times New Roman" w:hAnsi="Times New Roman" w:cs="Times New Roman"/>
          <w:sz w:val="24"/>
        </w:rPr>
        <w:t>[6]</w:t>
      </w:r>
      <w:r>
        <w:rPr>
          <w:rFonts w:ascii="Times New Roman" w:hAnsi="Times New Roman" w:cs="Times New Roman"/>
          <w:sz w:val="24"/>
          <w:szCs w:val="24"/>
        </w:rPr>
        <w:fldChar w:fldCharType="end"/>
      </w:r>
      <w:r>
        <w:rPr>
          <w:rFonts w:ascii="Times New Roman" w:hAnsi="Times New Roman" w:cs="Times New Roman"/>
          <w:sz w:val="24"/>
          <w:szCs w:val="24"/>
        </w:rPr>
        <w:t xml:space="preserve"> i</w:t>
      </w:r>
      <w:r w:rsidRPr="00F43D54">
        <w:rPr>
          <w:rFonts w:ascii="Times New Roman" w:hAnsi="Times New Roman" w:cs="Times New Roman"/>
          <w:sz w:val="24"/>
          <w:szCs w:val="24"/>
        </w:rPr>
        <w:t>n program R</w:t>
      </w:r>
      <w:r w:rsidRPr="00F43D54">
        <w:rPr>
          <w:rFonts w:ascii="Times New Roman" w:eastAsia="Times New Roman" w:hAnsi="Times New Roman" w:cs="Times New Roman"/>
          <w:sz w:val="24"/>
          <w:szCs w:val="24"/>
        </w:rPr>
        <w:t xml:space="preserve">. </w:t>
      </w:r>
    </w:p>
    <w:tbl>
      <w:tblPr>
        <w:tblStyle w:val="TableGrid"/>
        <w:tblW w:w="0" w:type="auto"/>
        <w:tblLayout w:type="fixed"/>
        <w:tblLook w:val="04A0" w:firstRow="1" w:lastRow="0" w:firstColumn="1" w:lastColumn="0" w:noHBand="0" w:noVBand="1"/>
      </w:tblPr>
      <w:tblGrid>
        <w:gridCol w:w="1370"/>
        <w:gridCol w:w="1348"/>
        <w:gridCol w:w="990"/>
        <w:gridCol w:w="1080"/>
        <w:gridCol w:w="1260"/>
        <w:gridCol w:w="1260"/>
        <w:gridCol w:w="1260"/>
      </w:tblGrid>
      <w:tr w:rsidR="00D55060" w:rsidRPr="008C6192" w14:paraId="54B51A9C" w14:textId="77777777" w:rsidTr="007B1C6A">
        <w:trPr>
          <w:trHeight w:val="312"/>
        </w:trPr>
        <w:tc>
          <w:tcPr>
            <w:tcW w:w="1370" w:type="dxa"/>
            <w:tcBorders>
              <w:top w:val="single" w:sz="4" w:space="0" w:color="auto"/>
              <w:bottom w:val="single" w:sz="4" w:space="0" w:color="auto"/>
              <w:right w:val="single" w:sz="4" w:space="0" w:color="auto"/>
            </w:tcBorders>
            <w:noWrap/>
            <w:hideMark/>
          </w:tcPr>
          <w:p w14:paraId="2B3FA89A"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Survey Location</w:t>
            </w:r>
          </w:p>
        </w:tc>
        <w:tc>
          <w:tcPr>
            <w:tcW w:w="1348" w:type="dxa"/>
            <w:tcBorders>
              <w:top w:val="single" w:sz="4" w:space="0" w:color="auto"/>
              <w:left w:val="single" w:sz="4" w:space="0" w:color="auto"/>
              <w:bottom w:val="single" w:sz="4" w:space="0" w:color="auto"/>
              <w:right w:val="single" w:sz="4" w:space="0" w:color="auto"/>
            </w:tcBorders>
            <w:noWrap/>
            <w:hideMark/>
          </w:tcPr>
          <w:p w14:paraId="4433D437"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First Flight Date</w:t>
            </w:r>
          </w:p>
        </w:tc>
        <w:tc>
          <w:tcPr>
            <w:tcW w:w="990" w:type="dxa"/>
            <w:tcBorders>
              <w:top w:val="single" w:sz="4" w:space="0" w:color="auto"/>
              <w:left w:val="single" w:sz="4" w:space="0" w:color="auto"/>
              <w:bottom w:val="single" w:sz="4" w:space="0" w:color="auto"/>
              <w:right w:val="single" w:sz="4" w:space="0" w:color="auto"/>
            </w:tcBorders>
            <w:noWrap/>
            <w:hideMark/>
          </w:tcPr>
          <w:p w14:paraId="13612BA2"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Ordinal Day</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1D39DAD"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Latitude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E54B5AF"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Longitude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2CAF17D" w14:textId="77777777" w:rsidR="00D55060" w:rsidRDefault="00D55060" w:rsidP="007B1C6A">
            <w:pPr>
              <w:jc w:val="center"/>
              <w:rPr>
                <w:rFonts w:ascii="Times New Roman" w:hAnsi="Times New Roman" w:cs="Times New Roman"/>
                <w:color w:val="000000"/>
                <w:sz w:val="24"/>
                <w:szCs w:val="24"/>
              </w:rPr>
            </w:pPr>
            <w:r>
              <w:rPr>
                <w:rFonts w:ascii="Times New Roman" w:hAnsi="Times New Roman" w:cs="Times New Roman"/>
                <w:color w:val="000000"/>
                <w:sz w:val="24"/>
                <w:szCs w:val="24"/>
              </w:rPr>
              <w:t>Y</w:t>
            </w:r>
            <w:r w:rsidRPr="008C6192">
              <w:rPr>
                <w:rFonts w:ascii="Times New Roman" w:hAnsi="Times New Roman" w:cs="Times New Roman"/>
                <w:color w:val="000000"/>
                <w:sz w:val="24"/>
                <w:szCs w:val="24"/>
              </w:rPr>
              <w:t>ears</w:t>
            </w:r>
          </w:p>
          <w:p w14:paraId="0E9F0614" w14:textId="77777777" w:rsidR="00D55060" w:rsidRPr="008C6192" w:rsidRDefault="00D55060" w:rsidP="007B1C6A">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Surveyed</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5B8F38D" w14:textId="77777777" w:rsidR="00D55060" w:rsidRDefault="00D55060" w:rsidP="007B1C6A">
            <w:pPr>
              <w:jc w:val="center"/>
              <w:rPr>
                <w:rFonts w:ascii="Times New Roman" w:hAnsi="Times New Roman" w:cs="Times New Roman"/>
                <w:color w:val="000000"/>
                <w:sz w:val="24"/>
                <w:szCs w:val="24"/>
              </w:rPr>
            </w:pPr>
            <w:r w:rsidRPr="008C6192">
              <w:rPr>
                <w:rFonts w:ascii="Times New Roman" w:hAnsi="Times New Roman" w:cs="Times New Roman"/>
                <w:color w:val="000000"/>
                <w:sz w:val="24"/>
                <w:szCs w:val="24"/>
              </w:rPr>
              <w:t>Elevation</w:t>
            </w:r>
          </w:p>
          <w:p w14:paraId="23642A3D" w14:textId="77777777" w:rsidR="00D55060" w:rsidRPr="008C6192" w:rsidRDefault="00D55060" w:rsidP="007B1C6A">
            <w:pPr>
              <w:jc w:val="center"/>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m. </w:t>
            </w:r>
            <w:proofErr w:type="spellStart"/>
            <w:r>
              <w:rPr>
                <w:rFonts w:ascii="Times New Roman" w:hAnsi="Times New Roman" w:cs="Times New Roman"/>
                <w:color w:val="000000"/>
                <w:sz w:val="24"/>
                <w:szCs w:val="24"/>
              </w:rPr>
              <w:t>asl</w:t>
            </w:r>
            <w:proofErr w:type="spellEnd"/>
          </w:p>
        </w:tc>
      </w:tr>
      <w:tr w:rsidR="00D55060" w:rsidRPr="008C6192" w14:paraId="6B94EED3" w14:textId="77777777" w:rsidTr="007B1C6A">
        <w:trPr>
          <w:trHeight w:val="312"/>
        </w:trPr>
        <w:tc>
          <w:tcPr>
            <w:tcW w:w="1370" w:type="dxa"/>
            <w:tcBorders>
              <w:top w:val="single" w:sz="4" w:space="0" w:color="auto"/>
              <w:bottom w:val="single" w:sz="4" w:space="0" w:color="auto"/>
              <w:right w:val="single" w:sz="4" w:space="0" w:color="auto"/>
            </w:tcBorders>
            <w:noWrap/>
            <w:hideMark/>
          </w:tcPr>
          <w:p w14:paraId="42CAB235"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GA-RV</w:t>
            </w:r>
            <w:r w:rsidRPr="00BF15F7">
              <w:rPr>
                <w:rFonts w:ascii="Times New Roman" w:eastAsia="Times New Roman" w:hAnsi="Times New Roman" w:cs="Times New Roman"/>
                <w:color w:val="000000"/>
                <w:sz w:val="24"/>
                <w:szCs w:val="24"/>
                <w:vertAlign w:val="superscript"/>
              </w:rPr>
              <w:t>1</w:t>
            </w:r>
          </w:p>
        </w:tc>
        <w:tc>
          <w:tcPr>
            <w:tcW w:w="1348" w:type="dxa"/>
            <w:tcBorders>
              <w:top w:val="single" w:sz="4" w:space="0" w:color="auto"/>
              <w:left w:val="single" w:sz="4" w:space="0" w:color="auto"/>
              <w:bottom w:val="single" w:sz="4" w:space="0" w:color="auto"/>
              <w:right w:val="single" w:sz="4" w:space="0" w:color="auto"/>
            </w:tcBorders>
            <w:noWrap/>
            <w:hideMark/>
          </w:tcPr>
          <w:p w14:paraId="7523656E"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23-Feb</w:t>
            </w:r>
          </w:p>
        </w:tc>
        <w:tc>
          <w:tcPr>
            <w:tcW w:w="990" w:type="dxa"/>
            <w:tcBorders>
              <w:top w:val="single" w:sz="4" w:space="0" w:color="auto"/>
              <w:left w:val="single" w:sz="4" w:space="0" w:color="auto"/>
              <w:bottom w:val="single" w:sz="4" w:space="0" w:color="auto"/>
              <w:right w:val="single" w:sz="4" w:space="0" w:color="auto"/>
            </w:tcBorders>
            <w:noWrap/>
            <w:hideMark/>
          </w:tcPr>
          <w:p w14:paraId="69F7266B"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54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989C1A5"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34.453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4D6AA90"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-85.015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A5A250F" w14:textId="77777777" w:rsidR="00D55060" w:rsidRPr="008C6192" w:rsidRDefault="00D55060" w:rsidP="007B1C6A">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F4CACFA" w14:textId="77777777" w:rsidR="00D55060" w:rsidRPr="008C6192" w:rsidRDefault="00D55060" w:rsidP="007B1C6A">
            <w:pPr>
              <w:jc w:val="center"/>
              <w:rPr>
                <w:rFonts w:ascii="Times New Roman" w:eastAsia="Times New Roman" w:hAnsi="Times New Roman" w:cs="Times New Roman"/>
                <w:sz w:val="24"/>
                <w:szCs w:val="24"/>
              </w:rPr>
            </w:pPr>
            <w:r w:rsidRPr="008C6192">
              <w:rPr>
                <w:rFonts w:ascii="Times New Roman" w:hAnsi="Times New Roman" w:cs="Times New Roman"/>
                <w:color w:val="000000"/>
                <w:sz w:val="24"/>
                <w:szCs w:val="24"/>
              </w:rPr>
              <w:t>263.831</w:t>
            </w:r>
          </w:p>
        </w:tc>
      </w:tr>
      <w:tr w:rsidR="00D55060" w:rsidRPr="008C6192" w14:paraId="6CACD398" w14:textId="77777777" w:rsidTr="007B1C6A">
        <w:trPr>
          <w:trHeight w:val="312"/>
        </w:trPr>
        <w:tc>
          <w:tcPr>
            <w:tcW w:w="1370" w:type="dxa"/>
            <w:tcBorders>
              <w:top w:val="single" w:sz="4" w:space="0" w:color="auto"/>
              <w:bottom w:val="single" w:sz="4" w:space="0" w:color="auto"/>
              <w:right w:val="single" w:sz="4" w:space="0" w:color="auto"/>
            </w:tcBorders>
            <w:noWrap/>
            <w:hideMark/>
          </w:tcPr>
          <w:p w14:paraId="4B9B062B"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GA-CP</w:t>
            </w:r>
            <w:r w:rsidRPr="00BF15F7">
              <w:rPr>
                <w:rFonts w:ascii="Times New Roman" w:eastAsia="Times New Roman" w:hAnsi="Times New Roman" w:cs="Times New Roman"/>
                <w:color w:val="000000"/>
                <w:sz w:val="24"/>
                <w:szCs w:val="24"/>
                <w:vertAlign w:val="superscript"/>
              </w:rPr>
              <w:t>1</w:t>
            </w:r>
          </w:p>
        </w:tc>
        <w:tc>
          <w:tcPr>
            <w:tcW w:w="1348" w:type="dxa"/>
            <w:tcBorders>
              <w:top w:val="single" w:sz="4" w:space="0" w:color="auto"/>
              <w:left w:val="single" w:sz="4" w:space="0" w:color="auto"/>
              <w:bottom w:val="single" w:sz="4" w:space="0" w:color="auto"/>
              <w:right w:val="single" w:sz="4" w:space="0" w:color="auto"/>
            </w:tcBorders>
            <w:noWrap/>
            <w:hideMark/>
          </w:tcPr>
          <w:p w14:paraId="154880A8"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6-Mar</w:t>
            </w:r>
          </w:p>
        </w:tc>
        <w:tc>
          <w:tcPr>
            <w:tcW w:w="990" w:type="dxa"/>
            <w:tcBorders>
              <w:top w:val="single" w:sz="4" w:space="0" w:color="auto"/>
              <w:left w:val="single" w:sz="4" w:space="0" w:color="auto"/>
              <w:bottom w:val="single" w:sz="4" w:space="0" w:color="auto"/>
              <w:right w:val="single" w:sz="4" w:space="0" w:color="auto"/>
            </w:tcBorders>
            <w:noWrap/>
            <w:hideMark/>
          </w:tcPr>
          <w:p w14:paraId="197C6920"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62</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4D9BE06"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32.062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05BDE5F"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-83.008</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F6EB576" w14:textId="77777777" w:rsidR="00D55060" w:rsidRPr="008C6192" w:rsidRDefault="00D55060" w:rsidP="007B1C6A">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5342643" w14:textId="77777777" w:rsidR="00D55060" w:rsidRPr="008C6192" w:rsidRDefault="00D55060" w:rsidP="007B1C6A">
            <w:pPr>
              <w:jc w:val="center"/>
              <w:rPr>
                <w:rFonts w:ascii="Times New Roman" w:eastAsia="Times New Roman" w:hAnsi="Times New Roman" w:cs="Times New Roman"/>
                <w:sz w:val="24"/>
                <w:szCs w:val="24"/>
              </w:rPr>
            </w:pPr>
            <w:r w:rsidRPr="008C6192">
              <w:rPr>
                <w:rFonts w:ascii="Times New Roman" w:hAnsi="Times New Roman" w:cs="Times New Roman"/>
                <w:color w:val="000000"/>
                <w:sz w:val="24"/>
                <w:szCs w:val="24"/>
              </w:rPr>
              <w:t>84.146</w:t>
            </w:r>
          </w:p>
        </w:tc>
      </w:tr>
      <w:tr w:rsidR="00D55060" w:rsidRPr="008C6192" w14:paraId="15853E0C" w14:textId="77777777" w:rsidTr="007B1C6A">
        <w:trPr>
          <w:trHeight w:val="312"/>
        </w:trPr>
        <w:tc>
          <w:tcPr>
            <w:tcW w:w="1370" w:type="dxa"/>
            <w:tcBorders>
              <w:top w:val="single" w:sz="4" w:space="0" w:color="auto"/>
              <w:bottom w:val="single" w:sz="4" w:space="0" w:color="auto"/>
              <w:right w:val="single" w:sz="4" w:space="0" w:color="auto"/>
            </w:tcBorders>
            <w:noWrap/>
            <w:hideMark/>
          </w:tcPr>
          <w:p w14:paraId="3D3E66C7"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IN</w:t>
            </w:r>
            <w:r w:rsidRPr="00BF15F7">
              <w:rPr>
                <w:rFonts w:ascii="Times New Roman" w:eastAsia="Times New Roman" w:hAnsi="Times New Roman" w:cs="Times New Roman"/>
                <w:color w:val="000000"/>
                <w:sz w:val="24"/>
                <w:szCs w:val="24"/>
                <w:vertAlign w:val="superscript"/>
              </w:rPr>
              <w:t>2</w:t>
            </w:r>
          </w:p>
        </w:tc>
        <w:tc>
          <w:tcPr>
            <w:tcW w:w="1348" w:type="dxa"/>
            <w:tcBorders>
              <w:top w:val="single" w:sz="4" w:space="0" w:color="auto"/>
              <w:left w:val="single" w:sz="4" w:space="0" w:color="auto"/>
              <w:bottom w:val="single" w:sz="4" w:space="0" w:color="auto"/>
              <w:right w:val="single" w:sz="4" w:space="0" w:color="auto"/>
            </w:tcBorders>
            <w:noWrap/>
            <w:hideMark/>
          </w:tcPr>
          <w:p w14:paraId="1DF9C42D"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10-Mar</w:t>
            </w:r>
          </w:p>
        </w:tc>
        <w:tc>
          <w:tcPr>
            <w:tcW w:w="990" w:type="dxa"/>
            <w:tcBorders>
              <w:top w:val="single" w:sz="4" w:space="0" w:color="auto"/>
              <w:left w:val="single" w:sz="4" w:space="0" w:color="auto"/>
              <w:bottom w:val="single" w:sz="4" w:space="0" w:color="auto"/>
              <w:right w:val="single" w:sz="4" w:space="0" w:color="auto"/>
            </w:tcBorders>
            <w:noWrap/>
            <w:hideMark/>
          </w:tcPr>
          <w:p w14:paraId="11E7AAB2"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69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F8C38EA"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39.920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170696F"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-86.282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089AE0E"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1900-1940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CE703B0" w14:textId="77777777" w:rsidR="00D55060" w:rsidRPr="008C6192" w:rsidRDefault="00D55060" w:rsidP="007B1C6A">
            <w:pPr>
              <w:jc w:val="center"/>
              <w:rPr>
                <w:rFonts w:ascii="Times New Roman" w:eastAsia="Times New Roman" w:hAnsi="Times New Roman" w:cs="Times New Roman"/>
                <w:sz w:val="24"/>
                <w:szCs w:val="24"/>
              </w:rPr>
            </w:pPr>
            <w:r w:rsidRPr="008C6192">
              <w:rPr>
                <w:rFonts w:ascii="Times New Roman" w:hAnsi="Times New Roman" w:cs="Times New Roman"/>
                <w:color w:val="000000"/>
                <w:sz w:val="24"/>
                <w:szCs w:val="24"/>
              </w:rPr>
              <w:t>228.571</w:t>
            </w:r>
          </w:p>
        </w:tc>
      </w:tr>
      <w:tr w:rsidR="00D55060" w:rsidRPr="008C6192" w14:paraId="583E9C26" w14:textId="77777777" w:rsidTr="007B1C6A">
        <w:trPr>
          <w:trHeight w:val="312"/>
        </w:trPr>
        <w:tc>
          <w:tcPr>
            <w:tcW w:w="1370" w:type="dxa"/>
            <w:tcBorders>
              <w:top w:val="single" w:sz="4" w:space="0" w:color="auto"/>
              <w:bottom w:val="single" w:sz="4" w:space="0" w:color="auto"/>
              <w:right w:val="single" w:sz="4" w:space="0" w:color="auto"/>
            </w:tcBorders>
            <w:noWrap/>
            <w:hideMark/>
          </w:tcPr>
          <w:p w14:paraId="33AA144C"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NC-M</w:t>
            </w:r>
            <w:r w:rsidRPr="00210C0C">
              <w:rPr>
                <w:rFonts w:ascii="Times New Roman" w:eastAsia="Times New Roman" w:hAnsi="Times New Roman" w:cs="Times New Roman"/>
                <w:color w:val="000000"/>
                <w:sz w:val="24"/>
                <w:szCs w:val="24"/>
                <w:vertAlign w:val="superscript"/>
              </w:rPr>
              <w:t>3</w:t>
            </w:r>
          </w:p>
        </w:tc>
        <w:tc>
          <w:tcPr>
            <w:tcW w:w="1348" w:type="dxa"/>
            <w:tcBorders>
              <w:top w:val="single" w:sz="4" w:space="0" w:color="auto"/>
              <w:left w:val="single" w:sz="4" w:space="0" w:color="auto"/>
              <w:bottom w:val="single" w:sz="4" w:space="0" w:color="auto"/>
              <w:right w:val="single" w:sz="4" w:space="0" w:color="auto"/>
            </w:tcBorders>
            <w:noWrap/>
            <w:hideMark/>
          </w:tcPr>
          <w:p w14:paraId="1ED97B75"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10-Mar</w:t>
            </w:r>
          </w:p>
        </w:tc>
        <w:tc>
          <w:tcPr>
            <w:tcW w:w="990" w:type="dxa"/>
            <w:tcBorders>
              <w:top w:val="single" w:sz="4" w:space="0" w:color="auto"/>
              <w:left w:val="single" w:sz="4" w:space="0" w:color="auto"/>
              <w:bottom w:val="single" w:sz="4" w:space="0" w:color="auto"/>
              <w:right w:val="single" w:sz="4" w:space="0" w:color="auto"/>
            </w:tcBorders>
            <w:noWrap/>
            <w:hideMark/>
          </w:tcPr>
          <w:p w14:paraId="1861F4CC"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69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0F8FFEB"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35.611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B7E8A9F"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-82.785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098F510"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1994-2014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6FE6392" w14:textId="77777777" w:rsidR="00D55060" w:rsidRPr="008C6192" w:rsidRDefault="00D55060" w:rsidP="007B1C6A">
            <w:pPr>
              <w:jc w:val="center"/>
              <w:rPr>
                <w:rFonts w:ascii="Times New Roman" w:eastAsia="Times New Roman" w:hAnsi="Times New Roman" w:cs="Times New Roman"/>
                <w:sz w:val="24"/>
                <w:szCs w:val="24"/>
              </w:rPr>
            </w:pPr>
            <w:r w:rsidRPr="008C6192">
              <w:rPr>
                <w:rFonts w:ascii="Times New Roman" w:hAnsi="Times New Roman" w:cs="Times New Roman"/>
                <w:color w:val="000000"/>
                <w:sz w:val="24"/>
                <w:szCs w:val="24"/>
              </w:rPr>
              <w:t>923.248</w:t>
            </w:r>
          </w:p>
        </w:tc>
      </w:tr>
      <w:tr w:rsidR="00D55060" w:rsidRPr="008C6192" w14:paraId="1F8A0CDF" w14:textId="77777777" w:rsidTr="007B1C6A">
        <w:trPr>
          <w:trHeight w:val="312"/>
        </w:trPr>
        <w:tc>
          <w:tcPr>
            <w:tcW w:w="1370" w:type="dxa"/>
            <w:tcBorders>
              <w:top w:val="single" w:sz="4" w:space="0" w:color="auto"/>
              <w:bottom w:val="single" w:sz="4" w:space="0" w:color="auto"/>
              <w:right w:val="single" w:sz="4" w:space="0" w:color="auto"/>
            </w:tcBorders>
            <w:noWrap/>
            <w:hideMark/>
          </w:tcPr>
          <w:p w14:paraId="74F93BE9"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NJ</w:t>
            </w:r>
            <w:r w:rsidRPr="00210C0C">
              <w:rPr>
                <w:rFonts w:ascii="Times New Roman" w:eastAsia="Times New Roman" w:hAnsi="Times New Roman" w:cs="Times New Roman"/>
                <w:color w:val="000000"/>
                <w:sz w:val="24"/>
                <w:szCs w:val="24"/>
                <w:vertAlign w:val="superscript"/>
              </w:rPr>
              <w:t>4</w:t>
            </w:r>
          </w:p>
        </w:tc>
        <w:tc>
          <w:tcPr>
            <w:tcW w:w="1348" w:type="dxa"/>
            <w:tcBorders>
              <w:top w:val="single" w:sz="4" w:space="0" w:color="auto"/>
              <w:left w:val="single" w:sz="4" w:space="0" w:color="auto"/>
              <w:bottom w:val="single" w:sz="4" w:space="0" w:color="auto"/>
              <w:right w:val="single" w:sz="4" w:space="0" w:color="auto"/>
            </w:tcBorders>
            <w:noWrap/>
            <w:hideMark/>
          </w:tcPr>
          <w:p w14:paraId="187C5F3F"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13-Mar</w:t>
            </w:r>
          </w:p>
        </w:tc>
        <w:tc>
          <w:tcPr>
            <w:tcW w:w="990" w:type="dxa"/>
            <w:tcBorders>
              <w:top w:val="single" w:sz="4" w:space="0" w:color="auto"/>
              <w:left w:val="single" w:sz="4" w:space="0" w:color="auto"/>
              <w:bottom w:val="single" w:sz="4" w:space="0" w:color="auto"/>
              <w:right w:val="single" w:sz="4" w:space="0" w:color="auto"/>
            </w:tcBorders>
            <w:noWrap/>
            <w:hideMark/>
          </w:tcPr>
          <w:p w14:paraId="765EA244"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72</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783F541"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40.110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C647D7B"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-74.656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62E9A60"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2002-2006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4E4FB50" w14:textId="77777777" w:rsidR="00D55060" w:rsidRPr="008C6192" w:rsidRDefault="00D55060" w:rsidP="007B1C6A">
            <w:pPr>
              <w:jc w:val="center"/>
              <w:rPr>
                <w:rFonts w:ascii="Times New Roman" w:eastAsia="Times New Roman" w:hAnsi="Times New Roman" w:cs="Times New Roman"/>
                <w:sz w:val="24"/>
                <w:szCs w:val="24"/>
              </w:rPr>
            </w:pPr>
            <w:r w:rsidRPr="008C6192">
              <w:rPr>
                <w:rFonts w:ascii="Times New Roman" w:hAnsi="Times New Roman" w:cs="Times New Roman"/>
                <w:color w:val="000000"/>
                <w:sz w:val="24"/>
                <w:szCs w:val="24"/>
              </w:rPr>
              <w:t>73.708</w:t>
            </w:r>
          </w:p>
        </w:tc>
      </w:tr>
      <w:tr w:rsidR="00D55060" w:rsidRPr="008C6192" w14:paraId="1F82B545" w14:textId="77777777" w:rsidTr="007B1C6A">
        <w:trPr>
          <w:trHeight w:val="312"/>
        </w:trPr>
        <w:tc>
          <w:tcPr>
            <w:tcW w:w="1370" w:type="dxa"/>
            <w:tcBorders>
              <w:top w:val="single" w:sz="4" w:space="0" w:color="auto"/>
              <w:bottom w:val="single" w:sz="4" w:space="0" w:color="auto"/>
              <w:right w:val="single" w:sz="4" w:space="0" w:color="auto"/>
            </w:tcBorders>
            <w:noWrap/>
            <w:hideMark/>
          </w:tcPr>
          <w:p w14:paraId="0E1C9491"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NC-PD</w:t>
            </w:r>
            <w:r w:rsidRPr="00210C0C">
              <w:rPr>
                <w:rFonts w:ascii="Times New Roman" w:eastAsia="Times New Roman" w:hAnsi="Times New Roman" w:cs="Times New Roman"/>
                <w:color w:val="000000"/>
                <w:sz w:val="24"/>
                <w:szCs w:val="24"/>
                <w:vertAlign w:val="superscript"/>
              </w:rPr>
              <w:t>3</w:t>
            </w:r>
          </w:p>
        </w:tc>
        <w:tc>
          <w:tcPr>
            <w:tcW w:w="1348" w:type="dxa"/>
            <w:tcBorders>
              <w:top w:val="single" w:sz="4" w:space="0" w:color="auto"/>
              <w:left w:val="single" w:sz="4" w:space="0" w:color="auto"/>
              <w:bottom w:val="single" w:sz="4" w:space="0" w:color="auto"/>
              <w:right w:val="single" w:sz="4" w:space="0" w:color="auto"/>
            </w:tcBorders>
            <w:noWrap/>
            <w:hideMark/>
          </w:tcPr>
          <w:p w14:paraId="797C3213"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15-Mar</w:t>
            </w:r>
          </w:p>
        </w:tc>
        <w:tc>
          <w:tcPr>
            <w:tcW w:w="990" w:type="dxa"/>
            <w:tcBorders>
              <w:top w:val="single" w:sz="4" w:space="0" w:color="auto"/>
              <w:left w:val="single" w:sz="4" w:space="0" w:color="auto"/>
              <w:bottom w:val="single" w:sz="4" w:space="0" w:color="auto"/>
              <w:right w:val="single" w:sz="4" w:space="0" w:color="auto"/>
            </w:tcBorders>
            <w:noWrap/>
            <w:hideMark/>
          </w:tcPr>
          <w:p w14:paraId="2C99F3F8"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74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9314EAE"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35.384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3A43E07"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-80.776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EEC8410"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1994-2014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2931468" w14:textId="77777777" w:rsidR="00D55060" w:rsidRPr="008C6192" w:rsidRDefault="00D55060" w:rsidP="007B1C6A">
            <w:pPr>
              <w:jc w:val="center"/>
              <w:rPr>
                <w:rFonts w:ascii="Times New Roman" w:eastAsia="Times New Roman" w:hAnsi="Times New Roman" w:cs="Times New Roman"/>
                <w:sz w:val="24"/>
                <w:szCs w:val="24"/>
              </w:rPr>
            </w:pPr>
            <w:r w:rsidRPr="008C6192">
              <w:rPr>
                <w:rFonts w:ascii="Times New Roman" w:hAnsi="Times New Roman" w:cs="Times New Roman"/>
                <w:color w:val="000000"/>
                <w:sz w:val="24"/>
                <w:szCs w:val="24"/>
              </w:rPr>
              <w:t>228.481</w:t>
            </w:r>
          </w:p>
        </w:tc>
      </w:tr>
      <w:tr w:rsidR="00D55060" w:rsidRPr="008C6192" w14:paraId="1A74E5E2" w14:textId="77777777" w:rsidTr="007B1C6A">
        <w:trPr>
          <w:trHeight w:val="312"/>
        </w:trPr>
        <w:tc>
          <w:tcPr>
            <w:tcW w:w="1370" w:type="dxa"/>
            <w:tcBorders>
              <w:top w:val="single" w:sz="4" w:space="0" w:color="auto"/>
              <w:bottom w:val="single" w:sz="4" w:space="0" w:color="auto"/>
              <w:right w:val="single" w:sz="4" w:space="0" w:color="auto"/>
            </w:tcBorders>
            <w:noWrap/>
            <w:hideMark/>
          </w:tcPr>
          <w:p w14:paraId="7470E996"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OK</w:t>
            </w:r>
            <w:r w:rsidRPr="00210C0C">
              <w:rPr>
                <w:rFonts w:ascii="Times New Roman" w:eastAsia="Times New Roman" w:hAnsi="Times New Roman" w:cs="Times New Roman"/>
                <w:color w:val="000000"/>
                <w:sz w:val="24"/>
                <w:szCs w:val="24"/>
                <w:vertAlign w:val="superscript"/>
              </w:rPr>
              <w:t>5</w:t>
            </w:r>
          </w:p>
        </w:tc>
        <w:tc>
          <w:tcPr>
            <w:tcW w:w="1348" w:type="dxa"/>
            <w:tcBorders>
              <w:top w:val="single" w:sz="4" w:space="0" w:color="auto"/>
              <w:left w:val="single" w:sz="4" w:space="0" w:color="auto"/>
              <w:bottom w:val="single" w:sz="4" w:space="0" w:color="auto"/>
              <w:right w:val="single" w:sz="4" w:space="0" w:color="auto"/>
            </w:tcBorders>
            <w:noWrap/>
            <w:hideMark/>
          </w:tcPr>
          <w:p w14:paraId="2ABE114F"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20-Mar</w:t>
            </w:r>
          </w:p>
        </w:tc>
        <w:tc>
          <w:tcPr>
            <w:tcW w:w="990" w:type="dxa"/>
            <w:tcBorders>
              <w:top w:val="single" w:sz="4" w:space="0" w:color="auto"/>
              <w:left w:val="single" w:sz="4" w:space="0" w:color="auto"/>
              <w:bottom w:val="single" w:sz="4" w:space="0" w:color="auto"/>
              <w:right w:val="single" w:sz="4" w:space="0" w:color="auto"/>
            </w:tcBorders>
            <w:noWrap/>
            <w:hideMark/>
          </w:tcPr>
          <w:p w14:paraId="58AADA3D"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79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D834E7F"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36.551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1672D0A"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-96.255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E379661"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2003-2007</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590AE21" w14:textId="77777777" w:rsidR="00D55060" w:rsidRPr="008C6192" w:rsidRDefault="00D55060" w:rsidP="007B1C6A">
            <w:pPr>
              <w:jc w:val="center"/>
              <w:rPr>
                <w:rFonts w:ascii="Times New Roman" w:eastAsia="Times New Roman" w:hAnsi="Times New Roman" w:cs="Times New Roman"/>
                <w:sz w:val="24"/>
                <w:szCs w:val="24"/>
              </w:rPr>
            </w:pPr>
            <w:r w:rsidRPr="008C6192">
              <w:rPr>
                <w:rFonts w:ascii="Times New Roman" w:hAnsi="Times New Roman" w:cs="Times New Roman"/>
                <w:color w:val="000000"/>
                <w:sz w:val="24"/>
                <w:szCs w:val="24"/>
              </w:rPr>
              <w:t>265.179</w:t>
            </w:r>
          </w:p>
        </w:tc>
      </w:tr>
      <w:tr w:rsidR="00D55060" w:rsidRPr="008C6192" w14:paraId="1A84F82A" w14:textId="77777777" w:rsidTr="007B1C6A">
        <w:trPr>
          <w:trHeight w:val="312"/>
        </w:trPr>
        <w:tc>
          <w:tcPr>
            <w:tcW w:w="1370" w:type="dxa"/>
            <w:tcBorders>
              <w:top w:val="single" w:sz="4" w:space="0" w:color="auto"/>
              <w:bottom w:val="single" w:sz="4" w:space="0" w:color="auto"/>
              <w:right w:val="single" w:sz="4" w:space="0" w:color="auto"/>
            </w:tcBorders>
            <w:noWrap/>
            <w:hideMark/>
          </w:tcPr>
          <w:p w14:paraId="11A3C3EE"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GA-PD</w:t>
            </w:r>
            <w:r w:rsidRPr="00BF15F7">
              <w:rPr>
                <w:rFonts w:ascii="Times New Roman" w:eastAsia="Times New Roman" w:hAnsi="Times New Roman" w:cs="Times New Roman"/>
                <w:color w:val="000000"/>
                <w:sz w:val="24"/>
                <w:szCs w:val="24"/>
                <w:vertAlign w:val="superscript"/>
              </w:rPr>
              <w:t>1</w:t>
            </w:r>
          </w:p>
        </w:tc>
        <w:tc>
          <w:tcPr>
            <w:tcW w:w="1348" w:type="dxa"/>
            <w:tcBorders>
              <w:top w:val="single" w:sz="4" w:space="0" w:color="auto"/>
              <w:left w:val="single" w:sz="4" w:space="0" w:color="auto"/>
              <w:bottom w:val="single" w:sz="4" w:space="0" w:color="auto"/>
              <w:right w:val="single" w:sz="4" w:space="0" w:color="auto"/>
            </w:tcBorders>
            <w:noWrap/>
            <w:hideMark/>
          </w:tcPr>
          <w:p w14:paraId="52A0371C"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22-Mar</w:t>
            </w:r>
          </w:p>
        </w:tc>
        <w:tc>
          <w:tcPr>
            <w:tcW w:w="990" w:type="dxa"/>
            <w:tcBorders>
              <w:top w:val="single" w:sz="4" w:space="0" w:color="auto"/>
              <w:left w:val="single" w:sz="4" w:space="0" w:color="auto"/>
              <w:bottom w:val="single" w:sz="4" w:space="0" w:color="auto"/>
              <w:right w:val="single" w:sz="4" w:space="0" w:color="auto"/>
            </w:tcBorders>
            <w:noWrap/>
            <w:hideMark/>
          </w:tcPr>
          <w:p w14:paraId="676F091B"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81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9BD4C24"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33.614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E1EDA2B"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-83.781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0A47C56" w14:textId="77777777" w:rsidR="00D55060" w:rsidRPr="008C6192" w:rsidRDefault="00D55060" w:rsidP="007B1C6A">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142CB7B" w14:textId="77777777" w:rsidR="00D55060" w:rsidRPr="008C6192" w:rsidRDefault="00D55060" w:rsidP="007B1C6A">
            <w:pPr>
              <w:jc w:val="center"/>
              <w:rPr>
                <w:rFonts w:ascii="Times New Roman" w:eastAsia="Times New Roman" w:hAnsi="Times New Roman" w:cs="Times New Roman"/>
                <w:sz w:val="24"/>
                <w:szCs w:val="24"/>
              </w:rPr>
            </w:pPr>
            <w:r w:rsidRPr="008C6192">
              <w:rPr>
                <w:rFonts w:ascii="Times New Roman" w:hAnsi="Times New Roman" w:cs="Times New Roman"/>
                <w:color w:val="000000"/>
                <w:sz w:val="24"/>
                <w:szCs w:val="24"/>
              </w:rPr>
              <w:t>260.448</w:t>
            </w:r>
          </w:p>
        </w:tc>
      </w:tr>
      <w:tr w:rsidR="00D55060" w:rsidRPr="008C6192" w14:paraId="2F3F8B38" w14:textId="77777777" w:rsidTr="007B1C6A">
        <w:trPr>
          <w:trHeight w:val="312"/>
        </w:trPr>
        <w:tc>
          <w:tcPr>
            <w:tcW w:w="1370" w:type="dxa"/>
            <w:tcBorders>
              <w:top w:val="single" w:sz="4" w:space="0" w:color="auto"/>
              <w:bottom w:val="single" w:sz="4" w:space="0" w:color="auto"/>
              <w:right w:val="single" w:sz="4" w:space="0" w:color="auto"/>
            </w:tcBorders>
            <w:noWrap/>
            <w:hideMark/>
          </w:tcPr>
          <w:p w14:paraId="7A312BDC"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MD</w:t>
            </w:r>
            <w:r w:rsidRPr="000E1201">
              <w:rPr>
                <w:rFonts w:ascii="Times New Roman" w:eastAsia="Times New Roman" w:hAnsi="Times New Roman" w:cs="Times New Roman"/>
                <w:color w:val="000000"/>
                <w:sz w:val="24"/>
                <w:szCs w:val="24"/>
                <w:vertAlign w:val="superscript"/>
              </w:rPr>
              <w:t>6</w:t>
            </w:r>
          </w:p>
        </w:tc>
        <w:tc>
          <w:tcPr>
            <w:tcW w:w="1348" w:type="dxa"/>
            <w:tcBorders>
              <w:top w:val="single" w:sz="4" w:space="0" w:color="auto"/>
              <w:left w:val="single" w:sz="4" w:space="0" w:color="auto"/>
              <w:bottom w:val="single" w:sz="4" w:space="0" w:color="auto"/>
              <w:right w:val="single" w:sz="4" w:space="0" w:color="auto"/>
            </w:tcBorders>
            <w:noWrap/>
            <w:hideMark/>
          </w:tcPr>
          <w:p w14:paraId="4B6C9780"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24-Mar</w:t>
            </w:r>
          </w:p>
        </w:tc>
        <w:tc>
          <w:tcPr>
            <w:tcW w:w="990" w:type="dxa"/>
            <w:tcBorders>
              <w:top w:val="single" w:sz="4" w:space="0" w:color="auto"/>
              <w:left w:val="single" w:sz="4" w:space="0" w:color="auto"/>
              <w:bottom w:val="single" w:sz="4" w:space="0" w:color="auto"/>
              <w:right w:val="single" w:sz="4" w:space="0" w:color="auto"/>
            </w:tcBorders>
            <w:noWrap/>
            <w:hideMark/>
          </w:tcPr>
          <w:p w14:paraId="1FFCD7A7"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83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1E9E674"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39.033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53AC03D"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-76.809</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9EDC4AA"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1991-1995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19EAC2A" w14:textId="77777777" w:rsidR="00D55060" w:rsidRPr="008C6192" w:rsidRDefault="00D55060" w:rsidP="007B1C6A">
            <w:pPr>
              <w:jc w:val="center"/>
              <w:rPr>
                <w:rFonts w:ascii="Times New Roman" w:eastAsia="Times New Roman" w:hAnsi="Times New Roman" w:cs="Times New Roman"/>
                <w:sz w:val="24"/>
                <w:szCs w:val="24"/>
              </w:rPr>
            </w:pPr>
            <w:r w:rsidRPr="008C6192">
              <w:rPr>
                <w:rFonts w:ascii="Times New Roman" w:hAnsi="Times New Roman" w:cs="Times New Roman"/>
                <w:color w:val="000000"/>
                <w:sz w:val="24"/>
                <w:szCs w:val="24"/>
              </w:rPr>
              <w:t>62</w:t>
            </w:r>
          </w:p>
        </w:tc>
      </w:tr>
      <w:tr w:rsidR="00D55060" w:rsidRPr="008C6192" w14:paraId="13B7102F" w14:textId="77777777" w:rsidTr="007B1C6A">
        <w:trPr>
          <w:trHeight w:val="312"/>
        </w:trPr>
        <w:tc>
          <w:tcPr>
            <w:tcW w:w="1370" w:type="dxa"/>
            <w:tcBorders>
              <w:top w:val="single" w:sz="4" w:space="0" w:color="auto"/>
              <w:bottom w:val="single" w:sz="4" w:space="0" w:color="auto"/>
              <w:right w:val="single" w:sz="4" w:space="0" w:color="auto"/>
            </w:tcBorders>
            <w:noWrap/>
            <w:hideMark/>
          </w:tcPr>
          <w:p w14:paraId="33CCB385"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NC-CP</w:t>
            </w:r>
            <w:r w:rsidRPr="00210C0C">
              <w:rPr>
                <w:rFonts w:ascii="Times New Roman" w:eastAsia="Times New Roman" w:hAnsi="Times New Roman" w:cs="Times New Roman"/>
                <w:color w:val="000000"/>
                <w:sz w:val="24"/>
                <w:szCs w:val="24"/>
                <w:vertAlign w:val="superscript"/>
              </w:rPr>
              <w:t>3</w:t>
            </w:r>
          </w:p>
        </w:tc>
        <w:tc>
          <w:tcPr>
            <w:tcW w:w="1348" w:type="dxa"/>
            <w:tcBorders>
              <w:top w:val="single" w:sz="4" w:space="0" w:color="auto"/>
              <w:left w:val="single" w:sz="4" w:space="0" w:color="auto"/>
              <w:bottom w:val="single" w:sz="4" w:space="0" w:color="auto"/>
              <w:right w:val="single" w:sz="4" w:space="0" w:color="auto"/>
            </w:tcBorders>
            <w:noWrap/>
            <w:hideMark/>
          </w:tcPr>
          <w:p w14:paraId="4F0FB66E"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25-Mar</w:t>
            </w:r>
          </w:p>
        </w:tc>
        <w:tc>
          <w:tcPr>
            <w:tcW w:w="990" w:type="dxa"/>
            <w:tcBorders>
              <w:top w:val="single" w:sz="4" w:space="0" w:color="auto"/>
              <w:left w:val="single" w:sz="4" w:space="0" w:color="auto"/>
              <w:bottom w:val="single" w:sz="4" w:space="0" w:color="auto"/>
              <w:right w:val="single" w:sz="4" w:space="0" w:color="auto"/>
            </w:tcBorders>
            <w:noWrap/>
            <w:hideMark/>
          </w:tcPr>
          <w:p w14:paraId="28D66DE2"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84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5423B5C"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34.544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8EC2479"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-78.750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63FE696"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1994-2014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C7DDDE9" w14:textId="77777777" w:rsidR="00D55060" w:rsidRPr="008C6192" w:rsidRDefault="00D55060" w:rsidP="007B1C6A">
            <w:pPr>
              <w:jc w:val="center"/>
              <w:rPr>
                <w:rFonts w:ascii="Times New Roman" w:eastAsia="Times New Roman" w:hAnsi="Times New Roman" w:cs="Times New Roman"/>
                <w:sz w:val="24"/>
                <w:szCs w:val="24"/>
              </w:rPr>
            </w:pPr>
            <w:r w:rsidRPr="008C6192">
              <w:rPr>
                <w:rFonts w:ascii="Times New Roman" w:hAnsi="Times New Roman" w:cs="Times New Roman"/>
                <w:color w:val="000000"/>
                <w:sz w:val="24"/>
                <w:szCs w:val="24"/>
              </w:rPr>
              <w:t>39.684</w:t>
            </w:r>
          </w:p>
        </w:tc>
      </w:tr>
      <w:tr w:rsidR="00D55060" w:rsidRPr="008C6192" w14:paraId="37BE4A68" w14:textId="77777777" w:rsidTr="007B1C6A">
        <w:trPr>
          <w:trHeight w:val="312"/>
        </w:trPr>
        <w:tc>
          <w:tcPr>
            <w:tcW w:w="1370" w:type="dxa"/>
            <w:tcBorders>
              <w:top w:val="single" w:sz="4" w:space="0" w:color="auto"/>
              <w:bottom w:val="single" w:sz="4" w:space="0" w:color="auto"/>
              <w:right w:val="single" w:sz="4" w:space="0" w:color="auto"/>
            </w:tcBorders>
            <w:noWrap/>
            <w:hideMark/>
          </w:tcPr>
          <w:p w14:paraId="70F49B0F"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OH</w:t>
            </w:r>
            <w:r w:rsidRPr="00593FF5">
              <w:rPr>
                <w:rFonts w:ascii="Times New Roman" w:eastAsia="Times New Roman" w:hAnsi="Times New Roman" w:cs="Times New Roman"/>
                <w:color w:val="000000"/>
                <w:sz w:val="24"/>
                <w:szCs w:val="24"/>
                <w:vertAlign w:val="superscript"/>
              </w:rPr>
              <w:t>7</w:t>
            </w:r>
          </w:p>
        </w:tc>
        <w:tc>
          <w:tcPr>
            <w:tcW w:w="1348" w:type="dxa"/>
            <w:tcBorders>
              <w:top w:val="single" w:sz="4" w:space="0" w:color="auto"/>
              <w:left w:val="single" w:sz="4" w:space="0" w:color="auto"/>
              <w:bottom w:val="single" w:sz="4" w:space="0" w:color="auto"/>
              <w:right w:val="single" w:sz="4" w:space="0" w:color="auto"/>
            </w:tcBorders>
            <w:noWrap/>
            <w:hideMark/>
          </w:tcPr>
          <w:p w14:paraId="72ED934B"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5-Apr</w:t>
            </w:r>
          </w:p>
        </w:tc>
        <w:tc>
          <w:tcPr>
            <w:tcW w:w="990" w:type="dxa"/>
            <w:tcBorders>
              <w:top w:val="single" w:sz="4" w:space="0" w:color="auto"/>
              <w:left w:val="single" w:sz="4" w:space="0" w:color="auto"/>
              <w:bottom w:val="single" w:sz="4" w:space="0" w:color="auto"/>
              <w:right w:val="single" w:sz="4" w:space="0" w:color="auto"/>
            </w:tcBorders>
            <w:noWrap/>
            <w:hideMark/>
          </w:tcPr>
          <w:p w14:paraId="1F38A666"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95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B545E29"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40.415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EAD3332"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-82.709</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591D902"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1896-1999</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73F0562" w14:textId="77777777" w:rsidR="00D55060" w:rsidRPr="008C6192" w:rsidRDefault="00D55060" w:rsidP="007B1C6A">
            <w:pPr>
              <w:jc w:val="center"/>
              <w:rPr>
                <w:rFonts w:ascii="Times New Roman" w:eastAsia="Times New Roman" w:hAnsi="Times New Roman" w:cs="Times New Roman"/>
                <w:sz w:val="24"/>
                <w:szCs w:val="24"/>
              </w:rPr>
            </w:pPr>
            <w:r w:rsidRPr="008C6192">
              <w:rPr>
                <w:rFonts w:ascii="Times New Roman" w:hAnsi="Times New Roman" w:cs="Times New Roman"/>
                <w:color w:val="000000"/>
                <w:sz w:val="24"/>
                <w:szCs w:val="24"/>
              </w:rPr>
              <w:t>282.393</w:t>
            </w:r>
          </w:p>
        </w:tc>
      </w:tr>
      <w:tr w:rsidR="00D55060" w:rsidRPr="008C6192" w14:paraId="5BB1E4E7" w14:textId="77777777" w:rsidTr="007B1C6A">
        <w:trPr>
          <w:trHeight w:val="312"/>
        </w:trPr>
        <w:tc>
          <w:tcPr>
            <w:tcW w:w="1370" w:type="dxa"/>
            <w:tcBorders>
              <w:top w:val="single" w:sz="4" w:space="0" w:color="auto"/>
              <w:bottom w:val="single" w:sz="4" w:space="0" w:color="auto"/>
              <w:right w:val="single" w:sz="4" w:space="0" w:color="auto"/>
            </w:tcBorders>
            <w:noWrap/>
            <w:hideMark/>
          </w:tcPr>
          <w:p w14:paraId="1A394E67"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WV</w:t>
            </w:r>
            <w:r w:rsidRPr="00314285">
              <w:rPr>
                <w:rFonts w:ascii="Times New Roman" w:eastAsia="Times New Roman" w:hAnsi="Times New Roman" w:cs="Times New Roman"/>
                <w:color w:val="000000"/>
                <w:sz w:val="24"/>
                <w:szCs w:val="24"/>
                <w:vertAlign w:val="superscript"/>
              </w:rPr>
              <w:t>8</w:t>
            </w:r>
          </w:p>
        </w:tc>
        <w:tc>
          <w:tcPr>
            <w:tcW w:w="1348" w:type="dxa"/>
            <w:tcBorders>
              <w:top w:val="single" w:sz="4" w:space="0" w:color="auto"/>
              <w:left w:val="single" w:sz="4" w:space="0" w:color="auto"/>
              <w:bottom w:val="single" w:sz="4" w:space="0" w:color="auto"/>
              <w:right w:val="single" w:sz="4" w:space="0" w:color="auto"/>
            </w:tcBorders>
            <w:noWrap/>
            <w:hideMark/>
          </w:tcPr>
          <w:p w14:paraId="238177FF"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5-Apr</w:t>
            </w:r>
          </w:p>
        </w:tc>
        <w:tc>
          <w:tcPr>
            <w:tcW w:w="990" w:type="dxa"/>
            <w:tcBorders>
              <w:top w:val="single" w:sz="4" w:space="0" w:color="auto"/>
              <w:left w:val="single" w:sz="4" w:space="0" w:color="auto"/>
              <w:bottom w:val="single" w:sz="4" w:space="0" w:color="auto"/>
              <w:right w:val="single" w:sz="4" w:space="0" w:color="auto"/>
            </w:tcBorders>
            <w:noWrap/>
            <w:hideMark/>
          </w:tcPr>
          <w:p w14:paraId="38E53C6A"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95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D4B92FC"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38.643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752BDA3"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-80.614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C420C39"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1995-2010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CDBEA22" w14:textId="77777777" w:rsidR="00D55060" w:rsidRPr="008C6192" w:rsidRDefault="00D55060" w:rsidP="007B1C6A">
            <w:pPr>
              <w:jc w:val="center"/>
              <w:rPr>
                <w:rFonts w:ascii="Times New Roman" w:eastAsia="Times New Roman" w:hAnsi="Times New Roman" w:cs="Times New Roman"/>
                <w:sz w:val="24"/>
                <w:szCs w:val="24"/>
              </w:rPr>
            </w:pPr>
            <w:r w:rsidRPr="008C6192">
              <w:rPr>
                <w:rFonts w:ascii="Times New Roman" w:hAnsi="Times New Roman" w:cs="Times New Roman"/>
                <w:color w:val="000000"/>
                <w:sz w:val="24"/>
                <w:szCs w:val="24"/>
              </w:rPr>
              <w:t>510.573</w:t>
            </w:r>
          </w:p>
        </w:tc>
      </w:tr>
      <w:tr w:rsidR="00D55060" w:rsidRPr="008C6192" w14:paraId="2900907C" w14:textId="77777777" w:rsidTr="007B1C6A">
        <w:trPr>
          <w:trHeight w:val="312"/>
        </w:trPr>
        <w:tc>
          <w:tcPr>
            <w:tcW w:w="1370" w:type="dxa"/>
            <w:tcBorders>
              <w:top w:val="single" w:sz="4" w:space="0" w:color="auto"/>
              <w:bottom w:val="single" w:sz="4" w:space="0" w:color="auto"/>
              <w:right w:val="single" w:sz="4" w:space="0" w:color="auto"/>
            </w:tcBorders>
            <w:noWrap/>
            <w:hideMark/>
          </w:tcPr>
          <w:p w14:paraId="52A767DB"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CT</w:t>
            </w:r>
            <w:r w:rsidRPr="004021EE">
              <w:rPr>
                <w:rFonts w:ascii="Times New Roman" w:eastAsia="Times New Roman" w:hAnsi="Times New Roman" w:cs="Times New Roman"/>
                <w:color w:val="000000"/>
                <w:sz w:val="24"/>
                <w:szCs w:val="24"/>
                <w:vertAlign w:val="superscript"/>
              </w:rPr>
              <w:t>9</w:t>
            </w:r>
          </w:p>
        </w:tc>
        <w:tc>
          <w:tcPr>
            <w:tcW w:w="1348" w:type="dxa"/>
            <w:tcBorders>
              <w:top w:val="single" w:sz="4" w:space="0" w:color="auto"/>
              <w:left w:val="single" w:sz="4" w:space="0" w:color="auto"/>
              <w:bottom w:val="single" w:sz="4" w:space="0" w:color="auto"/>
              <w:right w:val="single" w:sz="4" w:space="0" w:color="auto"/>
            </w:tcBorders>
            <w:noWrap/>
            <w:hideMark/>
          </w:tcPr>
          <w:p w14:paraId="7B4812A6"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14-Apr</w:t>
            </w:r>
          </w:p>
        </w:tc>
        <w:tc>
          <w:tcPr>
            <w:tcW w:w="990" w:type="dxa"/>
            <w:tcBorders>
              <w:top w:val="single" w:sz="4" w:space="0" w:color="auto"/>
              <w:left w:val="single" w:sz="4" w:space="0" w:color="auto"/>
              <w:bottom w:val="single" w:sz="4" w:space="0" w:color="auto"/>
              <w:right w:val="single" w:sz="4" w:space="0" w:color="auto"/>
            </w:tcBorders>
            <w:noWrap/>
            <w:hideMark/>
          </w:tcPr>
          <w:p w14:paraId="17005F32"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104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450C26E"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41.575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93FB175"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-72.738</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B879186"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1999-2007</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AE6881C" w14:textId="77777777" w:rsidR="00D55060" w:rsidRPr="008C6192" w:rsidRDefault="00D55060" w:rsidP="007B1C6A">
            <w:pPr>
              <w:jc w:val="center"/>
              <w:rPr>
                <w:rFonts w:ascii="Times New Roman" w:eastAsia="Times New Roman" w:hAnsi="Times New Roman" w:cs="Times New Roman"/>
                <w:sz w:val="24"/>
                <w:szCs w:val="24"/>
              </w:rPr>
            </w:pPr>
            <w:r w:rsidRPr="008C6192">
              <w:rPr>
                <w:rFonts w:ascii="Times New Roman" w:hAnsi="Times New Roman" w:cs="Times New Roman"/>
                <w:color w:val="000000"/>
                <w:sz w:val="24"/>
                <w:szCs w:val="24"/>
              </w:rPr>
              <w:t>147.661</w:t>
            </w:r>
          </w:p>
        </w:tc>
      </w:tr>
      <w:tr w:rsidR="00D55060" w:rsidRPr="008C6192" w14:paraId="2E7C744D" w14:textId="77777777" w:rsidTr="007B1C6A">
        <w:trPr>
          <w:trHeight w:val="312"/>
        </w:trPr>
        <w:tc>
          <w:tcPr>
            <w:tcW w:w="1370" w:type="dxa"/>
            <w:tcBorders>
              <w:top w:val="single" w:sz="4" w:space="0" w:color="auto"/>
              <w:bottom w:val="single" w:sz="4" w:space="0" w:color="auto"/>
              <w:right w:val="single" w:sz="4" w:space="0" w:color="auto"/>
            </w:tcBorders>
            <w:noWrap/>
            <w:hideMark/>
          </w:tcPr>
          <w:p w14:paraId="15B3B7B2"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NY</w:t>
            </w:r>
            <w:r w:rsidRPr="004021EE">
              <w:rPr>
                <w:rFonts w:ascii="Times New Roman" w:eastAsia="Times New Roman" w:hAnsi="Times New Roman" w:cs="Times New Roman"/>
                <w:color w:val="000000"/>
                <w:sz w:val="24"/>
                <w:szCs w:val="24"/>
                <w:vertAlign w:val="superscript"/>
              </w:rPr>
              <w:t>10</w:t>
            </w:r>
          </w:p>
        </w:tc>
        <w:tc>
          <w:tcPr>
            <w:tcW w:w="1348" w:type="dxa"/>
            <w:tcBorders>
              <w:top w:val="single" w:sz="4" w:space="0" w:color="auto"/>
              <w:left w:val="single" w:sz="4" w:space="0" w:color="auto"/>
              <w:bottom w:val="single" w:sz="4" w:space="0" w:color="auto"/>
              <w:right w:val="single" w:sz="4" w:space="0" w:color="auto"/>
            </w:tcBorders>
            <w:noWrap/>
            <w:hideMark/>
          </w:tcPr>
          <w:p w14:paraId="2A9AE88E"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15-Apr</w:t>
            </w:r>
          </w:p>
        </w:tc>
        <w:tc>
          <w:tcPr>
            <w:tcW w:w="990" w:type="dxa"/>
            <w:tcBorders>
              <w:top w:val="single" w:sz="4" w:space="0" w:color="auto"/>
              <w:left w:val="single" w:sz="4" w:space="0" w:color="auto"/>
              <w:bottom w:val="single" w:sz="4" w:space="0" w:color="auto"/>
              <w:right w:val="single" w:sz="4" w:space="0" w:color="auto"/>
            </w:tcBorders>
            <w:noWrap/>
            <w:hideMark/>
          </w:tcPr>
          <w:p w14:paraId="13D84E9B"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105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C4C3A91"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42.921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36FB799"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-75.597</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FE34A37"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2005-2009</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DA2ED75" w14:textId="77777777" w:rsidR="00D55060" w:rsidRPr="008C6192" w:rsidRDefault="00D55060" w:rsidP="007B1C6A">
            <w:pPr>
              <w:jc w:val="center"/>
              <w:rPr>
                <w:rFonts w:ascii="Times New Roman" w:eastAsia="Times New Roman" w:hAnsi="Times New Roman" w:cs="Times New Roman"/>
                <w:sz w:val="24"/>
                <w:szCs w:val="24"/>
              </w:rPr>
            </w:pPr>
            <w:r w:rsidRPr="008C6192">
              <w:rPr>
                <w:rFonts w:ascii="Times New Roman" w:hAnsi="Times New Roman" w:cs="Times New Roman"/>
                <w:color w:val="000000"/>
                <w:sz w:val="24"/>
                <w:szCs w:val="24"/>
              </w:rPr>
              <w:t>342.287</w:t>
            </w:r>
          </w:p>
        </w:tc>
      </w:tr>
      <w:tr w:rsidR="00D55060" w:rsidRPr="008C6192" w14:paraId="18E9500D" w14:textId="77777777" w:rsidTr="007B1C6A">
        <w:trPr>
          <w:trHeight w:val="312"/>
        </w:trPr>
        <w:tc>
          <w:tcPr>
            <w:tcW w:w="1370" w:type="dxa"/>
            <w:tcBorders>
              <w:top w:val="single" w:sz="4" w:space="0" w:color="auto"/>
              <w:bottom w:val="single" w:sz="4" w:space="0" w:color="auto"/>
              <w:right w:val="single" w:sz="4" w:space="0" w:color="auto"/>
            </w:tcBorders>
            <w:noWrap/>
            <w:hideMark/>
          </w:tcPr>
          <w:p w14:paraId="77867CCB"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GA-BR</w:t>
            </w:r>
            <w:r w:rsidRPr="00BF15F7">
              <w:rPr>
                <w:rFonts w:ascii="Times New Roman" w:eastAsia="Times New Roman" w:hAnsi="Times New Roman" w:cs="Times New Roman"/>
                <w:color w:val="000000"/>
                <w:sz w:val="24"/>
                <w:szCs w:val="24"/>
                <w:vertAlign w:val="superscript"/>
              </w:rPr>
              <w:t>1</w:t>
            </w:r>
          </w:p>
        </w:tc>
        <w:tc>
          <w:tcPr>
            <w:tcW w:w="1348" w:type="dxa"/>
            <w:tcBorders>
              <w:top w:val="single" w:sz="4" w:space="0" w:color="auto"/>
              <w:left w:val="single" w:sz="4" w:space="0" w:color="auto"/>
              <w:bottom w:val="single" w:sz="4" w:space="0" w:color="auto"/>
              <w:right w:val="single" w:sz="4" w:space="0" w:color="auto"/>
            </w:tcBorders>
            <w:noWrap/>
            <w:hideMark/>
          </w:tcPr>
          <w:p w14:paraId="7D6E7B3E"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17-Apr</w:t>
            </w:r>
          </w:p>
        </w:tc>
        <w:tc>
          <w:tcPr>
            <w:tcW w:w="990" w:type="dxa"/>
            <w:tcBorders>
              <w:top w:val="single" w:sz="4" w:space="0" w:color="auto"/>
              <w:left w:val="single" w:sz="4" w:space="0" w:color="auto"/>
              <w:bottom w:val="single" w:sz="4" w:space="0" w:color="auto"/>
              <w:right w:val="single" w:sz="4" w:space="0" w:color="auto"/>
            </w:tcBorders>
            <w:noWrap/>
            <w:hideMark/>
          </w:tcPr>
          <w:p w14:paraId="127AF156"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107</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18934CE"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34.818</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7BB7E07"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-84.150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EDEBF6A" w14:textId="77777777" w:rsidR="00D55060" w:rsidRPr="008C6192" w:rsidRDefault="00D55060" w:rsidP="007B1C6A">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2621C6D" w14:textId="77777777" w:rsidR="00D55060" w:rsidRPr="008C6192" w:rsidRDefault="00D55060" w:rsidP="007B1C6A">
            <w:pPr>
              <w:jc w:val="center"/>
              <w:rPr>
                <w:rFonts w:ascii="Times New Roman" w:eastAsia="Times New Roman" w:hAnsi="Times New Roman" w:cs="Times New Roman"/>
                <w:sz w:val="24"/>
                <w:szCs w:val="24"/>
              </w:rPr>
            </w:pPr>
            <w:r w:rsidRPr="008C6192">
              <w:rPr>
                <w:rFonts w:ascii="Times New Roman" w:hAnsi="Times New Roman" w:cs="Times New Roman"/>
                <w:color w:val="000000"/>
                <w:sz w:val="24"/>
                <w:szCs w:val="24"/>
              </w:rPr>
              <w:t>614.035</w:t>
            </w:r>
          </w:p>
        </w:tc>
      </w:tr>
      <w:tr w:rsidR="00D55060" w:rsidRPr="008C6192" w14:paraId="60BB5497" w14:textId="77777777" w:rsidTr="007B1C6A">
        <w:trPr>
          <w:trHeight w:val="312"/>
        </w:trPr>
        <w:tc>
          <w:tcPr>
            <w:tcW w:w="1370" w:type="dxa"/>
            <w:tcBorders>
              <w:top w:val="single" w:sz="4" w:space="0" w:color="auto"/>
              <w:bottom w:val="single" w:sz="4" w:space="0" w:color="auto"/>
              <w:right w:val="single" w:sz="4" w:space="0" w:color="auto"/>
            </w:tcBorders>
            <w:noWrap/>
          </w:tcPr>
          <w:p w14:paraId="49B0BD04"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VT</w:t>
            </w:r>
            <w:r w:rsidRPr="004021EE">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vertAlign w:val="superscript"/>
              </w:rPr>
              <w:t>1</w:t>
            </w:r>
          </w:p>
        </w:tc>
        <w:tc>
          <w:tcPr>
            <w:tcW w:w="1348" w:type="dxa"/>
            <w:tcBorders>
              <w:top w:val="single" w:sz="4" w:space="0" w:color="auto"/>
              <w:left w:val="single" w:sz="4" w:space="0" w:color="auto"/>
              <w:bottom w:val="single" w:sz="4" w:space="0" w:color="auto"/>
              <w:right w:val="single" w:sz="4" w:space="0" w:color="auto"/>
            </w:tcBorders>
            <w:noWrap/>
          </w:tcPr>
          <w:p w14:paraId="1C50286F"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9</w:t>
            </w:r>
            <w:r w:rsidRPr="008C619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Apr</w:t>
            </w:r>
          </w:p>
        </w:tc>
        <w:tc>
          <w:tcPr>
            <w:tcW w:w="990" w:type="dxa"/>
            <w:tcBorders>
              <w:top w:val="single" w:sz="4" w:space="0" w:color="auto"/>
              <w:left w:val="single" w:sz="4" w:space="0" w:color="auto"/>
              <w:bottom w:val="single" w:sz="4" w:space="0" w:color="auto"/>
              <w:right w:val="single" w:sz="4" w:space="0" w:color="auto"/>
            </w:tcBorders>
            <w:noWrap/>
          </w:tcPr>
          <w:p w14:paraId="4A2BE5F8"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09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122250D" w14:textId="77777777" w:rsidR="00D55060" w:rsidRPr="008C6192" w:rsidRDefault="00D55060" w:rsidP="007B1C6A">
            <w:pPr>
              <w:jc w:val="center"/>
              <w:rPr>
                <w:rFonts w:ascii="Times New Roman" w:hAnsi="Times New Roman" w:cs="Times New Roman"/>
                <w:color w:val="000000"/>
                <w:sz w:val="24"/>
                <w:szCs w:val="24"/>
              </w:rPr>
            </w:pPr>
            <w:r w:rsidRPr="008C6192">
              <w:rPr>
                <w:rFonts w:ascii="Times New Roman" w:hAnsi="Times New Roman" w:cs="Times New Roman"/>
                <w:color w:val="000000"/>
                <w:sz w:val="24"/>
                <w:szCs w:val="24"/>
              </w:rPr>
              <w:t>44.075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5F421E9" w14:textId="77777777" w:rsidR="00D55060" w:rsidRPr="008C6192" w:rsidRDefault="00D55060" w:rsidP="007B1C6A">
            <w:pPr>
              <w:jc w:val="center"/>
              <w:rPr>
                <w:rFonts w:ascii="Times New Roman" w:hAnsi="Times New Roman" w:cs="Times New Roman"/>
                <w:color w:val="000000"/>
                <w:sz w:val="24"/>
                <w:szCs w:val="24"/>
              </w:rPr>
            </w:pPr>
            <w:r w:rsidRPr="008C6192">
              <w:rPr>
                <w:rFonts w:ascii="Times New Roman" w:hAnsi="Times New Roman" w:cs="Times New Roman"/>
                <w:color w:val="000000"/>
                <w:sz w:val="24"/>
                <w:szCs w:val="24"/>
              </w:rPr>
              <w:t>-72.663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1C5DEB4" w14:textId="77777777" w:rsidR="00D55060" w:rsidRDefault="00D55060" w:rsidP="007B1C6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EFD9147" w14:textId="77777777" w:rsidR="00D55060" w:rsidRPr="008C6192" w:rsidRDefault="00D55060" w:rsidP="007B1C6A">
            <w:pPr>
              <w:jc w:val="center"/>
              <w:rPr>
                <w:rFonts w:ascii="Times New Roman" w:hAnsi="Times New Roman" w:cs="Times New Roman"/>
                <w:color w:val="000000"/>
                <w:sz w:val="24"/>
                <w:szCs w:val="24"/>
              </w:rPr>
            </w:pPr>
            <w:r w:rsidRPr="008C6192">
              <w:rPr>
                <w:rFonts w:ascii="Times New Roman" w:hAnsi="Times New Roman" w:cs="Times New Roman"/>
                <w:color w:val="000000"/>
                <w:sz w:val="24"/>
                <w:szCs w:val="24"/>
              </w:rPr>
              <w:t>371.329</w:t>
            </w:r>
          </w:p>
        </w:tc>
      </w:tr>
      <w:tr w:rsidR="00D55060" w:rsidRPr="008C6192" w14:paraId="3651A017" w14:textId="77777777" w:rsidTr="007B1C6A">
        <w:trPr>
          <w:trHeight w:val="312"/>
        </w:trPr>
        <w:tc>
          <w:tcPr>
            <w:tcW w:w="1370" w:type="dxa"/>
            <w:tcBorders>
              <w:top w:val="single" w:sz="4" w:space="0" w:color="auto"/>
              <w:bottom w:val="single" w:sz="4" w:space="0" w:color="auto"/>
              <w:right w:val="single" w:sz="4" w:space="0" w:color="auto"/>
            </w:tcBorders>
            <w:noWrap/>
            <w:hideMark/>
          </w:tcPr>
          <w:p w14:paraId="0DA9122E"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ME</w:t>
            </w:r>
            <w:r w:rsidRPr="004021EE">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vertAlign w:val="superscript"/>
              </w:rPr>
              <w:t>2</w:t>
            </w:r>
          </w:p>
        </w:tc>
        <w:tc>
          <w:tcPr>
            <w:tcW w:w="1348" w:type="dxa"/>
            <w:tcBorders>
              <w:top w:val="single" w:sz="4" w:space="0" w:color="auto"/>
              <w:left w:val="single" w:sz="4" w:space="0" w:color="auto"/>
              <w:bottom w:val="single" w:sz="4" w:space="0" w:color="auto"/>
              <w:right w:val="single" w:sz="4" w:space="0" w:color="auto"/>
            </w:tcBorders>
            <w:noWrap/>
            <w:hideMark/>
          </w:tcPr>
          <w:p w14:paraId="2A2B22B6"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6-May</w:t>
            </w:r>
          </w:p>
        </w:tc>
        <w:tc>
          <w:tcPr>
            <w:tcW w:w="990" w:type="dxa"/>
            <w:tcBorders>
              <w:top w:val="single" w:sz="4" w:space="0" w:color="auto"/>
              <w:left w:val="single" w:sz="4" w:space="0" w:color="auto"/>
              <w:bottom w:val="single" w:sz="4" w:space="0" w:color="auto"/>
              <w:right w:val="single" w:sz="4" w:space="0" w:color="auto"/>
            </w:tcBorders>
            <w:noWrap/>
            <w:hideMark/>
          </w:tcPr>
          <w:p w14:paraId="53DF7C34"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eastAsia="Times New Roman" w:hAnsi="Times New Roman" w:cs="Times New Roman"/>
                <w:color w:val="000000"/>
                <w:sz w:val="24"/>
                <w:szCs w:val="24"/>
              </w:rPr>
              <w:t>126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FACB9CC"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45.274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06097F5"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-69.203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4B26B77" w14:textId="77777777" w:rsidR="00D55060" w:rsidRPr="008C6192" w:rsidRDefault="00D55060" w:rsidP="007B1C6A">
            <w:pPr>
              <w:jc w:val="center"/>
              <w:rPr>
                <w:rFonts w:ascii="Times New Roman" w:eastAsia="Times New Roman" w:hAnsi="Times New Roman" w:cs="Times New Roman"/>
                <w:color w:val="000000"/>
                <w:sz w:val="24"/>
                <w:szCs w:val="24"/>
              </w:rPr>
            </w:pPr>
            <w:r w:rsidRPr="008C6192">
              <w:rPr>
                <w:rFonts w:ascii="Times New Roman" w:hAnsi="Times New Roman" w:cs="Times New Roman"/>
                <w:color w:val="000000"/>
                <w:sz w:val="24"/>
                <w:szCs w:val="24"/>
              </w:rPr>
              <w:t>1999-2004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BD1AFC9" w14:textId="77777777" w:rsidR="00D55060" w:rsidRPr="008C6192" w:rsidRDefault="00D55060" w:rsidP="007B1C6A">
            <w:pPr>
              <w:jc w:val="center"/>
              <w:rPr>
                <w:rFonts w:ascii="Times New Roman" w:eastAsia="Times New Roman" w:hAnsi="Times New Roman" w:cs="Times New Roman"/>
                <w:sz w:val="24"/>
                <w:szCs w:val="24"/>
              </w:rPr>
            </w:pPr>
            <w:r w:rsidRPr="008C6192">
              <w:rPr>
                <w:rFonts w:ascii="Times New Roman" w:hAnsi="Times New Roman" w:cs="Times New Roman"/>
                <w:color w:val="000000"/>
                <w:sz w:val="24"/>
                <w:szCs w:val="24"/>
              </w:rPr>
              <w:t>233.79</w:t>
            </w:r>
          </w:p>
        </w:tc>
      </w:tr>
    </w:tbl>
    <w:p w14:paraId="747765BF" w14:textId="77777777" w:rsidR="00D55060" w:rsidRDefault="00D55060" w:rsidP="00D55060">
      <w:pPr>
        <w:spacing w:after="0" w:line="240" w:lineRule="auto"/>
        <w:ind w:left="180" w:hanging="180"/>
        <w:rPr>
          <w:rFonts w:ascii="Times New Roman" w:eastAsia="Times New Roman" w:hAnsi="Times New Roman" w:cs="Times New Roman"/>
          <w:sz w:val="18"/>
          <w:szCs w:val="18"/>
        </w:rPr>
      </w:pPr>
      <w:r w:rsidRPr="00BF15F7">
        <w:rPr>
          <w:rFonts w:ascii="Times New Roman" w:eastAsia="Times New Roman" w:hAnsi="Times New Roman" w:cs="Times New Roman"/>
          <w:sz w:val="18"/>
          <w:szCs w:val="18"/>
          <w:vertAlign w:val="superscript"/>
        </w:rPr>
        <w:t>1</w:t>
      </w:r>
      <w:r w:rsidRPr="00BF15F7">
        <w:rPr>
          <w:rFonts w:ascii="Times New Roman" w:eastAsia="Times New Roman" w:hAnsi="Times New Roman" w:cs="Times New Roman"/>
          <w:sz w:val="18"/>
          <w:szCs w:val="18"/>
        </w:rPr>
        <w:t xml:space="preserve"> </w:t>
      </w:r>
      <w:r w:rsidRPr="00BF15F7">
        <w:rPr>
          <w:rFonts w:ascii="Times New Roman" w:hAnsi="Times New Roman" w:cs="Times New Roman"/>
          <w:sz w:val="18"/>
          <w:szCs w:val="18"/>
        </w:rPr>
        <w:t>Dobbs, M. M. 2017. Dragonflies and Damselflies (Odonata) of Georgia, the southeastern U.S., and beyond</w:t>
      </w:r>
      <w:r w:rsidRPr="00BF15F7">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BF15F7">
        <w:rPr>
          <w:rFonts w:ascii="Times New Roman" w:eastAsia="Times New Roman" w:hAnsi="Times New Roman" w:cs="Times New Roman"/>
          <w:sz w:val="18"/>
          <w:szCs w:val="18"/>
        </w:rPr>
        <w:t>http://www.mmdragon.net/downloads/index.html</w:t>
      </w:r>
    </w:p>
    <w:p w14:paraId="238756F6" w14:textId="77777777" w:rsidR="00D55060" w:rsidRDefault="00D55060" w:rsidP="00D55060">
      <w:pPr>
        <w:autoSpaceDE w:val="0"/>
        <w:autoSpaceDN w:val="0"/>
        <w:adjustRightInd w:val="0"/>
        <w:spacing w:after="0" w:line="240" w:lineRule="auto"/>
        <w:ind w:left="180" w:hanging="180"/>
        <w:rPr>
          <w:rFonts w:ascii="Times New Roman" w:hAnsi="Times New Roman" w:cs="Times New Roman"/>
          <w:sz w:val="18"/>
          <w:szCs w:val="18"/>
        </w:rPr>
      </w:pPr>
      <w:r w:rsidRPr="00BF15F7">
        <w:rPr>
          <w:rFonts w:ascii="Times New Roman" w:eastAsia="Times New Roman" w:hAnsi="Times New Roman" w:cs="Times New Roman"/>
          <w:sz w:val="18"/>
          <w:szCs w:val="18"/>
          <w:vertAlign w:val="superscript"/>
        </w:rPr>
        <w:lastRenderedPageBreak/>
        <w:t>2</w:t>
      </w:r>
      <w:r>
        <w:rPr>
          <w:rFonts w:ascii="Times New Roman" w:eastAsia="Times New Roman" w:hAnsi="Times New Roman" w:cs="Times New Roman"/>
          <w:sz w:val="18"/>
          <w:szCs w:val="18"/>
        </w:rPr>
        <w:t xml:space="preserve"> Montgomery, E. B. YEAR. </w:t>
      </w:r>
      <w:r w:rsidRPr="00D45492">
        <w:rPr>
          <w:rFonts w:ascii="Times New Roman" w:hAnsi="Times New Roman" w:cs="Times New Roman"/>
          <w:sz w:val="18"/>
          <w:szCs w:val="18"/>
        </w:rPr>
        <w:t xml:space="preserve">The </w:t>
      </w:r>
      <w:r>
        <w:rPr>
          <w:rFonts w:ascii="Times New Roman" w:hAnsi="Times New Roman" w:cs="Times New Roman"/>
          <w:sz w:val="18"/>
          <w:szCs w:val="18"/>
        </w:rPr>
        <w:t>d</w:t>
      </w:r>
      <w:r w:rsidRPr="00D45492">
        <w:rPr>
          <w:rFonts w:ascii="Times New Roman" w:hAnsi="Times New Roman" w:cs="Times New Roman"/>
          <w:sz w:val="18"/>
          <w:szCs w:val="18"/>
        </w:rPr>
        <w:t xml:space="preserve">istribution and </w:t>
      </w:r>
      <w:r>
        <w:rPr>
          <w:rFonts w:ascii="Times New Roman" w:hAnsi="Times New Roman" w:cs="Times New Roman"/>
          <w:sz w:val="18"/>
          <w:szCs w:val="18"/>
        </w:rPr>
        <w:t>r</w:t>
      </w:r>
      <w:r w:rsidRPr="00D45492">
        <w:rPr>
          <w:rFonts w:ascii="Times New Roman" w:hAnsi="Times New Roman" w:cs="Times New Roman"/>
          <w:sz w:val="18"/>
          <w:szCs w:val="18"/>
        </w:rPr>
        <w:t xml:space="preserve">elative </w:t>
      </w:r>
      <w:r>
        <w:rPr>
          <w:rFonts w:ascii="Times New Roman" w:hAnsi="Times New Roman" w:cs="Times New Roman"/>
          <w:sz w:val="18"/>
          <w:szCs w:val="18"/>
        </w:rPr>
        <w:t>s</w:t>
      </w:r>
      <w:r w:rsidRPr="00D45492">
        <w:rPr>
          <w:rFonts w:ascii="Times New Roman" w:hAnsi="Times New Roman" w:cs="Times New Roman"/>
          <w:sz w:val="18"/>
          <w:szCs w:val="18"/>
        </w:rPr>
        <w:t xml:space="preserve">easonal </w:t>
      </w:r>
      <w:r>
        <w:rPr>
          <w:rFonts w:ascii="Times New Roman" w:hAnsi="Times New Roman" w:cs="Times New Roman"/>
          <w:sz w:val="18"/>
          <w:szCs w:val="18"/>
        </w:rPr>
        <w:t>a</w:t>
      </w:r>
      <w:r w:rsidRPr="00D45492">
        <w:rPr>
          <w:rFonts w:ascii="Times New Roman" w:hAnsi="Times New Roman" w:cs="Times New Roman"/>
          <w:sz w:val="18"/>
          <w:szCs w:val="18"/>
        </w:rPr>
        <w:t xml:space="preserve">bundance of </w:t>
      </w:r>
      <w:r>
        <w:rPr>
          <w:rFonts w:ascii="Times New Roman" w:hAnsi="Times New Roman" w:cs="Times New Roman"/>
          <w:sz w:val="18"/>
          <w:szCs w:val="18"/>
        </w:rPr>
        <w:t>Indiana s</w:t>
      </w:r>
      <w:r w:rsidRPr="00D45492">
        <w:rPr>
          <w:rFonts w:ascii="Times New Roman" w:hAnsi="Times New Roman" w:cs="Times New Roman"/>
          <w:sz w:val="18"/>
          <w:szCs w:val="18"/>
        </w:rPr>
        <w:t xml:space="preserve">pecies of </w:t>
      </w:r>
      <w:r>
        <w:rPr>
          <w:rFonts w:ascii="Times New Roman" w:hAnsi="Times New Roman" w:cs="Times New Roman"/>
          <w:sz w:val="18"/>
          <w:szCs w:val="18"/>
        </w:rPr>
        <w:t>f</w:t>
      </w:r>
      <w:r w:rsidRPr="00D45492">
        <w:rPr>
          <w:rFonts w:ascii="Times New Roman" w:hAnsi="Times New Roman" w:cs="Times New Roman"/>
          <w:sz w:val="18"/>
          <w:szCs w:val="18"/>
        </w:rPr>
        <w:t xml:space="preserve">ive </w:t>
      </w:r>
      <w:r>
        <w:rPr>
          <w:rFonts w:ascii="Times New Roman" w:hAnsi="Times New Roman" w:cs="Times New Roman"/>
          <w:sz w:val="18"/>
          <w:szCs w:val="18"/>
        </w:rPr>
        <w:t>f</w:t>
      </w:r>
      <w:r w:rsidRPr="00D45492">
        <w:rPr>
          <w:rFonts w:ascii="Times New Roman" w:hAnsi="Times New Roman" w:cs="Times New Roman"/>
          <w:sz w:val="18"/>
          <w:szCs w:val="18"/>
        </w:rPr>
        <w:t xml:space="preserve">amilies of </w:t>
      </w:r>
    </w:p>
    <w:p w14:paraId="1A1FD78A" w14:textId="77777777" w:rsidR="00D55060" w:rsidRDefault="00D55060" w:rsidP="00D55060">
      <w:pPr>
        <w:autoSpaceDE w:val="0"/>
        <w:autoSpaceDN w:val="0"/>
        <w:adjustRightInd w:val="0"/>
        <w:spacing w:after="0" w:line="240" w:lineRule="auto"/>
        <w:ind w:left="180" w:hanging="180"/>
        <w:rPr>
          <w:rFonts w:ascii="Times New Roman" w:hAnsi="Times New Roman" w:cs="Times New Roman"/>
          <w:sz w:val="18"/>
          <w:szCs w:val="18"/>
        </w:rPr>
      </w:pPr>
      <w:r>
        <w:rPr>
          <w:rFonts w:ascii="Times New Roman" w:hAnsi="Times New Roman" w:cs="Times New Roman"/>
          <w:sz w:val="18"/>
          <w:szCs w:val="18"/>
        </w:rPr>
        <w:t xml:space="preserve">    d</w:t>
      </w:r>
      <w:r w:rsidRPr="00D45492">
        <w:rPr>
          <w:rFonts w:ascii="Times New Roman" w:hAnsi="Times New Roman" w:cs="Times New Roman"/>
          <w:sz w:val="18"/>
          <w:szCs w:val="18"/>
        </w:rPr>
        <w:t>ragonflies (</w:t>
      </w:r>
      <w:proofErr w:type="spellStart"/>
      <w:r w:rsidRPr="00D45492">
        <w:rPr>
          <w:rFonts w:ascii="Times New Roman" w:hAnsi="Times New Roman" w:cs="Times New Roman"/>
          <w:sz w:val="18"/>
          <w:szCs w:val="18"/>
        </w:rPr>
        <w:t>Odonata</w:t>
      </w:r>
      <w:proofErr w:type="spellEnd"/>
      <w:r w:rsidRPr="00D45492">
        <w:rPr>
          <w:rFonts w:ascii="Times New Roman" w:hAnsi="Times New Roman" w:cs="Times New Roman"/>
          <w:sz w:val="18"/>
          <w:szCs w:val="18"/>
        </w:rPr>
        <w:t xml:space="preserve">, </w:t>
      </w:r>
      <w:proofErr w:type="spellStart"/>
      <w:r w:rsidRPr="00D45492">
        <w:rPr>
          <w:rFonts w:ascii="Times New Roman" w:hAnsi="Times New Roman" w:cs="Times New Roman"/>
          <w:sz w:val="18"/>
          <w:szCs w:val="18"/>
        </w:rPr>
        <w:t>Calopterygidae</w:t>
      </w:r>
      <w:proofErr w:type="spellEnd"/>
      <w:r w:rsidRPr="00D45492">
        <w:rPr>
          <w:rFonts w:ascii="Times New Roman" w:hAnsi="Times New Roman" w:cs="Times New Roman"/>
          <w:sz w:val="18"/>
          <w:szCs w:val="18"/>
        </w:rPr>
        <w:t xml:space="preserve">, </w:t>
      </w:r>
      <w:proofErr w:type="spellStart"/>
      <w:r w:rsidRPr="00D45492">
        <w:rPr>
          <w:rFonts w:ascii="Times New Roman" w:hAnsi="Times New Roman" w:cs="Times New Roman"/>
          <w:sz w:val="18"/>
          <w:szCs w:val="18"/>
        </w:rPr>
        <w:t>Petaluridae</w:t>
      </w:r>
      <w:proofErr w:type="spellEnd"/>
      <w:r w:rsidRPr="00D45492">
        <w:rPr>
          <w:rFonts w:ascii="Times New Roman" w:hAnsi="Times New Roman" w:cs="Times New Roman"/>
          <w:sz w:val="18"/>
          <w:szCs w:val="18"/>
        </w:rPr>
        <w:t xml:space="preserve">, </w:t>
      </w:r>
      <w:proofErr w:type="spellStart"/>
      <w:r w:rsidRPr="00D45492">
        <w:rPr>
          <w:rFonts w:ascii="Times New Roman" w:hAnsi="Times New Roman" w:cs="Times New Roman"/>
          <w:sz w:val="18"/>
          <w:szCs w:val="18"/>
        </w:rPr>
        <w:t>Cordulegasteridae</w:t>
      </w:r>
      <w:proofErr w:type="spellEnd"/>
      <w:r w:rsidRPr="00D45492">
        <w:rPr>
          <w:rFonts w:ascii="Times New Roman" w:hAnsi="Times New Roman" w:cs="Times New Roman"/>
          <w:sz w:val="18"/>
          <w:szCs w:val="18"/>
        </w:rPr>
        <w:t xml:space="preserve">, </w:t>
      </w:r>
      <w:proofErr w:type="spellStart"/>
      <w:r w:rsidRPr="00D45492">
        <w:rPr>
          <w:rFonts w:ascii="Times New Roman" w:hAnsi="Times New Roman" w:cs="Times New Roman"/>
          <w:sz w:val="18"/>
          <w:szCs w:val="18"/>
        </w:rPr>
        <w:t>Gomphidae</w:t>
      </w:r>
      <w:proofErr w:type="spellEnd"/>
      <w:r w:rsidRPr="00D45492">
        <w:rPr>
          <w:rFonts w:ascii="Times New Roman" w:hAnsi="Times New Roman" w:cs="Times New Roman"/>
          <w:sz w:val="18"/>
          <w:szCs w:val="18"/>
        </w:rPr>
        <w:t xml:space="preserve"> and </w:t>
      </w:r>
      <w:proofErr w:type="spellStart"/>
      <w:r w:rsidRPr="00D45492">
        <w:rPr>
          <w:rFonts w:ascii="Times New Roman" w:hAnsi="Times New Roman" w:cs="Times New Roman"/>
          <w:sz w:val="18"/>
          <w:szCs w:val="18"/>
        </w:rPr>
        <w:t>Aeshnidae</w:t>
      </w:r>
      <w:proofErr w:type="spellEnd"/>
      <w:r w:rsidRPr="00D45492">
        <w:rPr>
          <w:rFonts w:ascii="Times New Roman" w:hAnsi="Times New Roman" w:cs="Times New Roman"/>
          <w:sz w:val="18"/>
          <w:szCs w:val="18"/>
        </w:rPr>
        <w:t>).</w:t>
      </w:r>
    </w:p>
    <w:p w14:paraId="529C7723" w14:textId="77777777" w:rsidR="00D55060" w:rsidRDefault="00D55060" w:rsidP="00D55060">
      <w:pPr>
        <w:autoSpaceDE w:val="0"/>
        <w:autoSpaceDN w:val="0"/>
        <w:adjustRightInd w:val="0"/>
        <w:spacing w:after="0" w:line="240" w:lineRule="auto"/>
        <w:ind w:left="180" w:hanging="180"/>
        <w:rPr>
          <w:rFonts w:ascii="Times New Roman" w:hAnsi="Times New Roman" w:cs="Times New Roman"/>
          <w:sz w:val="18"/>
          <w:szCs w:val="18"/>
        </w:rPr>
      </w:pPr>
      <w:r w:rsidRPr="00210C0C">
        <w:rPr>
          <w:rFonts w:ascii="Times New Roman" w:hAnsi="Times New Roman" w:cs="Times New Roman"/>
          <w:sz w:val="18"/>
          <w:szCs w:val="18"/>
          <w:vertAlign w:val="superscript"/>
        </w:rPr>
        <w:t>3</w:t>
      </w:r>
      <w:r>
        <w:rPr>
          <w:rFonts w:ascii="Times New Roman" w:hAnsi="Times New Roman" w:cs="Times New Roman"/>
          <w:sz w:val="18"/>
          <w:szCs w:val="18"/>
        </w:rPr>
        <w:t xml:space="preserve"> LeGrand, H. E. and T. E. Howard, 2014. The dragonflies and damselflies of North Carolina.   </w:t>
      </w:r>
    </w:p>
    <w:p w14:paraId="579367C9" w14:textId="77777777" w:rsidR="00D55060" w:rsidRDefault="00D55060" w:rsidP="00D55060">
      <w:pPr>
        <w:autoSpaceDE w:val="0"/>
        <w:autoSpaceDN w:val="0"/>
        <w:adjustRightInd w:val="0"/>
        <w:spacing w:after="0" w:line="240" w:lineRule="auto"/>
        <w:ind w:left="180" w:hanging="180"/>
        <w:rPr>
          <w:rFonts w:ascii="Times New Roman" w:hAnsi="Times New Roman" w:cs="Times New Roman"/>
          <w:sz w:val="18"/>
          <w:szCs w:val="18"/>
        </w:rPr>
      </w:pPr>
      <w:r>
        <w:rPr>
          <w:rFonts w:ascii="Times New Roman" w:hAnsi="Times New Roman" w:cs="Times New Roman"/>
          <w:sz w:val="18"/>
          <w:szCs w:val="18"/>
        </w:rPr>
        <w:t xml:space="preserve">    </w:t>
      </w:r>
      <w:r w:rsidRPr="00210C0C">
        <w:rPr>
          <w:rFonts w:ascii="Times New Roman" w:hAnsi="Times New Roman" w:cs="Times New Roman"/>
          <w:sz w:val="18"/>
          <w:szCs w:val="18"/>
        </w:rPr>
        <w:t>http://www.dpr.ncparks.gov/odes/a/accounts.php</w:t>
      </w:r>
    </w:p>
    <w:p w14:paraId="4D015D57" w14:textId="77777777" w:rsidR="00D55060" w:rsidRDefault="00D55060" w:rsidP="00D55060">
      <w:pPr>
        <w:autoSpaceDE w:val="0"/>
        <w:autoSpaceDN w:val="0"/>
        <w:adjustRightInd w:val="0"/>
        <w:spacing w:after="0" w:line="240" w:lineRule="auto"/>
        <w:ind w:left="180" w:hanging="180"/>
        <w:rPr>
          <w:rFonts w:ascii="Times New Roman" w:hAnsi="Times New Roman" w:cs="Times New Roman"/>
          <w:sz w:val="18"/>
          <w:szCs w:val="18"/>
        </w:rPr>
      </w:pPr>
      <w:r w:rsidRPr="00210C0C">
        <w:rPr>
          <w:rFonts w:ascii="Times New Roman" w:hAnsi="Times New Roman" w:cs="Times New Roman"/>
          <w:sz w:val="18"/>
          <w:szCs w:val="18"/>
          <w:vertAlign w:val="superscript"/>
        </w:rPr>
        <w:t>4</w:t>
      </w:r>
      <w:r>
        <w:rPr>
          <w:rFonts w:ascii="Times New Roman" w:hAnsi="Times New Roman" w:cs="Times New Roman"/>
          <w:sz w:val="18"/>
          <w:szCs w:val="18"/>
        </w:rPr>
        <w:t xml:space="preserve"> Barlow, A. and J. </w:t>
      </w:r>
      <w:proofErr w:type="spellStart"/>
      <w:r>
        <w:rPr>
          <w:rFonts w:ascii="Times New Roman" w:hAnsi="Times New Roman" w:cs="Times New Roman"/>
          <w:sz w:val="18"/>
          <w:szCs w:val="18"/>
        </w:rPr>
        <w:t>Bangma</w:t>
      </w:r>
      <w:proofErr w:type="spellEnd"/>
      <w:r>
        <w:rPr>
          <w:rFonts w:ascii="Times New Roman" w:hAnsi="Times New Roman" w:cs="Times New Roman"/>
          <w:sz w:val="18"/>
          <w:szCs w:val="18"/>
        </w:rPr>
        <w:t xml:space="preserve">. 2006. Seasonal occurrence of the </w:t>
      </w:r>
      <w:proofErr w:type="spellStart"/>
      <w:r>
        <w:rPr>
          <w:rFonts w:ascii="Times New Roman" w:hAnsi="Times New Roman" w:cs="Times New Roman"/>
          <w:sz w:val="18"/>
          <w:szCs w:val="18"/>
        </w:rPr>
        <w:t>Odonates</w:t>
      </w:r>
      <w:proofErr w:type="spellEnd"/>
      <w:r>
        <w:rPr>
          <w:rFonts w:ascii="Times New Roman" w:hAnsi="Times New Roman" w:cs="Times New Roman"/>
          <w:sz w:val="18"/>
          <w:szCs w:val="18"/>
        </w:rPr>
        <w:t xml:space="preserve"> in New Jersey. </w:t>
      </w:r>
      <w:r w:rsidRPr="00210C0C">
        <w:rPr>
          <w:rFonts w:ascii="Times New Roman" w:hAnsi="Times New Roman" w:cs="Times New Roman"/>
          <w:sz w:val="18"/>
          <w:szCs w:val="18"/>
        </w:rPr>
        <w:t>http://njodes.org</w:t>
      </w:r>
    </w:p>
    <w:p w14:paraId="4866ABD8" w14:textId="77777777" w:rsidR="00D55060" w:rsidRDefault="00D55060" w:rsidP="00D55060">
      <w:pPr>
        <w:autoSpaceDE w:val="0"/>
        <w:autoSpaceDN w:val="0"/>
        <w:adjustRightInd w:val="0"/>
        <w:spacing w:after="0" w:line="240" w:lineRule="auto"/>
        <w:ind w:left="180" w:hanging="180"/>
        <w:rPr>
          <w:rFonts w:ascii="Times New Roman" w:hAnsi="Times New Roman" w:cs="Times New Roman"/>
          <w:sz w:val="18"/>
          <w:szCs w:val="18"/>
        </w:rPr>
      </w:pPr>
      <w:r w:rsidRPr="000E1201">
        <w:rPr>
          <w:rFonts w:ascii="Times New Roman" w:hAnsi="Times New Roman" w:cs="Times New Roman"/>
          <w:sz w:val="18"/>
          <w:szCs w:val="18"/>
          <w:vertAlign w:val="superscript"/>
        </w:rPr>
        <w:t>5</w:t>
      </w:r>
      <w:r>
        <w:rPr>
          <w:rFonts w:ascii="Times New Roman" w:hAnsi="Times New Roman" w:cs="Times New Roman"/>
          <w:sz w:val="18"/>
          <w:szCs w:val="18"/>
          <w:vertAlign w:val="superscript"/>
        </w:rPr>
        <w:t xml:space="preserve"> </w:t>
      </w:r>
      <w:r>
        <w:rPr>
          <w:rFonts w:ascii="Times New Roman" w:hAnsi="Times New Roman" w:cs="Times New Roman"/>
          <w:sz w:val="18"/>
          <w:szCs w:val="18"/>
        </w:rPr>
        <w:t xml:space="preserve">Smith-Patten, B. D., M. A. Patten, M. J. </w:t>
      </w:r>
      <w:proofErr w:type="spellStart"/>
      <w:r>
        <w:rPr>
          <w:rFonts w:ascii="Times New Roman" w:hAnsi="Times New Roman" w:cs="Times New Roman"/>
          <w:sz w:val="18"/>
          <w:szCs w:val="18"/>
        </w:rPr>
        <w:t>Dreiling</w:t>
      </w:r>
      <w:proofErr w:type="spellEnd"/>
      <w:r>
        <w:rPr>
          <w:rFonts w:ascii="Times New Roman" w:hAnsi="Times New Roman" w:cs="Times New Roman"/>
          <w:sz w:val="18"/>
          <w:szCs w:val="18"/>
        </w:rPr>
        <w:t xml:space="preserve">, and J. Fisher. 2007. Phenology and new county records of Odonata of northeastern Oklahoma. Publications of the Oklahoma Biological Survey. 8: 1-13. </w:t>
      </w:r>
    </w:p>
    <w:p w14:paraId="25DB641F" w14:textId="77777777" w:rsidR="00D55060" w:rsidRPr="007569CF" w:rsidRDefault="00D55060" w:rsidP="00D55060">
      <w:pPr>
        <w:autoSpaceDE w:val="0"/>
        <w:autoSpaceDN w:val="0"/>
        <w:adjustRightInd w:val="0"/>
        <w:spacing w:after="0" w:line="240" w:lineRule="auto"/>
        <w:rPr>
          <w:rFonts w:ascii="AdvPTimes" w:hAnsi="AdvPTimes" w:cs="AdvPTimes"/>
          <w:sz w:val="17"/>
          <w:szCs w:val="17"/>
        </w:rPr>
      </w:pPr>
      <w:r w:rsidRPr="000E1201">
        <w:rPr>
          <w:rFonts w:ascii="Times New Roman" w:hAnsi="Times New Roman" w:cs="Times New Roman"/>
          <w:sz w:val="18"/>
          <w:szCs w:val="18"/>
          <w:vertAlign w:val="superscript"/>
        </w:rPr>
        <w:t>6</w:t>
      </w:r>
      <w:r>
        <w:rPr>
          <w:rFonts w:ascii="Times New Roman" w:hAnsi="Times New Roman" w:cs="Times New Roman"/>
          <w:sz w:val="18"/>
          <w:szCs w:val="18"/>
        </w:rPr>
        <w:t xml:space="preserve"> </w:t>
      </w:r>
      <w:r>
        <w:rPr>
          <w:rFonts w:ascii="AdvPTimes" w:hAnsi="AdvPTimes" w:cs="AdvPTimes"/>
          <w:sz w:val="17"/>
          <w:szCs w:val="17"/>
        </w:rPr>
        <w:t xml:space="preserve">Orr, R. L. 1996. The Odonata of Patuxent wildlife research center and vicinity. Bulletin of American </w:t>
      </w:r>
      <w:proofErr w:type="spellStart"/>
      <w:r>
        <w:rPr>
          <w:rFonts w:ascii="AdvPTimes" w:hAnsi="AdvPTimes" w:cs="AdvPTimes"/>
          <w:sz w:val="17"/>
          <w:szCs w:val="17"/>
        </w:rPr>
        <w:t>Odonatolology</w:t>
      </w:r>
      <w:proofErr w:type="spellEnd"/>
      <w:r>
        <w:rPr>
          <w:rFonts w:ascii="AdvPTimes" w:hAnsi="AdvPTimes" w:cs="AdvPTimes"/>
          <w:sz w:val="17"/>
          <w:szCs w:val="17"/>
        </w:rPr>
        <w:t xml:space="preserve"> 4: 37–67</w:t>
      </w:r>
    </w:p>
    <w:p w14:paraId="6C9CCD41" w14:textId="77777777" w:rsidR="00D55060" w:rsidRDefault="00D55060" w:rsidP="00D55060">
      <w:pPr>
        <w:autoSpaceDE w:val="0"/>
        <w:autoSpaceDN w:val="0"/>
        <w:adjustRightInd w:val="0"/>
        <w:spacing w:after="0" w:line="240" w:lineRule="auto"/>
        <w:ind w:left="180" w:hanging="180"/>
        <w:rPr>
          <w:rFonts w:ascii="Times New Roman" w:hAnsi="Times New Roman" w:cs="Times New Roman"/>
          <w:sz w:val="18"/>
          <w:szCs w:val="18"/>
        </w:rPr>
      </w:pPr>
      <w:r w:rsidRPr="000E1201">
        <w:rPr>
          <w:rFonts w:ascii="Times New Roman" w:hAnsi="Times New Roman" w:cs="Times New Roman"/>
          <w:sz w:val="18"/>
          <w:szCs w:val="18"/>
          <w:vertAlign w:val="superscript"/>
        </w:rPr>
        <w:t>7</w:t>
      </w:r>
      <w:r>
        <w:rPr>
          <w:rFonts w:ascii="Arial" w:hAnsi="Arial" w:cs="Arial"/>
          <w:b/>
          <w:bCs/>
        </w:rPr>
        <w:t xml:space="preserve"> </w:t>
      </w:r>
      <w:proofErr w:type="spellStart"/>
      <w:r w:rsidRPr="000E1201">
        <w:rPr>
          <w:rFonts w:ascii="Times New Roman" w:hAnsi="Times New Roman" w:cs="Times New Roman"/>
          <w:bCs/>
          <w:sz w:val="18"/>
          <w:szCs w:val="18"/>
        </w:rPr>
        <w:t>McShaffrey</w:t>
      </w:r>
      <w:proofErr w:type="spellEnd"/>
      <w:r w:rsidRPr="000E1201">
        <w:rPr>
          <w:rFonts w:ascii="Times New Roman" w:hAnsi="Times New Roman" w:cs="Times New Roman"/>
          <w:bCs/>
          <w:sz w:val="18"/>
          <w:szCs w:val="18"/>
        </w:rPr>
        <w:t xml:space="preserve">, D. </w:t>
      </w:r>
      <w:r w:rsidRPr="000E1201">
        <w:rPr>
          <w:rFonts w:ascii="Times New Roman" w:hAnsi="Times New Roman" w:cs="Times New Roman"/>
          <w:sz w:val="18"/>
          <w:szCs w:val="18"/>
        </w:rPr>
        <w:t xml:space="preserve"> </w:t>
      </w:r>
      <w:r>
        <w:rPr>
          <w:rFonts w:ascii="Times New Roman" w:hAnsi="Times New Roman" w:cs="Times New Roman"/>
          <w:sz w:val="18"/>
          <w:szCs w:val="18"/>
        </w:rPr>
        <w:t xml:space="preserve">2009. </w:t>
      </w:r>
      <w:r w:rsidRPr="000E1201">
        <w:rPr>
          <w:rFonts w:ascii="Times New Roman" w:hAnsi="Times New Roman" w:cs="Times New Roman"/>
          <w:sz w:val="18"/>
          <w:szCs w:val="18"/>
        </w:rPr>
        <w:t xml:space="preserve">Ohio Odonata Society </w:t>
      </w:r>
      <w:r w:rsidRPr="00314285">
        <w:rPr>
          <w:rFonts w:ascii="Times New Roman" w:hAnsi="Times New Roman" w:cs="Times New Roman"/>
          <w:sz w:val="18"/>
          <w:szCs w:val="18"/>
        </w:rPr>
        <w:t>http://w3.marietta.edu/~odonata/species/odolist.html</w:t>
      </w:r>
    </w:p>
    <w:p w14:paraId="567B2834" w14:textId="77777777" w:rsidR="00D55060" w:rsidRDefault="00D55060" w:rsidP="00D55060">
      <w:pPr>
        <w:autoSpaceDE w:val="0"/>
        <w:autoSpaceDN w:val="0"/>
        <w:adjustRightInd w:val="0"/>
        <w:spacing w:after="0" w:line="240" w:lineRule="auto"/>
        <w:ind w:left="180" w:hanging="180"/>
        <w:rPr>
          <w:rFonts w:ascii="Times New Roman" w:hAnsi="Times New Roman" w:cs="Times New Roman"/>
          <w:sz w:val="18"/>
          <w:szCs w:val="18"/>
        </w:rPr>
      </w:pPr>
      <w:r w:rsidRPr="00314285">
        <w:rPr>
          <w:rFonts w:ascii="Times New Roman" w:hAnsi="Times New Roman" w:cs="Times New Roman"/>
          <w:sz w:val="18"/>
          <w:szCs w:val="18"/>
          <w:vertAlign w:val="superscript"/>
        </w:rPr>
        <w:t>8</w:t>
      </w:r>
      <w:r>
        <w:rPr>
          <w:rFonts w:ascii="Times New Roman" w:hAnsi="Times New Roman" w:cs="Times New Roman"/>
          <w:sz w:val="18"/>
          <w:szCs w:val="18"/>
        </w:rPr>
        <w:t xml:space="preserve"> Olcott, S. 2011. Final Report for the West Virginia dragonfly and damselfly atlas. West Virginia division of natural resources. </w:t>
      </w:r>
    </w:p>
    <w:p w14:paraId="4DC23AD1" w14:textId="77777777" w:rsidR="00D55060" w:rsidRPr="001548BF" w:rsidRDefault="00D55060" w:rsidP="00D55060">
      <w:pPr>
        <w:autoSpaceDE w:val="0"/>
        <w:autoSpaceDN w:val="0"/>
        <w:adjustRightInd w:val="0"/>
        <w:spacing w:after="0" w:line="240" w:lineRule="auto"/>
        <w:ind w:left="180" w:hanging="180"/>
        <w:rPr>
          <w:rFonts w:ascii="Times New Roman" w:hAnsi="Times New Roman" w:cs="Times New Roman"/>
          <w:sz w:val="18"/>
          <w:szCs w:val="18"/>
          <w:vertAlign w:val="superscript"/>
        </w:rPr>
      </w:pPr>
      <w:r w:rsidRPr="001548BF">
        <w:rPr>
          <w:rFonts w:ascii="Times New Roman" w:hAnsi="Times New Roman" w:cs="Times New Roman"/>
          <w:sz w:val="18"/>
          <w:szCs w:val="18"/>
          <w:vertAlign w:val="superscript"/>
        </w:rPr>
        <w:t xml:space="preserve">9 </w:t>
      </w:r>
      <w:r>
        <w:rPr>
          <w:rFonts w:ascii="Times New Roman" w:hAnsi="Times New Roman" w:cs="Times New Roman"/>
          <w:sz w:val="18"/>
          <w:szCs w:val="18"/>
        </w:rPr>
        <w:t xml:space="preserve">Wagner, D. L., and M. C. Thomas. 1999. The odonatan fauna of Connecticut. Bulletin of American </w:t>
      </w:r>
      <w:proofErr w:type="spellStart"/>
      <w:r>
        <w:rPr>
          <w:rFonts w:ascii="Times New Roman" w:hAnsi="Times New Roman" w:cs="Times New Roman"/>
          <w:sz w:val="18"/>
          <w:szCs w:val="18"/>
        </w:rPr>
        <w:t>Odonatology</w:t>
      </w:r>
      <w:proofErr w:type="spellEnd"/>
      <w:r>
        <w:rPr>
          <w:rFonts w:ascii="Times New Roman" w:hAnsi="Times New Roman" w:cs="Times New Roman"/>
          <w:sz w:val="18"/>
          <w:szCs w:val="18"/>
        </w:rPr>
        <w:t>. 5: 59-85.</w:t>
      </w:r>
    </w:p>
    <w:p w14:paraId="2F573B4B" w14:textId="77777777" w:rsidR="00D55060" w:rsidRDefault="00D55060" w:rsidP="00D55060">
      <w:pPr>
        <w:autoSpaceDE w:val="0"/>
        <w:autoSpaceDN w:val="0"/>
        <w:adjustRightInd w:val="0"/>
        <w:spacing w:after="0" w:line="240" w:lineRule="auto"/>
        <w:ind w:left="180" w:hanging="180"/>
        <w:rPr>
          <w:rFonts w:ascii="Times New Roman" w:hAnsi="Times New Roman" w:cs="Times New Roman"/>
          <w:sz w:val="18"/>
          <w:szCs w:val="18"/>
        </w:rPr>
      </w:pPr>
      <w:r w:rsidRPr="004021EE">
        <w:rPr>
          <w:rFonts w:ascii="Times New Roman" w:hAnsi="Times New Roman" w:cs="Times New Roman"/>
          <w:sz w:val="18"/>
          <w:szCs w:val="18"/>
          <w:vertAlign w:val="superscript"/>
        </w:rPr>
        <w:t>10</w:t>
      </w:r>
      <w:r>
        <w:rPr>
          <w:rFonts w:ascii="Times New Roman" w:hAnsi="Times New Roman" w:cs="Times New Roman"/>
          <w:sz w:val="18"/>
          <w:szCs w:val="18"/>
        </w:rPr>
        <w:t xml:space="preserve"> </w:t>
      </w:r>
      <w:r w:rsidRPr="004021EE">
        <w:rPr>
          <w:rFonts w:ascii="Times New Roman" w:hAnsi="Times New Roman" w:cs="Times New Roman"/>
          <w:sz w:val="18"/>
          <w:szCs w:val="18"/>
        </w:rPr>
        <w:t>White, Erin L., Jeffrey D. Corser, and Matthew D. Schlesinge</w:t>
      </w:r>
      <w:r>
        <w:rPr>
          <w:rFonts w:ascii="Times New Roman" w:hAnsi="Times New Roman" w:cs="Times New Roman"/>
          <w:sz w:val="18"/>
          <w:szCs w:val="18"/>
        </w:rPr>
        <w:t xml:space="preserve">r. 2010. The New York dragonfly and damselfly survey 2005 </w:t>
      </w:r>
      <w:r w:rsidRPr="004021EE">
        <w:rPr>
          <w:rFonts w:ascii="Times New Roman" w:hAnsi="Times New Roman" w:cs="Times New Roman"/>
          <w:sz w:val="18"/>
          <w:szCs w:val="18"/>
        </w:rPr>
        <w:t>2009: Distribution and status o</w:t>
      </w:r>
      <w:r>
        <w:rPr>
          <w:rFonts w:ascii="Times New Roman" w:hAnsi="Times New Roman" w:cs="Times New Roman"/>
          <w:sz w:val="18"/>
          <w:szCs w:val="18"/>
        </w:rPr>
        <w:t xml:space="preserve">f the </w:t>
      </w:r>
      <w:proofErr w:type="spellStart"/>
      <w:r>
        <w:rPr>
          <w:rFonts w:ascii="Times New Roman" w:hAnsi="Times New Roman" w:cs="Times New Roman"/>
          <w:sz w:val="18"/>
          <w:szCs w:val="18"/>
        </w:rPr>
        <w:t>Odonates</w:t>
      </w:r>
      <w:proofErr w:type="spellEnd"/>
      <w:r>
        <w:rPr>
          <w:rFonts w:ascii="Times New Roman" w:hAnsi="Times New Roman" w:cs="Times New Roman"/>
          <w:sz w:val="18"/>
          <w:szCs w:val="18"/>
        </w:rPr>
        <w:t xml:space="preserve"> of New York. New </w:t>
      </w:r>
      <w:r w:rsidRPr="004021EE">
        <w:rPr>
          <w:rFonts w:ascii="Times New Roman" w:hAnsi="Times New Roman" w:cs="Times New Roman"/>
          <w:sz w:val="18"/>
          <w:szCs w:val="18"/>
        </w:rPr>
        <w:t>York Natural Heritage Program, Albany, New York. 424 pp.</w:t>
      </w:r>
    </w:p>
    <w:p w14:paraId="408A7E25" w14:textId="77777777" w:rsidR="00D55060" w:rsidRDefault="00D55060" w:rsidP="00D55060">
      <w:pPr>
        <w:spacing w:after="0" w:line="240" w:lineRule="auto"/>
        <w:rPr>
          <w:rFonts w:ascii="Times New Roman" w:eastAsia="Times New Roman" w:hAnsi="Times New Roman" w:cs="Times New Roman"/>
          <w:sz w:val="18"/>
          <w:szCs w:val="18"/>
        </w:rPr>
      </w:pPr>
      <w:r w:rsidRPr="00105A8B">
        <w:rPr>
          <w:rFonts w:ascii="Times New Roman" w:hAnsi="Times New Roman" w:cs="Times New Roman"/>
          <w:sz w:val="18"/>
          <w:szCs w:val="18"/>
          <w:vertAlign w:val="superscript"/>
        </w:rPr>
        <w:t>1</w:t>
      </w:r>
      <w:r>
        <w:rPr>
          <w:rFonts w:ascii="Times New Roman" w:hAnsi="Times New Roman" w:cs="Times New Roman"/>
          <w:sz w:val="18"/>
          <w:szCs w:val="18"/>
          <w:vertAlign w:val="superscript"/>
        </w:rPr>
        <w:t>1</w:t>
      </w:r>
      <w:r w:rsidRPr="00F14191">
        <w:rPr>
          <w:rFonts w:ascii="Times New Roman" w:hAnsi="Times New Roman" w:cs="Times New Roman"/>
          <w:sz w:val="18"/>
          <w:szCs w:val="18"/>
        </w:rPr>
        <w:t xml:space="preserve"> </w:t>
      </w:r>
      <w:proofErr w:type="spellStart"/>
      <w:r w:rsidRPr="00F14191">
        <w:rPr>
          <w:rFonts w:ascii="Times New Roman" w:eastAsia="Times New Roman" w:hAnsi="Times New Roman" w:cs="Times New Roman"/>
          <w:sz w:val="18"/>
          <w:szCs w:val="18"/>
        </w:rPr>
        <w:t>Blust</w:t>
      </w:r>
      <w:proofErr w:type="spellEnd"/>
      <w:r w:rsidRPr="00F14191">
        <w:rPr>
          <w:rFonts w:ascii="Times New Roman" w:eastAsia="Times New Roman" w:hAnsi="Times New Roman" w:cs="Times New Roman"/>
          <w:sz w:val="18"/>
          <w:szCs w:val="18"/>
        </w:rPr>
        <w:t xml:space="preserve">, M. and B. Pfeiffer. </w:t>
      </w:r>
      <w:r w:rsidRPr="00F966D4">
        <w:rPr>
          <w:rFonts w:ascii="Times New Roman" w:eastAsia="Times New Roman" w:hAnsi="Times New Roman" w:cs="Times New Roman"/>
          <w:sz w:val="18"/>
          <w:szCs w:val="18"/>
        </w:rPr>
        <w:t xml:space="preserve">2015. The Odonata of Vermont. Bulletin of American </w:t>
      </w:r>
      <w:proofErr w:type="spellStart"/>
      <w:r w:rsidRPr="00F966D4">
        <w:rPr>
          <w:rFonts w:ascii="Times New Roman" w:eastAsia="Times New Roman" w:hAnsi="Times New Roman" w:cs="Times New Roman"/>
          <w:sz w:val="18"/>
          <w:szCs w:val="18"/>
        </w:rPr>
        <w:t>Odonatology</w:t>
      </w:r>
      <w:proofErr w:type="spellEnd"/>
      <w:r w:rsidRPr="00F966D4">
        <w:rPr>
          <w:rFonts w:ascii="Times New Roman" w:eastAsia="Times New Roman" w:hAnsi="Times New Roman" w:cs="Times New Roman"/>
          <w:sz w:val="18"/>
          <w:szCs w:val="18"/>
        </w:rPr>
        <w:t>.</w:t>
      </w:r>
      <w:r w:rsidRPr="00F14191">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11: </w:t>
      </w:r>
      <w:r w:rsidRPr="00F966D4">
        <w:rPr>
          <w:rFonts w:ascii="Times New Roman" w:eastAsia="Times New Roman" w:hAnsi="Times New Roman" w:cs="Times New Roman"/>
          <w:sz w:val="18"/>
          <w:szCs w:val="18"/>
        </w:rPr>
        <w:t>69</w:t>
      </w:r>
      <w:r w:rsidRPr="00F14191">
        <w:rPr>
          <w:rFonts w:ascii="Times New Roman" w:eastAsia="Times New Roman" w:hAnsi="Times New Roman" w:cs="Times New Roman"/>
          <w:sz w:val="18"/>
          <w:szCs w:val="18"/>
        </w:rPr>
        <w:t xml:space="preserve"> </w:t>
      </w:r>
      <w:r w:rsidRPr="00F966D4">
        <w:rPr>
          <w:rFonts w:ascii="Times New Roman" w:eastAsia="Times New Roman" w:hAnsi="Times New Roman" w:cs="Times New Roman"/>
          <w:sz w:val="18"/>
          <w:szCs w:val="18"/>
        </w:rPr>
        <w:t>-</w:t>
      </w:r>
      <w:r w:rsidRPr="00F14191">
        <w:rPr>
          <w:rFonts w:ascii="Times New Roman" w:eastAsia="Times New Roman" w:hAnsi="Times New Roman" w:cs="Times New Roman"/>
          <w:sz w:val="18"/>
          <w:szCs w:val="18"/>
        </w:rPr>
        <w:t xml:space="preserve"> </w:t>
      </w:r>
      <w:r w:rsidRPr="00F966D4">
        <w:rPr>
          <w:rFonts w:ascii="Times New Roman" w:eastAsia="Times New Roman" w:hAnsi="Times New Roman" w:cs="Times New Roman"/>
          <w:sz w:val="18"/>
          <w:szCs w:val="18"/>
        </w:rPr>
        <w:t>119.</w:t>
      </w:r>
    </w:p>
    <w:p w14:paraId="1C161960" w14:textId="77777777" w:rsidR="00D55060" w:rsidRPr="004021EE" w:rsidRDefault="00D55060" w:rsidP="00D55060">
      <w:pPr>
        <w:autoSpaceDE w:val="0"/>
        <w:autoSpaceDN w:val="0"/>
        <w:adjustRightInd w:val="0"/>
        <w:spacing w:after="0" w:line="240" w:lineRule="auto"/>
        <w:ind w:left="180" w:hanging="180"/>
        <w:rPr>
          <w:rFonts w:ascii="Times New Roman" w:hAnsi="Times New Roman" w:cs="Times New Roman"/>
          <w:sz w:val="18"/>
          <w:szCs w:val="18"/>
        </w:rPr>
      </w:pPr>
      <w:r w:rsidRPr="004021EE">
        <w:rPr>
          <w:rFonts w:ascii="Times New Roman" w:hAnsi="Times New Roman" w:cs="Times New Roman"/>
          <w:sz w:val="18"/>
          <w:szCs w:val="18"/>
          <w:vertAlign w:val="superscript"/>
        </w:rPr>
        <w:t>1</w:t>
      </w:r>
      <w:r>
        <w:rPr>
          <w:rFonts w:ascii="Times New Roman" w:hAnsi="Times New Roman" w:cs="Times New Roman"/>
          <w:sz w:val="18"/>
          <w:szCs w:val="18"/>
          <w:vertAlign w:val="superscript"/>
        </w:rPr>
        <w:t>2</w:t>
      </w:r>
      <w:r>
        <w:rPr>
          <w:rFonts w:ascii="Times New Roman" w:hAnsi="Times New Roman" w:cs="Times New Roman"/>
          <w:sz w:val="18"/>
          <w:szCs w:val="18"/>
        </w:rPr>
        <w:t xml:space="preserve"> Brunelle, P. M., and P. </w:t>
      </w:r>
      <w:proofErr w:type="spellStart"/>
      <w:r>
        <w:rPr>
          <w:rFonts w:ascii="Times New Roman" w:hAnsi="Times New Roman" w:cs="Times New Roman"/>
          <w:sz w:val="18"/>
          <w:szCs w:val="18"/>
        </w:rPr>
        <w:t>deMaynadier</w:t>
      </w:r>
      <w:proofErr w:type="spellEnd"/>
      <w:r>
        <w:rPr>
          <w:rFonts w:ascii="Times New Roman" w:hAnsi="Times New Roman" w:cs="Times New Roman"/>
          <w:sz w:val="18"/>
          <w:szCs w:val="18"/>
        </w:rPr>
        <w:t xml:space="preserve">. 2005. The Maine damselfly and dragonfly survey: a final report. </w:t>
      </w:r>
    </w:p>
    <w:p w14:paraId="3769ED9A" w14:textId="77777777" w:rsidR="008C022C" w:rsidRDefault="008C022C"/>
    <w:p w14:paraId="2EC8A6F0" w14:textId="1650135D" w:rsidR="00513FA3" w:rsidRDefault="00513FA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57C3BFA" w14:textId="2113ED0D" w:rsidR="00625F32" w:rsidRDefault="00625F32" w:rsidP="0017212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Table S2. </w:t>
      </w:r>
      <w:r w:rsidR="0017212F">
        <w:rPr>
          <w:rFonts w:ascii="Times New Roman" w:eastAsia="Times New Roman" w:hAnsi="Times New Roman" w:cs="Times New Roman"/>
          <w:sz w:val="24"/>
          <w:szCs w:val="24"/>
        </w:rPr>
        <w:t>Sample size of common green darner</w:t>
      </w:r>
      <w:r w:rsidR="00D96E53">
        <w:rPr>
          <w:rFonts w:ascii="Times New Roman" w:eastAsia="Times New Roman" w:hAnsi="Times New Roman" w:cs="Times New Roman"/>
          <w:sz w:val="24"/>
          <w:szCs w:val="24"/>
        </w:rPr>
        <w:t xml:space="preserve"> </w:t>
      </w:r>
      <w:r w:rsidR="0017212F">
        <w:rPr>
          <w:rFonts w:ascii="Times New Roman" w:eastAsia="Times New Roman" w:hAnsi="Times New Roman" w:cs="Times New Roman"/>
          <w:sz w:val="24"/>
          <w:szCs w:val="24"/>
        </w:rPr>
        <w:t>(</w:t>
      </w:r>
      <w:proofErr w:type="spellStart"/>
      <w:r w:rsidR="0017212F" w:rsidRPr="00433B5D">
        <w:rPr>
          <w:rFonts w:ascii="Times New Roman" w:eastAsia="Times New Roman" w:hAnsi="Times New Roman" w:cs="Times New Roman"/>
          <w:i/>
          <w:sz w:val="24"/>
          <w:szCs w:val="24"/>
        </w:rPr>
        <w:t>Anax</w:t>
      </w:r>
      <w:proofErr w:type="spellEnd"/>
      <w:r w:rsidR="0017212F" w:rsidRPr="00433B5D">
        <w:rPr>
          <w:rFonts w:ascii="Times New Roman" w:eastAsia="Times New Roman" w:hAnsi="Times New Roman" w:cs="Times New Roman"/>
          <w:i/>
          <w:sz w:val="24"/>
          <w:szCs w:val="24"/>
        </w:rPr>
        <w:t xml:space="preserve"> </w:t>
      </w:r>
      <w:proofErr w:type="spellStart"/>
      <w:r w:rsidR="0017212F" w:rsidRPr="00433B5D">
        <w:rPr>
          <w:rFonts w:ascii="Times New Roman" w:eastAsia="Times New Roman" w:hAnsi="Times New Roman" w:cs="Times New Roman"/>
          <w:i/>
          <w:sz w:val="24"/>
          <w:szCs w:val="24"/>
        </w:rPr>
        <w:t>junius</w:t>
      </w:r>
      <w:proofErr w:type="spellEnd"/>
      <w:r w:rsidR="0017212F">
        <w:rPr>
          <w:rFonts w:ascii="Times New Roman" w:eastAsia="Times New Roman" w:hAnsi="Times New Roman" w:cs="Times New Roman"/>
          <w:sz w:val="24"/>
          <w:szCs w:val="24"/>
        </w:rPr>
        <w:t xml:space="preserve">) </w:t>
      </w:r>
      <w:r w:rsidR="00D96E53">
        <w:rPr>
          <w:rFonts w:ascii="Times New Roman" w:eastAsia="Times New Roman" w:hAnsi="Times New Roman" w:cs="Times New Roman"/>
          <w:sz w:val="24"/>
          <w:szCs w:val="24"/>
        </w:rPr>
        <w:t xml:space="preserve">adults </w:t>
      </w:r>
      <w:r w:rsidR="00343D57">
        <w:rPr>
          <w:rFonts w:ascii="Times New Roman" w:eastAsia="Times New Roman" w:hAnsi="Times New Roman" w:cs="Times New Roman"/>
          <w:sz w:val="24"/>
          <w:szCs w:val="24"/>
        </w:rPr>
        <w:t>whose</w:t>
      </w:r>
      <w:r w:rsidR="0017212F">
        <w:rPr>
          <w:rFonts w:ascii="Times New Roman" w:eastAsia="Times New Roman" w:hAnsi="Times New Roman" w:cs="Times New Roman"/>
          <w:sz w:val="24"/>
          <w:szCs w:val="24"/>
        </w:rPr>
        <w:t xml:space="preserve"> </w:t>
      </w:r>
      <w:r w:rsidR="00343D57">
        <w:rPr>
          <w:rFonts w:ascii="Times New Roman" w:hAnsi="Times New Roman" w:cs="Times New Roman"/>
          <w:sz w:val="24"/>
          <w:szCs w:val="24"/>
        </w:rPr>
        <w:t>natal origins</w:t>
      </w:r>
      <w:r w:rsidR="00343D57">
        <w:rPr>
          <w:rFonts w:ascii="Times New Roman" w:eastAsia="Times New Roman" w:hAnsi="Times New Roman" w:cs="Times New Roman"/>
          <w:sz w:val="24"/>
          <w:szCs w:val="24"/>
        </w:rPr>
        <w:t xml:space="preserve"> were assigned using</w:t>
      </w:r>
      <w:r w:rsidR="0017212F">
        <w:rPr>
          <w:rFonts w:ascii="Times New Roman" w:eastAsia="Times New Roman" w:hAnsi="Times New Roman" w:cs="Times New Roman"/>
          <w:sz w:val="24"/>
          <w:szCs w:val="24"/>
        </w:rPr>
        <w:t xml:space="preserve"> stable-hydrogen isotopes </w:t>
      </w:r>
      <w:r w:rsidR="00513FA3">
        <w:rPr>
          <w:rFonts w:ascii="Times New Roman" w:eastAsia="Times New Roman" w:hAnsi="Times New Roman" w:cs="Times New Roman"/>
          <w:sz w:val="24"/>
          <w:szCs w:val="24"/>
        </w:rPr>
        <w:t>captured in the hardiness zones (Hardiness Zone) used to summarize populations during</w:t>
      </w:r>
      <w:r w:rsidR="0017212F">
        <w:rPr>
          <w:rFonts w:ascii="Times New Roman" w:eastAsia="Times New Roman" w:hAnsi="Times New Roman" w:cs="Times New Roman"/>
          <w:sz w:val="24"/>
          <w:szCs w:val="24"/>
        </w:rPr>
        <w:t xml:space="preserve"> each calendar</w:t>
      </w:r>
      <w:r w:rsidR="00513FA3">
        <w:rPr>
          <w:rFonts w:ascii="Times New Roman" w:eastAsia="Times New Roman" w:hAnsi="Times New Roman" w:cs="Times New Roman"/>
          <w:sz w:val="24"/>
          <w:szCs w:val="24"/>
        </w:rPr>
        <w:t xml:space="preserve"> month (Month)</w:t>
      </w:r>
      <w:r w:rsidR="0017212F">
        <w:rPr>
          <w:rFonts w:ascii="Times New Roman" w:eastAsia="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176"/>
        <w:gridCol w:w="656"/>
        <w:gridCol w:w="696"/>
        <w:gridCol w:w="736"/>
        <w:gridCol w:w="710"/>
        <w:gridCol w:w="776"/>
        <w:gridCol w:w="670"/>
        <w:gridCol w:w="617"/>
        <w:gridCol w:w="750"/>
        <w:gridCol w:w="696"/>
        <w:gridCol w:w="696"/>
        <w:gridCol w:w="696"/>
        <w:gridCol w:w="696"/>
      </w:tblGrid>
      <w:tr w:rsidR="00625F32" w14:paraId="3AECD469" w14:textId="77777777" w:rsidTr="0072042F">
        <w:tc>
          <w:tcPr>
            <w:tcW w:w="1176" w:type="dxa"/>
            <w:vMerge w:val="restart"/>
            <w:tcBorders>
              <w:top w:val="double" w:sz="4" w:space="0" w:color="auto"/>
              <w:left w:val="nil"/>
              <w:right w:val="nil"/>
            </w:tcBorders>
          </w:tcPr>
          <w:p w14:paraId="62B912A9"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Hardiness Zone</w:t>
            </w:r>
          </w:p>
        </w:tc>
        <w:tc>
          <w:tcPr>
            <w:tcW w:w="8395" w:type="dxa"/>
            <w:gridSpan w:val="12"/>
            <w:tcBorders>
              <w:top w:val="double" w:sz="4" w:space="0" w:color="auto"/>
              <w:left w:val="nil"/>
              <w:bottom w:val="single" w:sz="4" w:space="0" w:color="auto"/>
              <w:right w:val="nil"/>
            </w:tcBorders>
            <w:vAlign w:val="center"/>
          </w:tcPr>
          <w:p w14:paraId="710DD68D"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Month</w:t>
            </w:r>
          </w:p>
        </w:tc>
      </w:tr>
      <w:tr w:rsidR="00625F32" w14:paraId="72271F50" w14:textId="77777777" w:rsidTr="00625F32">
        <w:tc>
          <w:tcPr>
            <w:tcW w:w="1176" w:type="dxa"/>
            <w:vMerge/>
            <w:tcBorders>
              <w:left w:val="nil"/>
              <w:bottom w:val="single" w:sz="4" w:space="0" w:color="auto"/>
              <w:right w:val="nil"/>
            </w:tcBorders>
          </w:tcPr>
          <w:p w14:paraId="2A9D9D48" w14:textId="77777777" w:rsidR="00625F32" w:rsidRDefault="00625F32" w:rsidP="000A0544">
            <w:pPr>
              <w:jc w:val="center"/>
              <w:rPr>
                <w:rFonts w:ascii="Times New Roman" w:eastAsia="Times New Roman" w:hAnsi="Times New Roman" w:cs="Times New Roman"/>
                <w:sz w:val="24"/>
                <w:szCs w:val="24"/>
              </w:rPr>
            </w:pPr>
          </w:p>
        </w:tc>
        <w:tc>
          <w:tcPr>
            <w:tcW w:w="656" w:type="dxa"/>
            <w:tcBorders>
              <w:top w:val="single" w:sz="4" w:space="0" w:color="auto"/>
              <w:left w:val="nil"/>
              <w:bottom w:val="single" w:sz="4" w:space="0" w:color="auto"/>
              <w:right w:val="nil"/>
            </w:tcBorders>
            <w:vAlign w:val="center"/>
          </w:tcPr>
          <w:p w14:paraId="7BA7A486"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Jan</w:t>
            </w:r>
          </w:p>
        </w:tc>
        <w:tc>
          <w:tcPr>
            <w:tcW w:w="696" w:type="dxa"/>
            <w:tcBorders>
              <w:top w:val="single" w:sz="4" w:space="0" w:color="auto"/>
              <w:left w:val="nil"/>
              <w:bottom w:val="single" w:sz="4" w:space="0" w:color="auto"/>
              <w:right w:val="nil"/>
            </w:tcBorders>
            <w:vAlign w:val="center"/>
          </w:tcPr>
          <w:p w14:paraId="695FB2EC"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Feb</w:t>
            </w:r>
          </w:p>
        </w:tc>
        <w:tc>
          <w:tcPr>
            <w:tcW w:w="736" w:type="dxa"/>
            <w:tcBorders>
              <w:top w:val="single" w:sz="4" w:space="0" w:color="auto"/>
              <w:left w:val="nil"/>
              <w:bottom w:val="single" w:sz="4" w:space="0" w:color="auto"/>
              <w:right w:val="nil"/>
            </w:tcBorders>
            <w:vAlign w:val="center"/>
          </w:tcPr>
          <w:p w14:paraId="175FE685"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w:t>
            </w:r>
          </w:p>
        </w:tc>
        <w:tc>
          <w:tcPr>
            <w:tcW w:w="710" w:type="dxa"/>
            <w:tcBorders>
              <w:top w:val="single" w:sz="4" w:space="0" w:color="auto"/>
              <w:left w:val="nil"/>
              <w:bottom w:val="single" w:sz="4" w:space="0" w:color="auto"/>
              <w:right w:val="nil"/>
            </w:tcBorders>
            <w:vAlign w:val="center"/>
          </w:tcPr>
          <w:p w14:paraId="551B4D8A"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Apr</w:t>
            </w:r>
          </w:p>
        </w:tc>
        <w:tc>
          <w:tcPr>
            <w:tcW w:w="776" w:type="dxa"/>
            <w:tcBorders>
              <w:top w:val="single" w:sz="4" w:space="0" w:color="auto"/>
              <w:left w:val="nil"/>
              <w:bottom w:val="single" w:sz="4" w:space="0" w:color="auto"/>
              <w:right w:val="nil"/>
            </w:tcBorders>
            <w:vAlign w:val="center"/>
          </w:tcPr>
          <w:p w14:paraId="137A7D14"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May</w:t>
            </w:r>
          </w:p>
        </w:tc>
        <w:tc>
          <w:tcPr>
            <w:tcW w:w="670" w:type="dxa"/>
            <w:tcBorders>
              <w:top w:val="single" w:sz="4" w:space="0" w:color="auto"/>
              <w:left w:val="nil"/>
              <w:bottom w:val="single" w:sz="4" w:space="0" w:color="auto"/>
              <w:right w:val="nil"/>
            </w:tcBorders>
            <w:vAlign w:val="center"/>
          </w:tcPr>
          <w:p w14:paraId="5D1D28DA"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Jun</w:t>
            </w:r>
          </w:p>
        </w:tc>
        <w:tc>
          <w:tcPr>
            <w:tcW w:w="617" w:type="dxa"/>
            <w:tcBorders>
              <w:top w:val="single" w:sz="4" w:space="0" w:color="auto"/>
              <w:left w:val="nil"/>
              <w:bottom w:val="single" w:sz="4" w:space="0" w:color="auto"/>
              <w:right w:val="nil"/>
            </w:tcBorders>
            <w:vAlign w:val="center"/>
          </w:tcPr>
          <w:p w14:paraId="42B52310"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Jul</w:t>
            </w:r>
          </w:p>
        </w:tc>
        <w:tc>
          <w:tcPr>
            <w:tcW w:w="750" w:type="dxa"/>
            <w:tcBorders>
              <w:top w:val="single" w:sz="4" w:space="0" w:color="auto"/>
              <w:left w:val="nil"/>
              <w:bottom w:val="single" w:sz="4" w:space="0" w:color="auto"/>
              <w:right w:val="nil"/>
            </w:tcBorders>
            <w:vAlign w:val="center"/>
          </w:tcPr>
          <w:p w14:paraId="3A0EFDEC"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Aug</w:t>
            </w:r>
          </w:p>
        </w:tc>
        <w:tc>
          <w:tcPr>
            <w:tcW w:w="696" w:type="dxa"/>
            <w:tcBorders>
              <w:top w:val="single" w:sz="4" w:space="0" w:color="auto"/>
              <w:left w:val="nil"/>
              <w:bottom w:val="single" w:sz="4" w:space="0" w:color="auto"/>
              <w:right w:val="nil"/>
            </w:tcBorders>
            <w:vAlign w:val="center"/>
          </w:tcPr>
          <w:p w14:paraId="6C3009CB"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Sep</w:t>
            </w:r>
          </w:p>
        </w:tc>
        <w:tc>
          <w:tcPr>
            <w:tcW w:w="696" w:type="dxa"/>
            <w:tcBorders>
              <w:top w:val="single" w:sz="4" w:space="0" w:color="auto"/>
              <w:left w:val="nil"/>
              <w:bottom w:val="single" w:sz="4" w:space="0" w:color="auto"/>
              <w:right w:val="nil"/>
            </w:tcBorders>
            <w:vAlign w:val="center"/>
          </w:tcPr>
          <w:p w14:paraId="09F4A065"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Oct</w:t>
            </w:r>
          </w:p>
        </w:tc>
        <w:tc>
          <w:tcPr>
            <w:tcW w:w="696" w:type="dxa"/>
            <w:tcBorders>
              <w:top w:val="single" w:sz="4" w:space="0" w:color="auto"/>
              <w:left w:val="nil"/>
              <w:bottom w:val="single" w:sz="4" w:space="0" w:color="auto"/>
              <w:right w:val="nil"/>
            </w:tcBorders>
            <w:vAlign w:val="center"/>
          </w:tcPr>
          <w:p w14:paraId="08B9E8AF"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Nov</w:t>
            </w:r>
          </w:p>
        </w:tc>
        <w:tc>
          <w:tcPr>
            <w:tcW w:w="696" w:type="dxa"/>
            <w:tcBorders>
              <w:top w:val="single" w:sz="4" w:space="0" w:color="auto"/>
              <w:left w:val="nil"/>
              <w:bottom w:val="single" w:sz="4" w:space="0" w:color="auto"/>
              <w:right w:val="nil"/>
            </w:tcBorders>
            <w:vAlign w:val="center"/>
          </w:tcPr>
          <w:p w14:paraId="5F203892"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Dec</w:t>
            </w:r>
          </w:p>
        </w:tc>
      </w:tr>
      <w:tr w:rsidR="00625F32" w14:paraId="1B56B419" w14:textId="77777777" w:rsidTr="00625F32">
        <w:tc>
          <w:tcPr>
            <w:tcW w:w="1176" w:type="dxa"/>
            <w:tcBorders>
              <w:top w:val="single" w:sz="4" w:space="0" w:color="auto"/>
              <w:left w:val="nil"/>
              <w:bottom w:val="nil"/>
              <w:right w:val="nil"/>
            </w:tcBorders>
          </w:tcPr>
          <w:p w14:paraId="61E93DF1" w14:textId="77777777" w:rsidR="00625F32" w:rsidRDefault="00625F32" w:rsidP="000A0544">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56" w:type="dxa"/>
            <w:tcBorders>
              <w:top w:val="single" w:sz="4" w:space="0" w:color="auto"/>
              <w:left w:val="nil"/>
              <w:bottom w:val="nil"/>
              <w:right w:val="nil"/>
            </w:tcBorders>
            <w:vAlign w:val="center"/>
          </w:tcPr>
          <w:p w14:paraId="4BFA2662"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Borders>
              <w:top w:val="single" w:sz="4" w:space="0" w:color="auto"/>
              <w:left w:val="nil"/>
              <w:bottom w:val="nil"/>
              <w:right w:val="nil"/>
            </w:tcBorders>
            <w:vAlign w:val="center"/>
          </w:tcPr>
          <w:p w14:paraId="569F63A7"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36" w:type="dxa"/>
            <w:tcBorders>
              <w:top w:val="single" w:sz="4" w:space="0" w:color="auto"/>
              <w:left w:val="nil"/>
              <w:bottom w:val="nil"/>
              <w:right w:val="nil"/>
            </w:tcBorders>
            <w:vAlign w:val="center"/>
          </w:tcPr>
          <w:p w14:paraId="3BBEE6A5"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10" w:type="dxa"/>
            <w:tcBorders>
              <w:top w:val="single" w:sz="4" w:space="0" w:color="auto"/>
              <w:left w:val="nil"/>
              <w:bottom w:val="nil"/>
              <w:right w:val="nil"/>
            </w:tcBorders>
            <w:vAlign w:val="center"/>
          </w:tcPr>
          <w:p w14:paraId="25A30DC7"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776" w:type="dxa"/>
            <w:tcBorders>
              <w:top w:val="single" w:sz="4" w:space="0" w:color="auto"/>
              <w:left w:val="nil"/>
              <w:bottom w:val="nil"/>
              <w:right w:val="nil"/>
            </w:tcBorders>
            <w:vAlign w:val="center"/>
          </w:tcPr>
          <w:p w14:paraId="7B5449DB"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670" w:type="dxa"/>
            <w:tcBorders>
              <w:top w:val="single" w:sz="4" w:space="0" w:color="auto"/>
              <w:left w:val="nil"/>
              <w:bottom w:val="nil"/>
              <w:right w:val="nil"/>
            </w:tcBorders>
            <w:vAlign w:val="center"/>
          </w:tcPr>
          <w:p w14:paraId="6BA24A18"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617" w:type="dxa"/>
            <w:tcBorders>
              <w:top w:val="single" w:sz="4" w:space="0" w:color="auto"/>
              <w:left w:val="nil"/>
              <w:bottom w:val="nil"/>
              <w:right w:val="nil"/>
            </w:tcBorders>
            <w:vAlign w:val="center"/>
          </w:tcPr>
          <w:p w14:paraId="4C017E84"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750" w:type="dxa"/>
            <w:tcBorders>
              <w:top w:val="single" w:sz="4" w:space="0" w:color="auto"/>
              <w:left w:val="nil"/>
              <w:bottom w:val="nil"/>
              <w:right w:val="nil"/>
            </w:tcBorders>
            <w:vAlign w:val="center"/>
          </w:tcPr>
          <w:p w14:paraId="705F7B45"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96" w:type="dxa"/>
            <w:tcBorders>
              <w:top w:val="single" w:sz="4" w:space="0" w:color="auto"/>
              <w:left w:val="nil"/>
              <w:bottom w:val="nil"/>
              <w:right w:val="nil"/>
            </w:tcBorders>
            <w:vAlign w:val="center"/>
          </w:tcPr>
          <w:p w14:paraId="1A0906CC"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96" w:type="dxa"/>
            <w:tcBorders>
              <w:top w:val="single" w:sz="4" w:space="0" w:color="auto"/>
              <w:left w:val="nil"/>
              <w:bottom w:val="nil"/>
              <w:right w:val="nil"/>
            </w:tcBorders>
            <w:vAlign w:val="center"/>
          </w:tcPr>
          <w:p w14:paraId="675675FB"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96" w:type="dxa"/>
            <w:tcBorders>
              <w:top w:val="single" w:sz="4" w:space="0" w:color="auto"/>
              <w:left w:val="nil"/>
              <w:bottom w:val="nil"/>
              <w:right w:val="nil"/>
            </w:tcBorders>
            <w:vAlign w:val="center"/>
          </w:tcPr>
          <w:p w14:paraId="7AF90F06"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Borders>
              <w:top w:val="single" w:sz="4" w:space="0" w:color="auto"/>
              <w:left w:val="nil"/>
              <w:bottom w:val="nil"/>
              <w:right w:val="nil"/>
            </w:tcBorders>
            <w:vAlign w:val="center"/>
          </w:tcPr>
          <w:p w14:paraId="3FC24826"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25F32" w14:paraId="0C51825B" w14:textId="77777777" w:rsidTr="00625F32">
        <w:tc>
          <w:tcPr>
            <w:tcW w:w="1176" w:type="dxa"/>
            <w:tcBorders>
              <w:top w:val="nil"/>
              <w:left w:val="nil"/>
              <w:bottom w:val="nil"/>
              <w:right w:val="nil"/>
            </w:tcBorders>
          </w:tcPr>
          <w:p w14:paraId="6847D1D6" w14:textId="77777777" w:rsidR="00625F32" w:rsidRDefault="00625F32" w:rsidP="000A0544">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56" w:type="dxa"/>
            <w:tcBorders>
              <w:top w:val="nil"/>
              <w:left w:val="nil"/>
              <w:bottom w:val="nil"/>
              <w:right w:val="nil"/>
            </w:tcBorders>
            <w:vAlign w:val="center"/>
          </w:tcPr>
          <w:p w14:paraId="2649E5C5"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Borders>
              <w:top w:val="nil"/>
              <w:left w:val="nil"/>
              <w:bottom w:val="nil"/>
              <w:right w:val="nil"/>
            </w:tcBorders>
            <w:vAlign w:val="center"/>
          </w:tcPr>
          <w:p w14:paraId="7C008709"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36" w:type="dxa"/>
            <w:tcBorders>
              <w:top w:val="nil"/>
              <w:left w:val="nil"/>
              <w:bottom w:val="nil"/>
              <w:right w:val="nil"/>
            </w:tcBorders>
            <w:vAlign w:val="center"/>
          </w:tcPr>
          <w:p w14:paraId="3B49679F"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10" w:type="dxa"/>
            <w:tcBorders>
              <w:top w:val="nil"/>
              <w:left w:val="nil"/>
              <w:bottom w:val="nil"/>
              <w:right w:val="nil"/>
            </w:tcBorders>
            <w:vAlign w:val="center"/>
          </w:tcPr>
          <w:p w14:paraId="0A190247"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76" w:type="dxa"/>
            <w:tcBorders>
              <w:top w:val="nil"/>
              <w:left w:val="nil"/>
              <w:bottom w:val="nil"/>
              <w:right w:val="nil"/>
            </w:tcBorders>
            <w:vAlign w:val="center"/>
          </w:tcPr>
          <w:p w14:paraId="7C790427"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670" w:type="dxa"/>
            <w:tcBorders>
              <w:top w:val="nil"/>
              <w:left w:val="nil"/>
              <w:bottom w:val="nil"/>
              <w:right w:val="nil"/>
            </w:tcBorders>
            <w:vAlign w:val="center"/>
          </w:tcPr>
          <w:p w14:paraId="49A14C5F"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617" w:type="dxa"/>
            <w:tcBorders>
              <w:top w:val="nil"/>
              <w:left w:val="nil"/>
              <w:bottom w:val="nil"/>
              <w:right w:val="nil"/>
            </w:tcBorders>
            <w:vAlign w:val="center"/>
          </w:tcPr>
          <w:p w14:paraId="4BFBAA42"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750" w:type="dxa"/>
            <w:tcBorders>
              <w:top w:val="nil"/>
              <w:left w:val="nil"/>
              <w:bottom w:val="nil"/>
              <w:right w:val="nil"/>
            </w:tcBorders>
            <w:vAlign w:val="center"/>
          </w:tcPr>
          <w:p w14:paraId="10BF8656"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696" w:type="dxa"/>
            <w:tcBorders>
              <w:top w:val="nil"/>
              <w:left w:val="nil"/>
              <w:bottom w:val="nil"/>
              <w:right w:val="nil"/>
            </w:tcBorders>
            <w:vAlign w:val="center"/>
          </w:tcPr>
          <w:p w14:paraId="1E915B59"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96" w:type="dxa"/>
            <w:tcBorders>
              <w:top w:val="nil"/>
              <w:left w:val="nil"/>
              <w:bottom w:val="nil"/>
              <w:right w:val="nil"/>
            </w:tcBorders>
            <w:vAlign w:val="center"/>
          </w:tcPr>
          <w:p w14:paraId="496A3175"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6" w:type="dxa"/>
            <w:tcBorders>
              <w:top w:val="nil"/>
              <w:left w:val="nil"/>
              <w:bottom w:val="nil"/>
              <w:right w:val="nil"/>
            </w:tcBorders>
            <w:vAlign w:val="center"/>
          </w:tcPr>
          <w:p w14:paraId="09F84454"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Borders>
              <w:top w:val="nil"/>
              <w:left w:val="nil"/>
              <w:bottom w:val="nil"/>
              <w:right w:val="nil"/>
            </w:tcBorders>
            <w:vAlign w:val="center"/>
          </w:tcPr>
          <w:p w14:paraId="1461F06F"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25F32" w14:paraId="621AB0D3" w14:textId="77777777" w:rsidTr="00625F32">
        <w:tc>
          <w:tcPr>
            <w:tcW w:w="1176" w:type="dxa"/>
            <w:tcBorders>
              <w:top w:val="nil"/>
              <w:left w:val="nil"/>
              <w:bottom w:val="nil"/>
              <w:right w:val="nil"/>
            </w:tcBorders>
          </w:tcPr>
          <w:p w14:paraId="2E02A118" w14:textId="77777777" w:rsidR="00625F32" w:rsidRDefault="00625F32" w:rsidP="000A0544">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56" w:type="dxa"/>
            <w:tcBorders>
              <w:top w:val="nil"/>
              <w:left w:val="nil"/>
              <w:bottom w:val="nil"/>
              <w:right w:val="nil"/>
            </w:tcBorders>
            <w:vAlign w:val="center"/>
          </w:tcPr>
          <w:p w14:paraId="35EAECDC"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Borders>
              <w:top w:val="nil"/>
              <w:left w:val="nil"/>
              <w:bottom w:val="nil"/>
              <w:right w:val="nil"/>
            </w:tcBorders>
            <w:vAlign w:val="center"/>
          </w:tcPr>
          <w:p w14:paraId="108D9748"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36" w:type="dxa"/>
            <w:tcBorders>
              <w:top w:val="nil"/>
              <w:left w:val="nil"/>
              <w:bottom w:val="nil"/>
              <w:right w:val="nil"/>
            </w:tcBorders>
            <w:vAlign w:val="center"/>
          </w:tcPr>
          <w:p w14:paraId="22F15317"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10" w:type="dxa"/>
            <w:tcBorders>
              <w:top w:val="nil"/>
              <w:left w:val="nil"/>
              <w:bottom w:val="nil"/>
              <w:right w:val="nil"/>
            </w:tcBorders>
            <w:vAlign w:val="center"/>
          </w:tcPr>
          <w:p w14:paraId="1F0D5A19"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76" w:type="dxa"/>
            <w:tcBorders>
              <w:top w:val="nil"/>
              <w:left w:val="nil"/>
              <w:bottom w:val="nil"/>
              <w:right w:val="nil"/>
            </w:tcBorders>
            <w:vAlign w:val="center"/>
          </w:tcPr>
          <w:p w14:paraId="5E462229"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670" w:type="dxa"/>
            <w:tcBorders>
              <w:top w:val="nil"/>
              <w:left w:val="nil"/>
              <w:bottom w:val="nil"/>
              <w:right w:val="nil"/>
            </w:tcBorders>
            <w:vAlign w:val="center"/>
          </w:tcPr>
          <w:p w14:paraId="439957C2"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7" w:type="dxa"/>
            <w:tcBorders>
              <w:top w:val="nil"/>
              <w:left w:val="nil"/>
              <w:bottom w:val="nil"/>
              <w:right w:val="nil"/>
            </w:tcBorders>
            <w:vAlign w:val="center"/>
          </w:tcPr>
          <w:p w14:paraId="6CC897A6"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750" w:type="dxa"/>
            <w:tcBorders>
              <w:top w:val="nil"/>
              <w:left w:val="nil"/>
              <w:bottom w:val="nil"/>
              <w:right w:val="nil"/>
            </w:tcBorders>
            <w:vAlign w:val="center"/>
          </w:tcPr>
          <w:p w14:paraId="666EA3E7"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96" w:type="dxa"/>
            <w:tcBorders>
              <w:top w:val="nil"/>
              <w:left w:val="nil"/>
              <w:bottom w:val="nil"/>
              <w:right w:val="nil"/>
            </w:tcBorders>
            <w:vAlign w:val="center"/>
          </w:tcPr>
          <w:p w14:paraId="3D92C4A3"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Borders>
              <w:top w:val="nil"/>
              <w:left w:val="nil"/>
              <w:bottom w:val="nil"/>
              <w:right w:val="nil"/>
            </w:tcBorders>
            <w:vAlign w:val="center"/>
          </w:tcPr>
          <w:p w14:paraId="428E7463"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6" w:type="dxa"/>
            <w:tcBorders>
              <w:top w:val="nil"/>
              <w:left w:val="nil"/>
              <w:bottom w:val="nil"/>
              <w:right w:val="nil"/>
            </w:tcBorders>
            <w:vAlign w:val="center"/>
          </w:tcPr>
          <w:p w14:paraId="6E13C544"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Borders>
              <w:top w:val="nil"/>
              <w:left w:val="nil"/>
              <w:bottom w:val="nil"/>
              <w:right w:val="nil"/>
            </w:tcBorders>
            <w:vAlign w:val="center"/>
          </w:tcPr>
          <w:p w14:paraId="0783B09A"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25F32" w14:paraId="4F137C26" w14:textId="77777777" w:rsidTr="0072042F">
        <w:tc>
          <w:tcPr>
            <w:tcW w:w="1176" w:type="dxa"/>
            <w:tcBorders>
              <w:top w:val="nil"/>
              <w:left w:val="nil"/>
              <w:bottom w:val="nil"/>
              <w:right w:val="nil"/>
            </w:tcBorders>
          </w:tcPr>
          <w:p w14:paraId="34FE874A" w14:textId="77777777" w:rsidR="00625F32" w:rsidRDefault="00625F32" w:rsidP="000A0544">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56" w:type="dxa"/>
            <w:tcBorders>
              <w:top w:val="nil"/>
              <w:left w:val="nil"/>
              <w:bottom w:val="nil"/>
              <w:right w:val="nil"/>
            </w:tcBorders>
            <w:vAlign w:val="center"/>
          </w:tcPr>
          <w:p w14:paraId="2398E64B"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Borders>
              <w:top w:val="nil"/>
              <w:left w:val="nil"/>
              <w:bottom w:val="nil"/>
              <w:right w:val="nil"/>
            </w:tcBorders>
            <w:vAlign w:val="center"/>
          </w:tcPr>
          <w:p w14:paraId="3BC79EDE"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6" w:type="dxa"/>
            <w:tcBorders>
              <w:top w:val="nil"/>
              <w:left w:val="nil"/>
              <w:bottom w:val="nil"/>
              <w:right w:val="nil"/>
            </w:tcBorders>
            <w:vAlign w:val="center"/>
          </w:tcPr>
          <w:p w14:paraId="74267965"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10" w:type="dxa"/>
            <w:tcBorders>
              <w:top w:val="nil"/>
              <w:left w:val="nil"/>
              <w:bottom w:val="nil"/>
              <w:right w:val="nil"/>
            </w:tcBorders>
            <w:vAlign w:val="center"/>
          </w:tcPr>
          <w:p w14:paraId="030C143A"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76" w:type="dxa"/>
            <w:tcBorders>
              <w:top w:val="nil"/>
              <w:left w:val="nil"/>
              <w:bottom w:val="nil"/>
              <w:right w:val="nil"/>
            </w:tcBorders>
            <w:vAlign w:val="center"/>
          </w:tcPr>
          <w:p w14:paraId="0170A45B"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670" w:type="dxa"/>
            <w:tcBorders>
              <w:top w:val="nil"/>
              <w:left w:val="nil"/>
              <w:bottom w:val="nil"/>
              <w:right w:val="nil"/>
            </w:tcBorders>
            <w:vAlign w:val="center"/>
          </w:tcPr>
          <w:p w14:paraId="595DDBC6"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17" w:type="dxa"/>
            <w:tcBorders>
              <w:top w:val="nil"/>
              <w:left w:val="nil"/>
              <w:bottom w:val="nil"/>
              <w:right w:val="nil"/>
            </w:tcBorders>
            <w:vAlign w:val="center"/>
          </w:tcPr>
          <w:p w14:paraId="00C52BEB"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50" w:type="dxa"/>
            <w:tcBorders>
              <w:top w:val="nil"/>
              <w:left w:val="nil"/>
              <w:bottom w:val="nil"/>
              <w:right w:val="nil"/>
            </w:tcBorders>
            <w:vAlign w:val="center"/>
          </w:tcPr>
          <w:p w14:paraId="273299CF"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96" w:type="dxa"/>
            <w:tcBorders>
              <w:top w:val="nil"/>
              <w:left w:val="nil"/>
              <w:bottom w:val="nil"/>
              <w:right w:val="nil"/>
            </w:tcBorders>
            <w:vAlign w:val="center"/>
          </w:tcPr>
          <w:p w14:paraId="5B435FF5"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96" w:type="dxa"/>
            <w:tcBorders>
              <w:top w:val="nil"/>
              <w:left w:val="nil"/>
              <w:bottom w:val="nil"/>
              <w:right w:val="nil"/>
            </w:tcBorders>
            <w:vAlign w:val="center"/>
          </w:tcPr>
          <w:p w14:paraId="42C52377"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6" w:type="dxa"/>
            <w:tcBorders>
              <w:top w:val="nil"/>
              <w:left w:val="nil"/>
              <w:bottom w:val="nil"/>
              <w:right w:val="nil"/>
            </w:tcBorders>
            <w:vAlign w:val="center"/>
          </w:tcPr>
          <w:p w14:paraId="1FEE6C24"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Borders>
              <w:top w:val="nil"/>
              <w:left w:val="nil"/>
              <w:bottom w:val="nil"/>
              <w:right w:val="nil"/>
            </w:tcBorders>
            <w:vAlign w:val="center"/>
          </w:tcPr>
          <w:p w14:paraId="18B767BD"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25F32" w14:paraId="250A2DAC" w14:textId="77777777" w:rsidTr="0072042F">
        <w:tc>
          <w:tcPr>
            <w:tcW w:w="1176" w:type="dxa"/>
            <w:tcBorders>
              <w:top w:val="nil"/>
              <w:left w:val="nil"/>
              <w:bottom w:val="double" w:sz="4" w:space="0" w:color="auto"/>
              <w:right w:val="nil"/>
            </w:tcBorders>
          </w:tcPr>
          <w:p w14:paraId="398EAA60" w14:textId="77777777" w:rsidR="00625F32" w:rsidRDefault="00625F32" w:rsidP="000A0544">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56" w:type="dxa"/>
            <w:tcBorders>
              <w:top w:val="nil"/>
              <w:left w:val="nil"/>
              <w:bottom w:val="double" w:sz="4" w:space="0" w:color="auto"/>
              <w:right w:val="nil"/>
            </w:tcBorders>
            <w:vAlign w:val="center"/>
          </w:tcPr>
          <w:p w14:paraId="312B0648"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96" w:type="dxa"/>
            <w:tcBorders>
              <w:top w:val="nil"/>
              <w:left w:val="nil"/>
              <w:bottom w:val="double" w:sz="4" w:space="0" w:color="auto"/>
              <w:right w:val="nil"/>
            </w:tcBorders>
            <w:vAlign w:val="center"/>
          </w:tcPr>
          <w:p w14:paraId="5A9CD717"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36" w:type="dxa"/>
            <w:tcBorders>
              <w:top w:val="nil"/>
              <w:left w:val="nil"/>
              <w:bottom w:val="double" w:sz="4" w:space="0" w:color="auto"/>
              <w:right w:val="nil"/>
            </w:tcBorders>
            <w:vAlign w:val="center"/>
          </w:tcPr>
          <w:p w14:paraId="4DF46C84"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710" w:type="dxa"/>
            <w:tcBorders>
              <w:top w:val="nil"/>
              <w:left w:val="nil"/>
              <w:bottom w:val="double" w:sz="4" w:space="0" w:color="auto"/>
              <w:right w:val="nil"/>
            </w:tcBorders>
            <w:vAlign w:val="center"/>
          </w:tcPr>
          <w:p w14:paraId="34F3D1A8"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76" w:type="dxa"/>
            <w:tcBorders>
              <w:top w:val="nil"/>
              <w:left w:val="nil"/>
              <w:bottom w:val="double" w:sz="4" w:space="0" w:color="auto"/>
              <w:right w:val="nil"/>
            </w:tcBorders>
            <w:vAlign w:val="center"/>
          </w:tcPr>
          <w:p w14:paraId="08BEDB5F"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670" w:type="dxa"/>
            <w:tcBorders>
              <w:top w:val="nil"/>
              <w:left w:val="nil"/>
              <w:bottom w:val="double" w:sz="4" w:space="0" w:color="auto"/>
              <w:right w:val="nil"/>
            </w:tcBorders>
            <w:vAlign w:val="center"/>
          </w:tcPr>
          <w:p w14:paraId="1CF28DFA"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17" w:type="dxa"/>
            <w:tcBorders>
              <w:top w:val="nil"/>
              <w:left w:val="nil"/>
              <w:bottom w:val="double" w:sz="4" w:space="0" w:color="auto"/>
              <w:right w:val="nil"/>
            </w:tcBorders>
            <w:vAlign w:val="center"/>
          </w:tcPr>
          <w:p w14:paraId="203D67B8"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50" w:type="dxa"/>
            <w:tcBorders>
              <w:top w:val="nil"/>
              <w:left w:val="nil"/>
              <w:bottom w:val="double" w:sz="4" w:space="0" w:color="auto"/>
              <w:right w:val="nil"/>
            </w:tcBorders>
            <w:vAlign w:val="center"/>
          </w:tcPr>
          <w:p w14:paraId="6EC0C4A6"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96" w:type="dxa"/>
            <w:tcBorders>
              <w:top w:val="nil"/>
              <w:left w:val="nil"/>
              <w:bottom w:val="double" w:sz="4" w:space="0" w:color="auto"/>
              <w:right w:val="nil"/>
            </w:tcBorders>
            <w:vAlign w:val="center"/>
          </w:tcPr>
          <w:p w14:paraId="74450718"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96" w:type="dxa"/>
            <w:tcBorders>
              <w:top w:val="nil"/>
              <w:left w:val="nil"/>
              <w:bottom w:val="double" w:sz="4" w:space="0" w:color="auto"/>
              <w:right w:val="nil"/>
            </w:tcBorders>
            <w:vAlign w:val="center"/>
          </w:tcPr>
          <w:p w14:paraId="172E080D"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96" w:type="dxa"/>
            <w:tcBorders>
              <w:top w:val="nil"/>
              <w:left w:val="nil"/>
              <w:bottom w:val="double" w:sz="4" w:space="0" w:color="auto"/>
              <w:right w:val="nil"/>
            </w:tcBorders>
            <w:vAlign w:val="center"/>
          </w:tcPr>
          <w:p w14:paraId="5BF79697"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96" w:type="dxa"/>
            <w:tcBorders>
              <w:top w:val="nil"/>
              <w:left w:val="nil"/>
              <w:bottom w:val="double" w:sz="4" w:space="0" w:color="auto"/>
              <w:right w:val="nil"/>
            </w:tcBorders>
            <w:vAlign w:val="center"/>
          </w:tcPr>
          <w:p w14:paraId="4458FDB7" w14:textId="77777777" w:rsidR="00625F32" w:rsidRDefault="00625F32" w:rsidP="000A05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bl>
    <w:p w14:paraId="2F9629A7" w14:textId="77777777" w:rsidR="00625F32" w:rsidRDefault="00625F32"/>
    <w:sectPr w:rsidR="00625F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dvPTimes">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060"/>
    <w:rsid w:val="0007494B"/>
    <w:rsid w:val="0017212F"/>
    <w:rsid w:val="001B734E"/>
    <w:rsid w:val="00225A2C"/>
    <w:rsid w:val="0030029E"/>
    <w:rsid w:val="00343D57"/>
    <w:rsid w:val="00352299"/>
    <w:rsid w:val="00352A02"/>
    <w:rsid w:val="004208F0"/>
    <w:rsid w:val="004B4FD5"/>
    <w:rsid w:val="004D36E7"/>
    <w:rsid w:val="00513FA3"/>
    <w:rsid w:val="00625F32"/>
    <w:rsid w:val="006A373D"/>
    <w:rsid w:val="006B4F45"/>
    <w:rsid w:val="0072042F"/>
    <w:rsid w:val="007C3491"/>
    <w:rsid w:val="008B3661"/>
    <w:rsid w:val="008C022C"/>
    <w:rsid w:val="00D55060"/>
    <w:rsid w:val="00D93A60"/>
    <w:rsid w:val="00D96E53"/>
    <w:rsid w:val="00F524BE"/>
    <w:rsid w:val="00FF0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FE495"/>
  <w15:chartTrackingRefBased/>
  <w15:docId w15:val="{18738DCF-7883-4121-91C8-F6F1ABBDE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50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be">
    <w:name w:val="_xbe"/>
    <w:basedOn w:val="DefaultParagraphFont"/>
    <w:rsid w:val="00D55060"/>
  </w:style>
  <w:style w:type="table" w:styleId="TableGrid">
    <w:name w:val="Table Grid"/>
    <w:basedOn w:val="TableNormal"/>
    <w:uiPriority w:val="59"/>
    <w:rsid w:val="00D55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D55060"/>
    <w:pPr>
      <w:tabs>
        <w:tab w:val="left" w:pos="384"/>
      </w:tabs>
      <w:spacing w:after="240" w:line="240" w:lineRule="auto"/>
      <w:ind w:left="384" w:hanging="384"/>
    </w:pPr>
  </w:style>
  <w:style w:type="paragraph" w:styleId="HTMLPreformatted">
    <w:name w:val="HTML Preformatted"/>
    <w:basedOn w:val="Normal"/>
    <w:link w:val="HTMLPreformattedChar"/>
    <w:uiPriority w:val="99"/>
    <w:semiHidden/>
    <w:unhideWhenUsed/>
    <w:rsid w:val="006A3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A373D"/>
    <w:rPr>
      <w:rFonts w:ascii="Courier New" w:eastAsia="Times New Roman" w:hAnsi="Courier New" w:cs="Courier New"/>
      <w:sz w:val="20"/>
      <w:szCs w:val="20"/>
    </w:rPr>
  </w:style>
  <w:style w:type="character" w:customStyle="1" w:styleId="gnkrckgcgsb">
    <w:name w:val="gnkrckgcgsb"/>
    <w:basedOn w:val="DefaultParagraphFont"/>
    <w:rsid w:val="006A373D"/>
  </w:style>
  <w:style w:type="paragraph" w:styleId="BalloonText">
    <w:name w:val="Balloon Text"/>
    <w:basedOn w:val="Normal"/>
    <w:link w:val="BalloonTextChar"/>
    <w:uiPriority w:val="99"/>
    <w:semiHidden/>
    <w:unhideWhenUsed/>
    <w:rsid w:val="006A37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37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18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theme" Target="theme/theme1.xml"/><Relationship Id="rId5" Type="http://schemas.openxmlformats.org/officeDocument/2006/relationships/image" Target="media/image2.tiff"/><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5646</Words>
  <Characters>32184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Hallworth</dc:creator>
  <cp:keywords/>
  <dc:description/>
  <cp:lastModifiedBy>Sasikumar N.</cp:lastModifiedBy>
  <cp:revision>2</cp:revision>
  <dcterms:created xsi:type="dcterms:W3CDTF">2018-12-20T03:39:00Z</dcterms:created>
  <dcterms:modified xsi:type="dcterms:W3CDTF">2018-12-20T03:39:00Z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zotero-version="5.0.56"&gt;&lt;session id="7T1OBCZp"/&gt;&lt;style id="http://www.zotero.org/styles/biology-letters" hasBibliography="1" bibliographyStyleHasBeenSet="1"/&gt;&lt;prefs&gt;&lt;pref name="fieldType" value="Field"/&gt;&lt;pref name="automaticJournalA</vt:lpwstr>
  </property>
  <property fmtid="{D5CDD505-2E9C-101B-9397-08002B2CF9AE}" pid="3" name="ZOTERO_PREF_2">
    <vt:lpwstr>bbreviations" value="true"/&gt;&lt;/prefs&gt;&lt;/data&gt;</vt:lpwstr>
  </property>
</Properties>
</file>