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388" w:rsidRPr="00A30784" w:rsidRDefault="00EB4388" w:rsidP="00EB4388">
      <w:pPr>
        <w:suppressAutoHyphens w:val="0"/>
        <w:spacing w:after="0" w:line="240" w:lineRule="auto"/>
        <w:rPr>
          <w:rFonts w:ascii="Times New Roman" w:hAnsi="Times New Roman" w:cs="Times New Roman"/>
          <w:sz w:val="24"/>
          <w:szCs w:val="24"/>
        </w:rPr>
      </w:pPr>
      <w:r w:rsidRPr="00A30784">
        <w:rPr>
          <w:rFonts w:ascii="Times New Roman" w:eastAsia="Times New Roman" w:hAnsi="Times New Roman" w:cs="Times New Roman"/>
          <w:sz w:val="24"/>
          <w:szCs w:val="24"/>
          <w:lang w:val="en-US"/>
        </w:rPr>
        <w:t xml:space="preserve">Atkins, J.L., Perry, G.L.W. and Dennis, </w:t>
      </w:r>
      <w:proofErr w:type="gramStart"/>
      <w:r w:rsidRPr="00A30784">
        <w:rPr>
          <w:rFonts w:ascii="Times New Roman" w:eastAsia="Times New Roman" w:hAnsi="Times New Roman" w:cs="Times New Roman"/>
          <w:sz w:val="24"/>
          <w:szCs w:val="24"/>
          <w:lang w:val="en-US"/>
        </w:rPr>
        <w:t>T.E .</w:t>
      </w:r>
      <w:proofErr w:type="gramEnd"/>
      <w:r w:rsidRPr="00A30784">
        <w:rPr>
          <w:rFonts w:ascii="Times New Roman" w:eastAsia="Times New Roman" w:hAnsi="Times New Roman" w:cs="Times New Roman"/>
          <w:sz w:val="24"/>
          <w:szCs w:val="24"/>
          <w:lang w:val="en-US"/>
        </w:rPr>
        <w:t xml:space="preserve"> 2016. </w:t>
      </w:r>
      <w:r w:rsidRPr="00A30784">
        <w:rPr>
          <w:rFonts w:ascii="Times New Roman" w:hAnsi="Times New Roman" w:cs="Times New Roman"/>
          <w:sz w:val="24"/>
          <w:szCs w:val="24"/>
        </w:rPr>
        <w:t xml:space="preserve">The importance of context: landscape structure influences the outcome of trade-offs among intrinsic biological traits on dispersal success </w:t>
      </w:r>
    </w:p>
    <w:p w:rsidR="00EB4388" w:rsidRPr="00A30784" w:rsidRDefault="00EB4388" w:rsidP="00EB4388">
      <w:pPr>
        <w:suppressAutoHyphens w:val="0"/>
        <w:spacing w:after="0"/>
        <w:rPr>
          <w:rFonts w:ascii="Times New Roman" w:eastAsia="Times New Roman" w:hAnsi="Times New Roman" w:cs="Times New Roman"/>
          <w:sz w:val="24"/>
          <w:szCs w:val="24"/>
          <w:lang w:val="en-US"/>
        </w:rPr>
      </w:pPr>
      <w:r w:rsidRPr="00A30784">
        <w:rPr>
          <w:rFonts w:ascii="Times New Roman" w:eastAsia="Times New Roman" w:hAnsi="Times New Roman" w:cs="Times New Roman"/>
          <w:sz w:val="24"/>
          <w:szCs w:val="24"/>
          <w:lang w:val="en-US"/>
        </w:rPr>
        <w:t xml:space="preserve"> </w:t>
      </w:r>
    </w:p>
    <w:p w:rsidR="00EB4388" w:rsidRPr="00A30784" w:rsidRDefault="00EB4388" w:rsidP="00EB4388">
      <w:pPr>
        <w:spacing w:line="360" w:lineRule="auto"/>
        <w:outlineLvl w:val="0"/>
        <w:rPr>
          <w:rFonts w:ascii="Times New Roman" w:hAnsi="Times New Roman" w:cs="Times New Roman"/>
          <w:b/>
          <w:sz w:val="24"/>
          <w:szCs w:val="24"/>
        </w:rPr>
      </w:pPr>
      <w:r w:rsidRPr="00A30784">
        <w:rPr>
          <w:rFonts w:ascii="Times New Roman" w:hAnsi="Times New Roman" w:cs="Times New Roman"/>
          <w:b/>
          <w:sz w:val="24"/>
          <w:szCs w:val="24"/>
        </w:rPr>
        <w:t>Supplementary Material 2 Statistical Methodology</w:t>
      </w:r>
    </w:p>
    <w:p w:rsidR="00EB4388" w:rsidRPr="00A30784" w:rsidRDefault="00EB4388" w:rsidP="00EB4388">
      <w:pPr>
        <w:spacing w:line="360" w:lineRule="auto"/>
        <w:outlineLvl w:val="0"/>
        <w:rPr>
          <w:rFonts w:ascii="Times New Roman" w:hAnsi="Times New Roman" w:cs="Times New Roman"/>
          <w:b/>
          <w:bCs/>
          <w:sz w:val="24"/>
          <w:szCs w:val="24"/>
        </w:rPr>
      </w:pPr>
      <w:r w:rsidRPr="00A30784">
        <w:rPr>
          <w:rFonts w:ascii="Times New Roman" w:hAnsi="Times New Roman" w:cs="Times New Roman"/>
          <w:b/>
          <w:bCs/>
          <w:sz w:val="24"/>
          <w:szCs w:val="24"/>
        </w:rPr>
        <w:t>Latin hypercube sampling (LHS)</w:t>
      </w:r>
    </w:p>
    <w:p w:rsidR="00EB4388" w:rsidRPr="00A30784" w:rsidRDefault="00EB4388" w:rsidP="00EB4388">
      <w:pPr>
        <w:spacing w:line="360" w:lineRule="auto"/>
        <w:outlineLvl w:val="0"/>
        <w:rPr>
          <w:rFonts w:ascii="Times New Roman" w:hAnsi="Times New Roman" w:cs="Times New Roman"/>
          <w:sz w:val="24"/>
          <w:szCs w:val="24"/>
        </w:rPr>
      </w:pPr>
      <w:r w:rsidRPr="00A30784">
        <w:rPr>
          <w:rFonts w:ascii="Times New Roman" w:hAnsi="Times New Roman" w:cs="Times New Roman"/>
          <w:bCs/>
          <w:sz w:val="24"/>
          <w:szCs w:val="24"/>
        </w:rPr>
        <w:t>This technique is a form of uncertainty analysis in which the full range of potential values for  uncertain parameters are explored through generation of</w:t>
      </w:r>
      <w:r w:rsidRPr="00A30784">
        <w:rPr>
          <w:rFonts w:ascii="Times New Roman" w:hAnsi="Times New Roman" w:cs="Times New Roman"/>
          <w:sz w:val="24"/>
          <w:szCs w:val="24"/>
        </w:rPr>
        <w:t xml:space="preserve"> a representative sample of all possible combinations of parameter values from distributions with multiple parameters </w:t>
      </w:r>
      <w:r w:rsidRPr="00A30784">
        <w:rPr>
          <w:rFonts w:ascii="Times New Roman" w:hAnsi="Times New Roman" w:cs="Times New Roman"/>
          <w:sz w:val="24"/>
          <w:szCs w:val="24"/>
        </w:rPr>
        <w:fldChar w:fldCharType="begin" w:fldLock="1"/>
      </w:r>
      <w:r w:rsidRPr="00A30784">
        <w:rPr>
          <w:rFonts w:ascii="Times New Roman" w:hAnsi="Times New Roman" w:cs="Times New Roman"/>
          <w:sz w:val="24"/>
          <w:szCs w:val="24"/>
        </w:rPr>
        <w:instrText>ADDIN CSL_CITATION { "citationItems" : [ { "id" : "ITEM-1", "itemData" : { "DOI" : "10.1016/S0951-8320(03)00058-9", "ISSN" : "09518320", "author" : [ { "dropping-particle" : "", "family" : "Helton", "given" : "J.C.", "non-dropping-particle" : "", "parse-names" : false, "suffix" : "" }, { "dropping-particle" : "", "family" : "Davis", "given" : "F.J.", "non-dropping-particle" : "", "parse-names" : false, "suffix" : "" } ], "container-title" : "Reliability Engineering &amp; System Safety", "id" : "ITEM-1", "issue" : "1", "issued" : { "date-parts" : [ [ "2003", "7" ] ] }, "page" : "23-69", "title" : "Latin hypercube sampling and the propagation of uncertainty in analyses of complex systems", "type" : "article-journal", "volume" : "81" }, "uris" : [ "http://www.mendeley.com/documents/?uuid=6efa91ab-16b1-498f-b7e6-cb2daaab2ed1" ] } ], "mendeley" : { "manualFormatting" : "(for detailed explanation of this sampling process, see Helton &amp; Davis, 2003)", "previouslyFormattedCitation" : "(Helton &amp; Davis, 2003)" }, "properties" : { "noteIndex" : 0 }, "schema" : "https://github.com/citation-style-language/schema/raw/master/csl-citation.json" }</w:instrText>
      </w:r>
      <w:r w:rsidRPr="00A30784">
        <w:rPr>
          <w:rFonts w:ascii="Times New Roman" w:hAnsi="Times New Roman" w:cs="Times New Roman"/>
          <w:sz w:val="24"/>
          <w:szCs w:val="24"/>
        </w:rPr>
        <w:fldChar w:fldCharType="separate"/>
      </w:r>
      <w:r w:rsidRPr="00A30784">
        <w:rPr>
          <w:rFonts w:ascii="Times New Roman" w:hAnsi="Times New Roman" w:cs="Times New Roman"/>
          <w:sz w:val="24"/>
          <w:szCs w:val="24"/>
        </w:rPr>
        <w:t>(for detailed explanation of this sampling process, see [1])</w:t>
      </w:r>
      <w:r w:rsidRPr="00A30784">
        <w:rPr>
          <w:rFonts w:ascii="Times New Roman" w:hAnsi="Times New Roman" w:cs="Times New Roman"/>
          <w:sz w:val="24"/>
          <w:szCs w:val="24"/>
        </w:rPr>
        <w:fldChar w:fldCharType="end"/>
      </w:r>
      <w:r w:rsidRPr="00A30784">
        <w:rPr>
          <w:rFonts w:ascii="Times New Roman" w:hAnsi="Times New Roman" w:cs="Times New Roman"/>
          <w:sz w:val="24"/>
          <w:szCs w:val="24"/>
        </w:rPr>
        <w:t xml:space="preserve">. </w:t>
      </w:r>
    </w:p>
    <w:p w:rsidR="00EB4388" w:rsidRPr="00A30784" w:rsidRDefault="00EB4388" w:rsidP="00EB4388">
      <w:pPr>
        <w:spacing w:line="360" w:lineRule="auto"/>
        <w:outlineLvl w:val="0"/>
        <w:rPr>
          <w:rFonts w:ascii="Times New Roman" w:hAnsi="Times New Roman" w:cs="Times New Roman"/>
          <w:sz w:val="24"/>
          <w:szCs w:val="24"/>
        </w:rPr>
      </w:pPr>
      <w:r w:rsidRPr="00A30784">
        <w:rPr>
          <w:rFonts w:ascii="Times New Roman" w:hAnsi="Times New Roman" w:cs="Times New Roman"/>
          <w:sz w:val="24"/>
          <w:szCs w:val="24"/>
        </w:rPr>
        <w:t xml:space="preserve">LHS was performed in the statistical computing environment R, using the </w:t>
      </w:r>
      <w:proofErr w:type="spellStart"/>
      <w:r w:rsidRPr="00A30784">
        <w:rPr>
          <w:rFonts w:ascii="Times New Roman" w:hAnsi="Times New Roman" w:cs="Times New Roman"/>
          <w:sz w:val="24"/>
          <w:szCs w:val="24"/>
        </w:rPr>
        <w:t>RNetLogo</w:t>
      </w:r>
      <w:proofErr w:type="spellEnd"/>
      <w:r w:rsidRPr="00A30784">
        <w:rPr>
          <w:rFonts w:ascii="Times New Roman" w:hAnsi="Times New Roman" w:cs="Times New Roman"/>
          <w:sz w:val="24"/>
          <w:szCs w:val="24"/>
        </w:rPr>
        <w:t xml:space="preserve"> package [2] that was designed so that </w:t>
      </w:r>
      <w:proofErr w:type="spellStart"/>
      <w:r w:rsidRPr="00A30784">
        <w:rPr>
          <w:rFonts w:ascii="Times New Roman" w:hAnsi="Times New Roman" w:cs="Times New Roman"/>
          <w:sz w:val="24"/>
          <w:szCs w:val="24"/>
        </w:rPr>
        <w:t>NetLogo</w:t>
      </w:r>
      <w:proofErr w:type="spellEnd"/>
      <w:r w:rsidRPr="00A30784">
        <w:rPr>
          <w:rFonts w:ascii="Times New Roman" w:hAnsi="Times New Roman" w:cs="Times New Roman"/>
          <w:sz w:val="24"/>
          <w:szCs w:val="24"/>
        </w:rPr>
        <w:t xml:space="preserve"> models could be called from R and analysed using R functions, such as LHS. In procedure, 10,000 runs of the model were conducted and dispersal success was measured for each model implementation; each run represented an independent sample of the parameter space, the ranges for which are shown in Table 1. R data-frames were generated that contained the parameter values used for each of the 10,000 model runs, and dispersal success was determined for each run. </w:t>
      </w:r>
    </w:p>
    <w:p w:rsidR="00EB4388" w:rsidRPr="00A30784" w:rsidRDefault="00EB4388" w:rsidP="00EB4388">
      <w:pPr>
        <w:suppressAutoHyphens w:val="0"/>
        <w:spacing w:after="0"/>
        <w:rPr>
          <w:rFonts w:ascii="Times New Roman" w:hAnsi="Times New Roman" w:cs="Times New Roman"/>
          <w:bCs/>
          <w:sz w:val="24"/>
          <w:szCs w:val="24"/>
        </w:rPr>
      </w:pPr>
      <w:r w:rsidRPr="00A30784">
        <w:rPr>
          <w:rFonts w:ascii="Times New Roman" w:hAnsi="Times New Roman" w:cs="Times New Roman"/>
          <w:bCs/>
          <w:sz w:val="24"/>
          <w:szCs w:val="24"/>
        </w:rPr>
        <w:br w:type="page"/>
      </w:r>
    </w:p>
    <w:tbl>
      <w:tblPr>
        <w:tblStyle w:val="TableGrid"/>
        <w:tblpPr w:leftFromText="180" w:rightFromText="180" w:vertAnchor="page" w:horzAnchor="margin" w:tblpY="2514"/>
        <w:tblW w:w="10031" w:type="dxa"/>
        <w:tblLook w:val="04A0" w:firstRow="1" w:lastRow="0" w:firstColumn="1" w:lastColumn="0" w:noHBand="0" w:noVBand="1"/>
      </w:tblPr>
      <w:tblGrid>
        <w:gridCol w:w="3022"/>
        <w:gridCol w:w="1056"/>
        <w:gridCol w:w="2693"/>
        <w:gridCol w:w="425"/>
        <w:gridCol w:w="1701"/>
        <w:gridCol w:w="1134"/>
      </w:tblGrid>
      <w:tr w:rsidR="00EB4388" w:rsidRPr="00A30784" w:rsidTr="00E01907">
        <w:trPr>
          <w:trHeight w:val="570"/>
        </w:trPr>
        <w:tc>
          <w:tcPr>
            <w:tcW w:w="4078" w:type="dxa"/>
            <w:gridSpan w:val="2"/>
            <w:tcBorders>
              <w:top w:val="nil"/>
              <w:left w:val="nil"/>
              <w:bottom w:val="single" w:sz="4" w:space="0" w:color="auto"/>
              <w:right w:val="nil"/>
            </w:tcBorders>
          </w:tcPr>
          <w:p w:rsidR="00EB4388" w:rsidRPr="00A30784" w:rsidRDefault="00EB4388" w:rsidP="00E01907">
            <w:pPr>
              <w:spacing w:line="360" w:lineRule="auto"/>
              <w:jc w:val="both"/>
              <w:rPr>
                <w:rFonts w:ascii="Times New Roman" w:hAnsi="Times New Roman" w:cs="Times New Roman"/>
                <w:b/>
                <w:sz w:val="24"/>
                <w:szCs w:val="24"/>
              </w:rPr>
            </w:pPr>
            <w:r w:rsidRPr="00A30784">
              <w:rPr>
                <w:rFonts w:ascii="Times New Roman" w:hAnsi="Times New Roman" w:cs="Times New Roman"/>
                <w:b/>
                <w:sz w:val="24"/>
                <w:szCs w:val="24"/>
              </w:rPr>
              <w:lastRenderedPageBreak/>
              <w:t>Parameter</w:t>
            </w:r>
          </w:p>
        </w:tc>
        <w:tc>
          <w:tcPr>
            <w:tcW w:w="2693" w:type="dxa"/>
            <w:tcBorders>
              <w:top w:val="nil"/>
              <w:left w:val="nil"/>
              <w:bottom w:val="single" w:sz="4" w:space="0" w:color="auto"/>
              <w:right w:val="nil"/>
            </w:tcBorders>
          </w:tcPr>
          <w:p w:rsidR="00EB4388" w:rsidRPr="00A30784" w:rsidRDefault="00EB4388" w:rsidP="00E01907">
            <w:pPr>
              <w:spacing w:line="360" w:lineRule="auto"/>
              <w:jc w:val="both"/>
              <w:rPr>
                <w:rFonts w:ascii="Times New Roman" w:hAnsi="Times New Roman" w:cs="Times New Roman"/>
                <w:b/>
                <w:sz w:val="24"/>
                <w:szCs w:val="24"/>
              </w:rPr>
            </w:pPr>
            <w:r w:rsidRPr="00A30784">
              <w:rPr>
                <w:rFonts w:ascii="Times New Roman" w:hAnsi="Times New Roman" w:cs="Times New Roman"/>
                <w:b/>
                <w:sz w:val="24"/>
                <w:szCs w:val="24"/>
              </w:rPr>
              <w:t>Range</w:t>
            </w:r>
          </w:p>
        </w:tc>
        <w:tc>
          <w:tcPr>
            <w:tcW w:w="3260" w:type="dxa"/>
            <w:gridSpan w:val="3"/>
            <w:tcBorders>
              <w:top w:val="nil"/>
              <w:left w:val="nil"/>
              <w:bottom w:val="single" w:sz="4" w:space="0" w:color="auto"/>
              <w:right w:val="nil"/>
            </w:tcBorders>
          </w:tcPr>
          <w:p w:rsidR="00EB4388" w:rsidRPr="00A30784" w:rsidRDefault="00EB4388" w:rsidP="00E01907">
            <w:pPr>
              <w:spacing w:line="360" w:lineRule="auto"/>
              <w:rPr>
                <w:rFonts w:ascii="Times New Roman" w:hAnsi="Times New Roman" w:cs="Times New Roman"/>
                <w:b/>
                <w:sz w:val="24"/>
                <w:szCs w:val="24"/>
              </w:rPr>
            </w:pPr>
            <w:r w:rsidRPr="00A30784">
              <w:rPr>
                <w:rFonts w:ascii="Times New Roman" w:hAnsi="Times New Roman" w:cs="Times New Roman"/>
                <w:b/>
                <w:sz w:val="24"/>
                <w:szCs w:val="24"/>
              </w:rPr>
              <w:t>Discrete or continuous?</w:t>
            </w:r>
          </w:p>
        </w:tc>
      </w:tr>
      <w:tr w:rsidR="00EB4388" w:rsidRPr="00A30784" w:rsidTr="00E01907">
        <w:trPr>
          <w:trHeight w:val="189"/>
        </w:trPr>
        <w:tc>
          <w:tcPr>
            <w:tcW w:w="3022" w:type="dxa"/>
            <w:tcBorders>
              <w:top w:val="single" w:sz="4" w:space="0" w:color="auto"/>
              <w:left w:val="nil"/>
              <w:bottom w:val="nil"/>
              <w:right w:val="nil"/>
            </w:tcBorders>
          </w:tcPr>
          <w:p w:rsidR="00EB4388" w:rsidRPr="00A30784" w:rsidRDefault="00EB4388" w:rsidP="00E01907">
            <w:pPr>
              <w:spacing w:before="240" w:line="360" w:lineRule="auto"/>
              <w:jc w:val="both"/>
              <w:rPr>
                <w:rFonts w:ascii="Times New Roman" w:hAnsi="Times New Roman" w:cs="Times New Roman"/>
                <w:b/>
                <w:sz w:val="24"/>
                <w:szCs w:val="24"/>
              </w:rPr>
            </w:pPr>
            <w:r w:rsidRPr="00A30784">
              <w:rPr>
                <w:rFonts w:ascii="Times New Roman" w:hAnsi="Times New Roman" w:cs="Times New Roman"/>
                <w:b/>
                <w:sz w:val="24"/>
                <w:szCs w:val="24"/>
              </w:rPr>
              <w:t>Landscape</w:t>
            </w:r>
          </w:p>
        </w:tc>
        <w:tc>
          <w:tcPr>
            <w:tcW w:w="4174" w:type="dxa"/>
            <w:gridSpan w:val="3"/>
            <w:tcBorders>
              <w:top w:val="single" w:sz="4" w:space="0" w:color="auto"/>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p>
        </w:tc>
        <w:tc>
          <w:tcPr>
            <w:tcW w:w="2835" w:type="dxa"/>
            <w:gridSpan w:val="2"/>
            <w:tcBorders>
              <w:top w:val="single" w:sz="4" w:space="0" w:color="auto"/>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p>
        </w:tc>
      </w:tr>
      <w:tr w:rsidR="00EB4388" w:rsidRPr="00A30784" w:rsidTr="00E01907">
        <w:trPr>
          <w:gridAfter w:val="1"/>
          <w:wAfter w:w="1134" w:type="dxa"/>
          <w:trHeight w:val="194"/>
        </w:trPr>
        <w:tc>
          <w:tcPr>
            <w:tcW w:w="4078"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i/>
                <w:sz w:val="24"/>
                <w:szCs w:val="24"/>
              </w:rPr>
            </w:pPr>
            <w:r w:rsidRPr="00A30784">
              <w:rPr>
                <w:rFonts w:ascii="Times New Roman" w:hAnsi="Times New Roman" w:cs="Times New Roman"/>
                <w:i/>
                <w:sz w:val="24"/>
                <w:szCs w:val="24"/>
              </w:rPr>
              <w:t>Habitat amount</w:t>
            </w:r>
          </w:p>
        </w:tc>
        <w:tc>
          <w:tcPr>
            <w:tcW w:w="2693" w:type="dxa"/>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5-50%</w:t>
            </w:r>
          </w:p>
        </w:tc>
        <w:tc>
          <w:tcPr>
            <w:tcW w:w="2126"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Continuous</w:t>
            </w:r>
          </w:p>
        </w:tc>
      </w:tr>
      <w:tr w:rsidR="00EB4388" w:rsidRPr="00A30784" w:rsidTr="00E01907">
        <w:trPr>
          <w:gridAfter w:val="1"/>
          <w:wAfter w:w="1134" w:type="dxa"/>
          <w:trHeight w:val="189"/>
        </w:trPr>
        <w:tc>
          <w:tcPr>
            <w:tcW w:w="4078"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i/>
                <w:sz w:val="24"/>
                <w:szCs w:val="24"/>
              </w:rPr>
            </w:pPr>
            <w:r w:rsidRPr="00A30784">
              <w:rPr>
                <w:rFonts w:ascii="Times New Roman" w:hAnsi="Times New Roman" w:cs="Times New Roman"/>
                <w:i/>
                <w:sz w:val="24"/>
                <w:szCs w:val="24"/>
              </w:rPr>
              <w:t>Habitat attraction</w:t>
            </w:r>
          </w:p>
        </w:tc>
        <w:tc>
          <w:tcPr>
            <w:tcW w:w="2693" w:type="dxa"/>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0-0.75</w:t>
            </w:r>
          </w:p>
        </w:tc>
        <w:tc>
          <w:tcPr>
            <w:tcW w:w="2126"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Continuous</w:t>
            </w:r>
          </w:p>
        </w:tc>
      </w:tr>
      <w:tr w:rsidR="00EB4388" w:rsidRPr="00A30784" w:rsidTr="00E01907">
        <w:trPr>
          <w:gridAfter w:val="1"/>
          <w:wAfter w:w="1134" w:type="dxa"/>
          <w:trHeight w:val="383"/>
        </w:trPr>
        <w:tc>
          <w:tcPr>
            <w:tcW w:w="4078"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b/>
                <w:sz w:val="24"/>
                <w:szCs w:val="24"/>
              </w:rPr>
            </w:pPr>
            <w:r w:rsidRPr="00A30784">
              <w:rPr>
                <w:rFonts w:ascii="Times New Roman" w:hAnsi="Times New Roman" w:cs="Times New Roman"/>
                <w:b/>
                <w:sz w:val="24"/>
                <w:szCs w:val="24"/>
              </w:rPr>
              <w:t>Individual traits</w:t>
            </w:r>
          </w:p>
        </w:tc>
        <w:tc>
          <w:tcPr>
            <w:tcW w:w="2693" w:type="dxa"/>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p>
        </w:tc>
        <w:tc>
          <w:tcPr>
            <w:tcW w:w="2126"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p>
        </w:tc>
      </w:tr>
      <w:tr w:rsidR="00EB4388" w:rsidRPr="00A30784" w:rsidTr="00E01907">
        <w:trPr>
          <w:gridAfter w:val="1"/>
          <w:wAfter w:w="1134" w:type="dxa"/>
          <w:trHeight w:val="189"/>
        </w:trPr>
        <w:tc>
          <w:tcPr>
            <w:tcW w:w="4078"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i/>
                <w:sz w:val="24"/>
                <w:szCs w:val="24"/>
              </w:rPr>
            </w:pPr>
            <w:r w:rsidRPr="00A30784">
              <w:rPr>
                <w:rFonts w:ascii="Times New Roman" w:hAnsi="Times New Roman" w:cs="Times New Roman"/>
                <w:i/>
                <w:sz w:val="24"/>
                <w:szCs w:val="24"/>
              </w:rPr>
              <w:t>Speed</w:t>
            </w:r>
          </w:p>
        </w:tc>
        <w:tc>
          <w:tcPr>
            <w:tcW w:w="2693" w:type="dxa"/>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 xml:space="preserve">1-5 </w:t>
            </w:r>
          </w:p>
        </w:tc>
        <w:tc>
          <w:tcPr>
            <w:tcW w:w="2126"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Discrete</w:t>
            </w:r>
          </w:p>
        </w:tc>
      </w:tr>
      <w:tr w:rsidR="00EB4388" w:rsidRPr="00A30784" w:rsidTr="00E01907">
        <w:trPr>
          <w:gridAfter w:val="1"/>
          <w:wAfter w:w="1134" w:type="dxa"/>
          <w:trHeight w:val="194"/>
        </w:trPr>
        <w:tc>
          <w:tcPr>
            <w:tcW w:w="4078"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i/>
                <w:sz w:val="24"/>
                <w:szCs w:val="24"/>
              </w:rPr>
            </w:pPr>
            <w:r w:rsidRPr="00A30784">
              <w:rPr>
                <w:rFonts w:ascii="Times New Roman" w:hAnsi="Times New Roman" w:cs="Times New Roman"/>
                <w:i/>
                <w:sz w:val="24"/>
                <w:szCs w:val="24"/>
              </w:rPr>
              <w:t xml:space="preserve">Mortality probability, per-step </w:t>
            </w:r>
          </w:p>
        </w:tc>
        <w:tc>
          <w:tcPr>
            <w:tcW w:w="2693" w:type="dxa"/>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0.0001-0.01</w:t>
            </w:r>
          </w:p>
        </w:tc>
        <w:tc>
          <w:tcPr>
            <w:tcW w:w="2126"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Continuous</w:t>
            </w:r>
          </w:p>
        </w:tc>
      </w:tr>
      <w:tr w:rsidR="00EB4388" w:rsidRPr="00A30784" w:rsidTr="00E01907">
        <w:trPr>
          <w:gridAfter w:val="1"/>
          <w:wAfter w:w="1134" w:type="dxa"/>
          <w:trHeight w:val="189"/>
        </w:trPr>
        <w:tc>
          <w:tcPr>
            <w:tcW w:w="4078"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i/>
                <w:sz w:val="24"/>
                <w:szCs w:val="24"/>
              </w:rPr>
            </w:pPr>
            <w:r w:rsidRPr="00A30784">
              <w:rPr>
                <w:rFonts w:ascii="Times New Roman" w:hAnsi="Times New Roman" w:cs="Times New Roman"/>
                <w:i/>
                <w:sz w:val="24"/>
                <w:szCs w:val="24"/>
              </w:rPr>
              <w:t>Perceptual range</w:t>
            </w:r>
          </w:p>
        </w:tc>
        <w:tc>
          <w:tcPr>
            <w:tcW w:w="2693" w:type="dxa"/>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1-5</w:t>
            </w:r>
          </w:p>
        </w:tc>
        <w:tc>
          <w:tcPr>
            <w:tcW w:w="2126"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Discrete</w:t>
            </w:r>
          </w:p>
        </w:tc>
      </w:tr>
      <w:tr w:rsidR="00EB4388" w:rsidRPr="00A30784" w:rsidTr="00E01907">
        <w:trPr>
          <w:gridAfter w:val="1"/>
          <w:wAfter w:w="1134" w:type="dxa"/>
          <w:trHeight w:val="194"/>
        </w:trPr>
        <w:tc>
          <w:tcPr>
            <w:tcW w:w="4078"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i/>
                <w:sz w:val="24"/>
                <w:szCs w:val="24"/>
              </w:rPr>
            </w:pPr>
            <w:r w:rsidRPr="00A30784">
              <w:rPr>
                <w:rFonts w:ascii="Times New Roman" w:hAnsi="Times New Roman" w:cs="Times New Roman"/>
                <w:i/>
                <w:sz w:val="24"/>
                <w:szCs w:val="24"/>
              </w:rPr>
              <w:t>Minimum habitat-patch size</w:t>
            </w:r>
          </w:p>
        </w:tc>
        <w:tc>
          <w:tcPr>
            <w:tcW w:w="2693" w:type="dxa"/>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1-50</w:t>
            </w:r>
          </w:p>
        </w:tc>
        <w:tc>
          <w:tcPr>
            <w:tcW w:w="2126"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Continuous</w:t>
            </w:r>
          </w:p>
        </w:tc>
      </w:tr>
      <w:tr w:rsidR="00EB4388" w:rsidRPr="00A30784" w:rsidTr="00E01907">
        <w:trPr>
          <w:gridAfter w:val="1"/>
          <w:wAfter w:w="1134" w:type="dxa"/>
          <w:trHeight w:val="189"/>
        </w:trPr>
        <w:tc>
          <w:tcPr>
            <w:tcW w:w="4078"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i/>
                <w:sz w:val="24"/>
                <w:szCs w:val="24"/>
              </w:rPr>
            </w:pPr>
            <w:r w:rsidRPr="00A30784">
              <w:rPr>
                <w:rFonts w:ascii="Times New Roman" w:hAnsi="Times New Roman" w:cs="Times New Roman"/>
                <w:i/>
                <w:sz w:val="24"/>
                <w:szCs w:val="24"/>
              </w:rPr>
              <w:t>Foraging probability (p-start)</w:t>
            </w:r>
          </w:p>
        </w:tc>
        <w:tc>
          <w:tcPr>
            <w:tcW w:w="2693" w:type="dxa"/>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0-0.5</w:t>
            </w:r>
          </w:p>
        </w:tc>
        <w:tc>
          <w:tcPr>
            <w:tcW w:w="2126" w:type="dxa"/>
            <w:gridSpan w:val="2"/>
            <w:tcBorders>
              <w:top w:val="nil"/>
              <w:left w:val="nil"/>
              <w:bottom w:val="nil"/>
              <w:right w:val="nil"/>
            </w:tcBorders>
          </w:tcPr>
          <w:p w:rsidR="00EB4388" w:rsidRPr="00A30784" w:rsidRDefault="00EB4388" w:rsidP="00E01907">
            <w:pPr>
              <w:spacing w:before="240" w:line="360" w:lineRule="auto"/>
              <w:jc w:val="both"/>
              <w:rPr>
                <w:rFonts w:ascii="Times New Roman" w:hAnsi="Times New Roman" w:cs="Times New Roman"/>
                <w:sz w:val="24"/>
                <w:szCs w:val="24"/>
              </w:rPr>
            </w:pPr>
            <w:r w:rsidRPr="00A30784">
              <w:rPr>
                <w:rFonts w:ascii="Times New Roman" w:hAnsi="Times New Roman" w:cs="Times New Roman"/>
                <w:sz w:val="24"/>
                <w:szCs w:val="24"/>
              </w:rPr>
              <w:t>Continuous</w:t>
            </w:r>
          </w:p>
        </w:tc>
      </w:tr>
    </w:tbl>
    <w:p w:rsidR="00EB4388" w:rsidRPr="00A30784" w:rsidRDefault="00EB4388" w:rsidP="00EB4388">
      <w:pPr>
        <w:spacing w:line="360" w:lineRule="auto"/>
        <w:outlineLvl w:val="0"/>
        <w:rPr>
          <w:rFonts w:ascii="Times New Roman" w:hAnsi="Times New Roman" w:cs="Times New Roman"/>
          <w:bCs/>
          <w:sz w:val="24"/>
          <w:szCs w:val="24"/>
        </w:rPr>
      </w:pPr>
      <w:r w:rsidRPr="00A30784">
        <w:rPr>
          <w:rFonts w:ascii="Times New Roman" w:hAnsi="Times New Roman" w:cs="Times New Roman"/>
          <w:bCs/>
          <w:sz w:val="24"/>
          <w:szCs w:val="24"/>
        </w:rPr>
        <w:t>Table 1 Ranges of parameter values used for Latin hypercube sampling of the complete model-parameter space</w:t>
      </w:r>
    </w:p>
    <w:p w:rsidR="00EB4388" w:rsidRPr="00A30784" w:rsidRDefault="00EB4388" w:rsidP="00EB4388">
      <w:pPr>
        <w:outlineLvl w:val="0"/>
        <w:rPr>
          <w:rFonts w:ascii="Times New Roman" w:hAnsi="Times New Roman" w:cs="Times New Roman"/>
          <w:b/>
          <w:sz w:val="24"/>
          <w:szCs w:val="24"/>
        </w:rPr>
      </w:pPr>
    </w:p>
    <w:p w:rsidR="00EB4388" w:rsidRPr="00A30784" w:rsidRDefault="00EB4388" w:rsidP="00EB4388">
      <w:pPr>
        <w:outlineLvl w:val="0"/>
        <w:rPr>
          <w:rFonts w:ascii="Times New Roman" w:hAnsi="Times New Roman" w:cs="Times New Roman"/>
          <w:b/>
          <w:sz w:val="24"/>
          <w:szCs w:val="24"/>
        </w:rPr>
      </w:pPr>
      <w:r w:rsidRPr="00A30784">
        <w:rPr>
          <w:rFonts w:ascii="Times New Roman" w:hAnsi="Times New Roman" w:cs="Times New Roman"/>
          <w:b/>
          <w:sz w:val="24"/>
          <w:szCs w:val="24"/>
        </w:rPr>
        <w:t>Broken-stick random number generation</w:t>
      </w:r>
    </w:p>
    <w:p w:rsidR="00EB4388" w:rsidRPr="00A30784" w:rsidRDefault="00EB4388" w:rsidP="00EB4388">
      <w:pPr>
        <w:spacing w:line="360" w:lineRule="auto"/>
        <w:jc w:val="both"/>
        <w:rPr>
          <w:rFonts w:ascii="Times New Roman" w:hAnsi="Times New Roman" w:cs="Times New Roman"/>
          <w:sz w:val="24"/>
          <w:szCs w:val="24"/>
        </w:rPr>
      </w:pPr>
      <w:r w:rsidRPr="00A30784">
        <w:rPr>
          <w:rFonts w:ascii="Times New Roman" w:hAnsi="Times New Roman" w:cs="Times New Roman"/>
          <w:sz w:val="24"/>
          <w:szCs w:val="24"/>
        </w:rPr>
        <w:t xml:space="preserve">Broken-stick statistical distributions typically are used to describe ecological community structure (e.g., species abundance relationships), but in their simplest form are one-dimensional vectors partitioned into </w:t>
      </w:r>
      <w:r w:rsidRPr="00A30784">
        <w:rPr>
          <w:rFonts w:ascii="Times New Roman" w:hAnsi="Times New Roman" w:cs="Times New Roman"/>
          <w:i/>
          <w:sz w:val="24"/>
          <w:szCs w:val="24"/>
        </w:rPr>
        <w:t xml:space="preserve">n </w:t>
      </w:r>
      <w:r w:rsidRPr="00A30784">
        <w:rPr>
          <w:rFonts w:ascii="Times New Roman" w:hAnsi="Times New Roman" w:cs="Times New Roman"/>
          <w:sz w:val="24"/>
          <w:szCs w:val="24"/>
        </w:rPr>
        <w:t xml:space="preserve">segments by </w:t>
      </w:r>
      <w:r w:rsidRPr="00A30784">
        <w:rPr>
          <w:rFonts w:ascii="Times New Roman" w:hAnsi="Times New Roman" w:cs="Times New Roman"/>
          <w:i/>
          <w:sz w:val="24"/>
          <w:szCs w:val="24"/>
        </w:rPr>
        <w:t>n</w:t>
      </w:r>
      <w:r w:rsidRPr="00A30784">
        <w:rPr>
          <w:rFonts w:ascii="Times New Roman" w:hAnsi="Times New Roman" w:cs="Times New Roman"/>
          <w:sz w:val="24"/>
          <w:szCs w:val="24"/>
        </w:rPr>
        <w:t xml:space="preserve"> – 1</w:t>
      </w:r>
      <w:r w:rsidRPr="00A30784">
        <w:rPr>
          <w:rFonts w:ascii="Times New Roman" w:hAnsi="Times New Roman" w:cs="Times New Roman"/>
          <w:i/>
          <w:sz w:val="24"/>
          <w:szCs w:val="24"/>
        </w:rPr>
        <w:t xml:space="preserve"> </w:t>
      </w:r>
      <w:r w:rsidRPr="00A30784">
        <w:rPr>
          <w:rFonts w:ascii="Times New Roman" w:hAnsi="Times New Roman" w:cs="Times New Roman"/>
          <w:sz w:val="24"/>
          <w:szCs w:val="24"/>
        </w:rPr>
        <w:t xml:space="preserve">random divisions [3]. In the trade-off analysis of our study, ‘sticks’ were 100 units long (representing the total level of allocation to traits available) and the number of units in each segment represented the allocation to each biological trait. For every point allocated to a trait, that trait increased or decreased from its baseline parameter value by a specific </w:t>
      </w:r>
      <w:r w:rsidRPr="00A30784">
        <w:rPr>
          <w:rFonts w:ascii="Times New Roman" w:hAnsi="Times New Roman" w:cs="Times New Roman"/>
          <w:sz w:val="24"/>
          <w:szCs w:val="24"/>
        </w:rPr>
        <w:lastRenderedPageBreak/>
        <w:t xml:space="preserve">factor (1% of the parameter value range; Table 2). Segments were randomly generated and each trait then randomly assigned a segment of points, which determined the trait value for that simulation. </w:t>
      </w:r>
    </w:p>
    <w:p w:rsidR="00EB4388" w:rsidRPr="00A30784" w:rsidRDefault="00EB4388" w:rsidP="00EB4388">
      <w:pPr>
        <w:pStyle w:val="Caption"/>
        <w:keepNext/>
        <w:spacing w:line="276" w:lineRule="auto"/>
        <w:jc w:val="both"/>
        <w:rPr>
          <w:rFonts w:ascii="Times New Roman" w:hAnsi="Times New Roman" w:cs="Times New Roman"/>
          <w:b w:val="0"/>
          <w:color w:val="auto"/>
          <w:sz w:val="24"/>
          <w:szCs w:val="24"/>
        </w:rPr>
      </w:pPr>
      <w:r w:rsidRPr="00A30784">
        <w:rPr>
          <w:rFonts w:ascii="Times New Roman" w:hAnsi="Times New Roman" w:cs="Times New Roman"/>
          <w:b w:val="0"/>
          <w:color w:val="auto"/>
          <w:sz w:val="24"/>
          <w:szCs w:val="24"/>
        </w:rPr>
        <w:t>Table 2 Parameter-value ranges and specialisation in biological traits for trade-off analysis of the dispersal model. Values of each parameter started at base quantities and increased or decreased by an amount that was equal to the number of points allocated to that trait multiplied by a given coefficient (this scales the increase/decreases to the total available units of 100).</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26"/>
        <w:gridCol w:w="1276"/>
        <w:gridCol w:w="1954"/>
        <w:gridCol w:w="1448"/>
      </w:tblGrid>
      <w:tr w:rsidR="00EB4388" w:rsidRPr="00A30784" w:rsidTr="00E01907">
        <w:trPr>
          <w:trHeight w:val="560"/>
        </w:trPr>
        <w:tc>
          <w:tcPr>
            <w:tcW w:w="2660" w:type="dxa"/>
            <w:tcBorders>
              <w:bottom w:val="single" w:sz="4" w:space="0" w:color="auto"/>
            </w:tcBorders>
          </w:tcPr>
          <w:p w:rsidR="00EB4388" w:rsidRPr="00A30784" w:rsidRDefault="00EB4388" w:rsidP="00E01907">
            <w:pPr>
              <w:rPr>
                <w:rFonts w:ascii="Times New Roman" w:hAnsi="Times New Roman" w:cs="Times New Roman"/>
                <w:b/>
                <w:sz w:val="24"/>
                <w:szCs w:val="24"/>
              </w:rPr>
            </w:pPr>
            <w:r w:rsidRPr="00A30784">
              <w:rPr>
                <w:rFonts w:ascii="Times New Roman" w:hAnsi="Times New Roman" w:cs="Times New Roman"/>
                <w:b/>
                <w:sz w:val="24"/>
                <w:szCs w:val="24"/>
              </w:rPr>
              <w:t>Trait</w:t>
            </w:r>
          </w:p>
        </w:tc>
        <w:tc>
          <w:tcPr>
            <w:tcW w:w="2126" w:type="dxa"/>
            <w:tcBorders>
              <w:bottom w:val="single" w:sz="4" w:space="0" w:color="auto"/>
            </w:tcBorders>
          </w:tcPr>
          <w:p w:rsidR="00EB4388" w:rsidRPr="00A30784" w:rsidRDefault="00EB4388" w:rsidP="00E01907">
            <w:pPr>
              <w:rPr>
                <w:rFonts w:ascii="Times New Roman" w:hAnsi="Times New Roman" w:cs="Times New Roman"/>
                <w:b/>
                <w:sz w:val="24"/>
                <w:szCs w:val="24"/>
              </w:rPr>
            </w:pPr>
            <w:r w:rsidRPr="00A30784">
              <w:rPr>
                <w:rFonts w:ascii="Times New Roman" w:hAnsi="Times New Roman" w:cs="Times New Roman"/>
                <w:b/>
                <w:sz w:val="24"/>
                <w:szCs w:val="24"/>
              </w:rPr>
              <w:t>Range</w:t>
            </w:r>
          </w:p>
        </w:tc>
        <w:tc>
          <w:tcPr>
            <w:tcW w:w="1276" w:type="dxa"/>
            <w:tcBorders>
              <w:bottom w:val="single" w:sz="4" w:space="0" w:color="auto"/>
            </w:tcBorders>
          </w:tcPr>
          <w:p w:rsidR="00EB4388" w:rsidRPr="00A30784" w:rsidRDefault="00EB4388" w:rsidP="00E01907">
            <w:pPr>
              <w:rPr>
                <w:rFonts w:ascii="Times New Roman" w:hAnsi="Times New Roman" w:cs="Times New Roman"/>
                <w:b/>
                <w:sz w:val="24"/>
                <w:szCs w:val="24"/>
              </w:rPr>
            </w:pPr>
            <w:r w:rsidRPr="00A30784">
              <w:rPr>
                <w:rFonts w:ascii="Times New Roman" w:hAnsi="Times New Roman" w:cs="Times New Roman"/>
                <w:b/>
                <w:sz w:val="24"/>
                <w:szCs w:val="24"/>
              </w:rPr>
              <w:t>Base</w:t>
            </w:r>
          </w:p>
        </w:tc>
        <w:tc>
          <w:tcPr>
            <w:tcW w:w="1954" w:type="dxa"/>
            <w:tcBorders>
              <w:bottom w:val="single" w:sz="4" w:space="0" w:color="auto"/>
            </w:tcBorders>
          </w:tcPr>
          <w:p w:rsidR="00EB4388" w:rsidRPr="00A30784" w:rsidRDefault="00EB4388" w:rsidP="00E01907">
            <w:pPr>
              <w:rPr>
                <w:rFonts w:ascii="Times New Roman" w:hAnsi="Times New Roman" w:cs="Times New Roman"/>
                <w:b/>
                <w:sz w:val="24"/>
                <w:szCs w:val="24"/>
              </w:rPr>
            </w:pPr>
            <w:r w:rsidRPr="00A30784">
              <w:rPr>
                <w:rFonts w:ascii="Times New Roman" w:hAnsi="Times New Roman" w:cs="Times New Roman"/>
                <w:b/>
                <w:sz w:val="24"/>
                <w:szCs w:val="24"/>
              </w:rPr>
              <w:t>Multiplier</w:t>
            </w:r>
          </w:p>
        </w:tc>
        <w:tc>
          <w:tcPr>
            <w:tcW w:w="1448" w:type="dxa"/>
            <w:tcBorders>
              <w:bottom w:val="single" w:sz="4" w:space="0" w:color="auto"/>
            </w:tcBorders>
          </w:tcPr>
          <w:p w:rsidR="00EB4388" w:rsidRPr="00A30784" w:rsidRDefault="00EB4388" w:rsidP="00E01907">
            <w:pPr>
              <w:jc w:val="center"/>
              <w:rPr>
                <w:rFonts w:ascii="Times New Roman" w:hAnsi="Times New Roman" w:cs="Times New Roman"/>
                <w:b/>
                <w:sz w:val="24"/>
                <w:szCs w:val="24"/>
              </w:rPr>
            </w:pPr>
            <w:r w:rsidRPr="00A30784">
              <w:rPr>
                <w:rFonts w:ascii="Times New Roman" w:hAnsi="Times New Roman" w:cs="Times New Roman"/>
                <w:b/>
                <w:sz w:val="24"/>
                <w:szCs w:val="24"/>
              </w:rPr>
              <w:t>Increase or decrease?</w:t>
            </w:r>
          </w:p>
        </w:tc>
      </w:tr>
      <w:tr w:rsidR="00EB4388" w:rsidRPr="00A30784" w:rsidTr="00E01907">
        <w:trPr>
          <w:trHeight w:val="266"/>
        </w:trPr>
        <w:tc>
          <w:tcPr>
            <w:tcW w:w="2660" w:type="dxa"/>
            <w:tcBorders>
              <w:top w:val="single" w:sz="4" w:space="0" w:color="auto"/>
            </w:tcBorders>
          </w:tcPr>
          <w:p w:rsidR="00EB4388" w:rsidRPr="00A30784" w:rsidRDefault="00EB4388" w:rsidP="00E01907">
            <w:pPr>
              <w:jc w:val="both"/>
              <w:rPr>
                <w:rFonts w:ascii="Times New Roman" w:hAnsi="Times New Roman" w:cs="Times New Roman"/>
                <w:i/>
                <w:sz w:val="24"/>
                <w:szCs w:val="24"/>
              </w:rPr>
            </w:pPr>
          </w:p>
          <w:p w:rsidR="00EB4388" w:rsidRPr="00A30784" w:rsidRDefault="00EB4388" w:rsidP="00E01907">
            <w:pPr>
              <w:jc w:val="both"/>
              <w:rPr>
                <w:rFonts w:ascii="Times New Roman" w:hAnsi="Times New Roman" w:cs="Times New Roman"/>
                <w:i/>
                <w:sz w:val="24"/>
                <w:szCs w:val="24"/>
              </w:rPr>
            </w:pPr>
            <w:r w:rsidRPr="00A30784">
              <w:rPr>
                <w:rFonts w:ascii="Times New Roman" w:hAnsi="Times New Roman" w:cs="Times New Roman"/>
                <w:i/>
                <w:sz w:val="24"/>
                <w:szCs w:val="24"/>
              </w:rPr>
              <w:t>Speed</w:t>
            </w:r>
          </w:p>
          <w:p w:rsidR="00EB4388" w:rsidRPr="00A30784" w:rsidRDefault="00EB4388" w:rsidP="00E01907">
            <w:pPr>
              <w:jc w:val="both"/>
              <w:rPr>
                <w:rFonts w:ascii="Times New Roman" w:hAnsi="Times New Roman" w:cs="Times New Roman"/>
                <w:i/>
                <w:sz w:val="24"/>
                <w:szCs w:val="24"/>
              </w:rPr>
            </w:pPr>
          </w:p>
        </w:tc>
        <w:tc>
          <w:tcPr>
            <w:tcW w:w="2126" w:type="dxa"/>
            <w:tcBorders>
              <w:top w:val="single" w:sz="4" w:space="0" w:color="auto"/>
            </w:tcBorders>
          </w:tcPr>
          <w:p w:rsidR="00EB4388" w:rsidRPr="00A30784" w:rsidRDefault="00EB4388" w:rsidP="00E01907">
            <w:pPr>
              <w:jc w:val="both"/>
              <w:rPr>
                <w:rFonts w:ascii="Times New Roman" w:hAnsi="Times New Roman" w:cs="Times New Roman"/>
                <w:sz w:val="24"/>
                <w:szCs w:val="24"/>
              </w:rPr>
            </w:pPr>
          </w:p>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1-5</w:t>
            </w:r>
          </w:p>
        </w:tc>
        <w:tc>
          <w:tcPr>
            <w:tcW w:w="1276" w:type="dxa"/>
            <w:tcBorders>
              <w:top w:val="single" w:sz="4" w:space="0" w:color="auto"/>
            </w:tcBorders>
          </w:tcPr>
          <w:p w:rsidR="00EB4388" w:rsidRPr="00A30784" w:rsidRDefault="00EB4388" w:rsidP="00E01907">
            <w:pPr>
              <w:jc w:val="both"/>
              <w:rPr>
                <w:rFonts w:ascii="Times New Roman" w:hAnsi="Times New Roman" w:cs="Times New Roman"/>
                <w:sz w:val="24"/>
                <w:szCs w:val="24"/>
              </w:rPr>
            </w:pPr>
          </w:p>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1</w:t>
            </w:r>
          </w:p>
        </w:tc>
        <w:tc>
          <w:tcPr>
            <w:tcW w:w="1954" w:type="dxa"/>
            <w:tcBorders>
              <w:top w:val="single" w:sz="4" w:space="0" w:color="auto"/>
            </w:tcBorders>
          </w:tcPr>
          <w:p w:rsidR="00EB4388" w:rsidRPr="00A30784" w:rsidRDefault="00EB4388" w:rsidP="00E01907">
            <w:pPr>
              <w:jc w:val="both"/>
              <w:rPr>
                <w:rFonts w:ascii="Times New Roman" w:hAnsi="Times New Roman" w:cs="Times New Roman"/>
                <w:sz w:val="24"/>
                <w:szCs w:val="24"/>
              </w:rPr>
            </w:pPr>
          </w:p>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0.04</w:t>
            </w:r>
          </w:p>
        </w:tc>
        <w:tc>
          <w:tcPr>
            <w:tcW w:w="1448" w:type="dxa"/>
            <w:tcBorders>
              <w:top w:val="single" w:sz="4" w:space="0" w:color="auto"/>
            </w:tcBorders>
          </w:tcPr>
          <w:p w:rsidR="00EB4388" w:rsidRPr="00A30784" w:rsidRDefault="00EB4388" w:rsidP="00E01907">
            <w:pPr>
              <w:jc w:val="both"/>
              <w:rPr>
                <w:rFonts w:ascii="Times New Roman" w:hAnsi="Times New Roman" w:cs="Times New Roman"/>
                <w:sz w:val="24"/>
                <w:szCs w:val="24"/>
              </w:rPr>
            </w:pPr>
          </w:p>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w:t>
            </w:r>
          </w:p>
        </w:tc>
      </w:tr>
      <w:tr w:rsidR="00EB4388" w:rsidRPr="00A30784" w:rsidTr="00E01907">
        <w:trPr>
          <w:trHeight w:val="280"/>
        </w:trPr>
        <w:tc>
          <w:tcPr>
            <w:tcW w:w="2660" w:type="dxa"/>
          </w:tcPr>
          <w:p w:rsidR="00EB4388" w:rsidRPr="00A30784" w:rsidRDefault="00EB4388" w:rsidP="00E01907">
            <w:pPr>
              <w:jc w:val="both"/>
              <w:rPr>
                <w:rFonts w:ascii="Times New Roman" w:hAnsi="Times New Roman" w:cs="Times New Roman"/>
                <w:i/>
                <w:sz w:val="24"/>
                <w:szCs w:val="24"/>
              </w:rPr>
            </w:pPr>
            <w:r w:rsidRPr="00A30784">
              <w:rPr>
                <w:rFonts w:ascii="Times New Roman" w:hAnsi="Times New Roman" w:cs="Times New Roman"/>
                <w:i/>
                <w:sz w:val="24"/>
                <w:szCs w:val="24"/>
              </w:rPr>
              <w:t>Perceptual range</w:t>
            </w:r>
          </w:p>
          <w:p w:rsidR="00EB4388" w:rsidRPr="00A30784" w:rsidRDefault="00EB4388" w:rsidP="00E01907">
            <w:pPr>
              <w:jc w:val="both"/>
              <w:rPr>
                <w:rFonts w:ascii="Times New Roman" w:hAnsi="Times New Roman" w:cs="Times New Roman"/>
                <w:i/>
                <w:sz w:val="24"/>
                <w:szCs w:val="24"/>
              </w:rPr>
            </w:pPr>
          </w:p>
        </w:tc>
        <w:tc>
          <w:tcPr>
            <w:tcW w:w="2126"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1-5</w:t>
            </w:r>
          </w:p>
        </w:tc>
        <w:tc>
          <w:tcPr>
            <w:tcW w:w="1276"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1</w:t>
            </w:r>
          </w:p>
        </w:tc>
        <w:tc>
          <w:tcPr>
            <w:tcW w:w="1954"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0.04</w:t>
            </w:r>
          </w:p>
        </w:tc>
        <w:tc>
          <w:tcPr>
            <w:tcW w:w="1448"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w:t>
            </w:r>
          </w:p>
        </w:tc>
      </w:tr>
      <w:tr w:rsidR="00EB4388" w:rsidRPr="00A30784" w:rsidTr="00E01907">
        <w:trPr>
          <w:trHeight w:val="266"/>
        </w:trPr>
        <w:tc>
          <w:tcPr>
            <w:tcW w:w="2660" w:type="dxa"/>
          </w:tcPr>
          <w:p w:rsidR="00EB4388" w:rsidRPr="00A30784" w:rsidRDefault="00EB4388" w:rsidP="00E01907">
            <w:pPr>
              <w:jc w:val="both"/>
              <w:rPr>
                <w:rFonts w:ascii="Times New Roman" w:hAnsi="Times New Roman" w:cs="Times New Roman"/>
                <w:i/>
                <w:sz w:val="24"/>
                <w:szCs w:val="24"/>
              </w:rPr>
            </w:pPr>
            <w:r w:rsidRPr="00A30784">
              <w:rPr>
                <w:rFonts w:ascii="Times New Roman" w:hAnsi="Times New Roman" w:cs="Times New Roman"/>
                <w:i/>
                <w:sz w:val="24"/>
                <w:szCs w:val="24"/>
              </w:rPr>
              <w:t>Mortality probability</w:t>
            </w:r>
          </w:p>
          <w:p w:rsidR="00EB4388" w:rsidRPr="00A30784" w:rsidRDefault="00EB4388" w:rsidP="00E01907">
            <w:pPr>
              <w:jc w:val="both"/>
              <w:rPr>
                <w:rFonts w:ascii="Times New Roman" w:hAnsi="Times New Roman" w:cs="Times New Roman"/>
                <w:i/>
                <w:sz w:val="24"/>
                <w:szCs w:val="24"/>
              </w:rPr>
            </w:pPr>
          </w:p>
        </w:tc>
        <w:tc>
          <w:tcPr>
            <w:tcW w:w="2126"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0.0001-0.01</w:t>
            </w:r>
          </w:p>
        </w:tc>
        <w:tc>
          <w:tcPr>
            <w:tcW w:w="1276"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0.01</w:t>
            </w:r>
          </w:p>
        </w:tc>
        <w:tc>
          <w:tcPr>
            <w:tcW w:w="1954"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0.000099</w:t>
            </w:r>
          </w:p>
        </w:tc>
        <w:tc>
          <w:tcPr>
            <w:tcW w:w="1448"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w:t>
            </w:r>
          </w:p>
        </w:tc>
      </w:tr>
      <w:tr w:rsidR="00EB4388" w:rsidRPr="00A30784" w:rsidTr="00E01907">
        <w:trPr>
          <w:trHeight w:val="560"/>
        </w:trPr>
        <w:tc>
          <w:tcPr>
            <w:tcW w:w="2660" w:type="dxa"/>
          </w:tcPr>
          <w:p w:rsidR="00EB4388" w:rsidRPr="00A30784" w:rsidRDefault="00EB4388" w:rsidP="00E01907">
            <w:pPr>
              <w:jc w:val="both"/>
              <w:rPr>
                <w:rFonts w:ascii="Times New Roman" w:hAnsi="Times New Roman" w:cs="Times New Roman"/>
                <w:i/>
                <w:sz w:val="24"/>
                <w:szCs w:val="24"/>
              </w:rPr>
            </w:pPr>
            <w:r w:rsidRPr="00A30784">
              <w:rPr>
                <w:rFonts w:ascii="Times New Roman" w:hAnsi="Times New Roman" w:cs="Times New Roman"/>
                <w:i/>
                <w:sz w:val="24"/>
                <w:szCs w:val="24"/>
              </w:rPr>
              <w:t>Foraging tendency</w:t>
            </w:r>
          </w:p>
          <w:p w:rsidR="00EB4388" w:rsidRPr="00A30784" w:rsidRDefault="00EB4388" w:rsidP="00E01907">
            <w:pPr>
              <w:jc w:val="both"/>
              <w:rPr>
                <w:rFonts w:ascii="Times New Roman" w:hAnsi="Times New Roman" w:cs="Times New Roman"/>
                <w:i/>
                <w:sz w:val="24"/>
                <w:szCs w:val="24"/>
              </w:rPr>
            </w:pPr>
          </w:p>
        </w:tc>
        <w:tc>
          <w:tcPr>
            <w:tcW w:w="2126"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0-0.5</w:t>
            </w:r>
          </w:p>
        </w:tc>
        <w:tc>
          <w:tcPr>
            <w:tcW w:w="1276"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w:t>
            </w:r>
          </w:p>
        </w:tc>
        <w:tc>
          <w:tcPr>
            <w:tcW w:w="1954"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0.005</w:t>
            </w:r>
          </w:p>
        </w:tc>
        <w:tc>
          <w:tcPr>
            <w:tcW w:w="1448"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w:t>
            </w:r>
          </w:p>
        </w:tc>
      </w:tr>
      <w:tr w:rsidR="00EB4388" w:rsidRPr="00A30784" w:rsidTr="00E01907">
        <w:trPr>
          <w:trHeight w:val="560"/>
        </w:trPr>
        <w:tc>
          <w:tcPr>
            <w:tcW w:w="2660" w:type="dxa"/>
          </w:tcPr>
          <w:p w:rsidR="00EB4388" w:rsidRPr="00A30784" w:rsidRDefault="00EB4388" w:rsidP="00E01907">
            <w:pPr>
              <w:rPr>
                <w:rFonts w:ascii="Times New Roman" w:hAnsi="Times New Roman" w:cs="Times New Roman"/>
                <w:i/>
                <w:sz w:val="24"/>
                <w:szCs w:val="24"/>
              </w:rPr>
            </w:pPr>
            <w:r w:rsidRPr="00A30784">
              <w:rPr>
                <w:rFonts w:ascii="Times New Roman" w:hAnsi="Times New Roman" w:cs="Times New Roman"/>
                <w:i/>
                <w:sz w:val="24"/>
                <w:szCs w:val="24"/>
              </w:rPr>
              <w:t>Minimum habitat-patch size</w:t>
            </w:r>
          </w:p>
        </w:tc>
        <w:tc>
          <w:tcPr>
            <w:tcW w:w="2126"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1-50</w:t>
            </w:r>
          </w:p>
        </w:tc>
        <w:tc>
          <w:tcPr>
            <w:tcW w:w="1276"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50</w:t>
            </w:r>
          </w:p>
        </w:tc>
        <w:tc>
          <w:tcPr>
            <w:tcW w:w="1954"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0.49</w:t>
            </w:r>
          </w:p>
        </w:tc>
        <w:tc>
          <w:tcPr>
            <w:tcW w:w="1448" w:type="dxa"/>
          </w:tcPr>
          <w:p w:rsidR="00EB4388" w:rsidRPr="00A30784" w:rsidRDefault="00EB4388" w:rsidP="00E01907">
            <w:pPr>
              <w:jc w:val="both"/>
              <w:rPr>
                <w:rFonts w:ascii="Times New Roman" w:hAnsi="Times New Roman" w:cs="Times New Roman"/>
                <w:sz w:val="24"/>
                <w:szCs w:val="24"/>
              </w:rPr>
            </w:pPr>
            <w:r w:rsidRPr="00A30784">
              <w:rPr>
                <w:rFonts w:ascii="Times New Roman" w:hAnsi="Times New Roman" w:cs="Times New Roman"/>
                <w:sz w:val="24"/>
                <w:szCs w:val="24"/>
              </w:rPr>
              <w:t>-</w:t>
            </w:r>
          </w:p>
        </w:tc>
      </w:tr>
    </w:tbl>
    <w:p w:rsidR="00EB4388" w:rsidRPr="00A30784" w:rsidRDefault="00EB4388" w:rsidP="00EB4388">
      <w:pPr>
        <w:jc w:val="both"/>
        <w:outlineLvl w:val="0"/>
        <w:rPr>
          <w:rFonts w:ascii="Times New Roman" w:hAnsi="Times New Roman" w:cs="Times New Roman"/>
          <w:b/>
          <w:sz w:val="24"/>
          <w:szCs w:val="24"/>
        </w:rPr>
      </w:pPr>
    </w:p>
    <w:p w:rsidR="00EB4388" w:rsidRDefault="00EB4388" w:rsidP="00EB4388">
      <w:pPr>
        <w:jc w:val="both"/>
        <w:rPr>
          <w:rFonts w:ascii="Times New Roman" w:hAnsi="Times New Roman" w:cs="Times New Roman"/>
          <w:b/>
          <w:sz w:val="24"/>
          <w:szCs w:val="24"/>
        </w:rPr>
      </w:pPr>
      <w:r w:rsidRPr="00A30784">
        <w:rPr>
          <w:rFonts w:ascii="Times New Roman" w:hAnsi="Times New Roman" w:cs="Times New Roman"/>
          <w:b/>
          <w:sz w:val="24"/>
          <w:szCs w:val="24"/>
        </w:rPr>
        <w:t>References</w:t>
      </w:r>
    </w:p>
    <w:p w:rsidR="00EB4388" w:rsidRPr="00A30784" w:rsidRDefault="00EB4388" w:rsidP="00EB4388">
      <w:pPr>
        <w:jc w:val="both"/>
        <w:rPr>
          <w:rFonts w:ascii="Times New Roman" w:hAnsi="Times New Roman" w:cs="Times New Roman"/>
          <w:sz w:val="24"/>
          <w:szCs w:val="24"/>
        </w:rPr>
      </w:pPr>
      <w:r w:rsidRPr="00A30784">
        <w:rPr>
          <w:rFonts w:ascii="Times New Roman" w:hAnsi="Times New Roman" w:cs="Times New Roman"/>
          <w:sz w:val="24"/>
          <w:szCs w:val="24"/>
        </w:rPr>
        <w:t xml:space="preserve">1. Helton JC, Davis FJ: </w:t>
      </w:r>
      <w:r w:rsidRPr="00A30784">
        <w:rPr>
          <w:rFonts w:ascii="Times New Roman" w:hAnsi="Times New Roman" w:cs="Times New Roman"/>
          <w:b/>
          <w:sz w:val="24"/>
          <w:szCs w:val="24"/>
        </w:rPr>
        <w:t>Latin hypercube sampling and the propagation of uncertainty in analyses of complex systems.</w:t>
      </w:r>
      <w:r w:rsidRPr="00A30784">
        <w:rPr>
          <w:rFonts w:ascii="Times New Roman" w:hAnsi="Times New Roman" w:cs="Times New Roman"/>
          <w:sz w:val="24"/>
          <w:szCs w:val="24"/>
        </w:rPr>
        <w:t xml:space="preserve"> </w:t>
      </w:r>
      <w:proofErr w:type="spellStart"/>
      <w:r w:rsidRPr="00A30784">
        <w:rPr>
          <w:rFonts w:ascii="Times New Roman" w:hAnsi="Times New Roman" w:cs="Times New Roman"/>
          <w:i/>
          <w:iCs/>
          <w:sz w:val="24"/>
          <w:szCs w:val="24"/>
        </w:rPr>
        <w:t>Reliab</w:t>
      </w:r>
      <w:proofErr w:type="spellEnd"/>
      <w:r w:rsidRPr="00A30784">
        <w:rPr>
          <w:rFonts w:ascii="Times New Roman" w:hAnsi="Times New Roman" w:cs="Times New Roman"/>
          <w:i/>
          <w:iCs/>
          <w:sz w:val="24"/>
          <w:szCs w:val="24"/>
        </w:rPr>
        <w:t xml:space="preserve"> </w:t>
      </w:r>
      <w:proofErr w:type="spellStart"/>
      <w:r w:rsidRPr="00A30784">
        <w:rPr>
          <w:rFonts w:ascii="Times New Roman" w:hAnsi="Times New Roman" w:cs="Times New Roman"/>
          <w:i/>
          <w:iCs/>
          <w:sz w:val="24"/>
          <w:szCs w:val="24"/>
        </w:rPr>
        <w:t>Eng</w:t>
      </w:r>
      <w:proofErr w:type="spellEnd"/>
      <w:r w:rsidRPr="00A30784">
        <w:rPr>
          <w:rFonts w:ascii="Times New Roman" w:hAnsi="Times New Roman" w:cs="Times New Roman"/>
          <w:i/>
          <w:iCs/>
          <w:sz w:val="24"/>
          <w:szCs w:val="24"/>
        </w:rPr>
        <w:t xml:space="preserve"> Sys Safe </w:t>
      </w:r>
      <w:r w:rsidRPr="00A30784">
        <w:rPr>
          <w:rFonts w:ascii="Times New Roman" w:hAnsi="Times New Roman" w:cs="Times New Roman"/>
          <w:iCs/>
          <w:sz w:val="24"/>
          <w:szCs w:val="24"/>
        </w:rPr>
        <w:t>2003,</w:t>
      </w:r>
      <w:r w:rsidRPr="00A30784">
        <w:rPr>
          <w:rFonts w:ascii="Times New Roman" w:hAnsi="Times New Roman" w:cs="Times New Roman"/>
          <w:i/>
          <w:iCs/>
          <w:sz w:val="24"/>
          <w:szCs w:val="24"/>
        </w:rPr>
        <w:t xml:space="preserve"> </w:t>
      </w:r>
      <w:r w:rsidRPr="00A30784">
        <w:rPr>
          <w:rFonts w:ascii="Times New Roman" w:hAnsi="Times New Roman" w:cs="Times New Roman"/>
          <w:b/>
          <w:iCs/>
          <w:sz w:val="24"/>
          <w:szCs w:val="24"/>
        </w:rPr>
        <w:t>81</w:t>
      </w:r>
      <w:r w:rsidRPr="00A30784">
        <w:rPr>
          <w:rFonts w:ascii="Times New Roman" w:hAnsi="Times New Roman" w:cs="Times New Roman"/>
          <w:b/>
          <w:sz w:val="24"/>
          <w:szCs w:val="24"/>
        </w:rPr>
        <w:t>:</w:t>
      </w:r>
      <w:r w:rsidRPr="00A30784">
        <w:rPr>
          <w:rFonts w:ascii="Times New Roman" w:hAnsi="Times New Roman" w:cs="Times New Roman"/>
          <w:sz w:val="24"/>
          <w:szCs w:val="24"/>
        </w:rPr>
        <w:t>23–69.</w:t>
      </w:r>
    </w:p>
    <w:p w:rsidR="00EB4388" w:rsidRPr="00A30784" w:rsidRDefault="00EB4388" w:rsidP="00EB4388">
      <w:pPr>
        <w:jc w:val="both"/>
        <w:rPr>
          <w:rFonts w:ascii="Times New Roman" w:hAnsi="Times New Roman" w:cs="Times New Roman"/>
          <w:sz w:val="24"/>
          <w:szCs w:val="24"/>
        </w:rPr>
      </w:pPr>
      <w:r w:rsidRPr="00A30784">
        <w:rPr>
          <w:rFonts w:ascii="Times New Roman" w:hAnsi="Times New Roman" w:cs="Times New Roman"/>
          <w:sz w:val="24"/>
          <w:szCs w:val="24"/>
        </w:rPr>
        <w:t xml:space="preserve">2. Thiele JC, </w:t>
      </w:r>
      <w:proofErr w:type="spellStart"/>
      <w:r w:rsidRPr="00A30784">
        <w:rPr>
          <w:rFonts w:ascii="Times New Roman" w:hAnsi="Times New Roman" w:cs="Times New Roman"/>
          <w:sz w:val="24"/>
          <w:szCs w:val="24"/>
        </w:rPr>
        <w:t>Kurth</w:t>
      </w:r>
      <w:proofErr w:type="spellEnd"/>
      <w:r w:rsidRPr="00A30784">
        <w:rPr>
          <w:rFonts w:ascii="Times New Roman" w:hAnsi="Times New Roman" w:cs="Times New Roman"/>
          <w:sz w:val="24"/>
          <w:szCs w:val="24"/>
        </w:rPr>
        <w:t xml:space="preserve"> W, Grimm V: </w:t>
      </w:r>
      <w:r w:rsidRPr="00A30784">
        <w:rPr>
          <w:rFonts w:ascii="Times New Roman" w:hAnsi="Times New Roman" w:cs="Times New Roman"/>
          <w:b/>
          <w:sz w:val="24"/>
          <w:szCs w:val="24"/>
        </w:rPr>
        <w:t xml:space="preserve">RNETLOGO: an R package for running and exploring individual-based models implemented in </w:t>
      </w:r>
      <w:proofErr w:type="spellStart"/>
      <w:r w:rsidRPr="00A30784">
        <w:rPr>
          <w:rFonts w:ascii="Times New Roman" w:hAnsi="Times New Roman" w:cs="Times New Roman"/>
          <w:b/>
          <w:sz w:val="24"/>
          <w:szCs w:val="24"/>
        </w:rPr>
        <w:t>NetLogo</w:t>
      </w:r>
      <w:proofErr w:type="spellEnd"/>
      <w:r w:rsidRPr="00A30784">
        <w:rPr>
          <w:rFonts w:ascii="Times New Roman" w:hAnsi="Times New Roman" w:cs="Times New Roman"/>
          <w:sz w:val="24"/>
          <w:szCs w:val="24"/>
        </w:rPr>
        <w:t xml:space="preserve">. </w:t>
      </w:r>
      <w:r w:rsidRPr="00A30784">
        <w:rPr>
          <w:rFonts w:ascii="Times New Roman" w:hAnsi="Times New Roman" w:cs="Times New Roman"/>
          <w:i/>
          <w:iCs/>
          <w:sz w:val="24"/>
          <w:szCs w:val="24"/>
        </w:rPr>
        <w:t xml:space="preserve">Method </w:t>
      </w:r>
      <w:proofErr w:type="spellStart"/>
      <w:r w:rsidRPr="00A30784">
        <w:rPr>
          <w:rFonts w:ascii="Times New Roman" w:hAnsi="Times New Roman" w:cs="Times New Roman"/>
          <w:i/>
          <w:iCs/>
          <w:sz w:val="24"/>
          <w:szCs w:val="24"/>
        </w:rPr>
        <w:t>Ecol</w:t>
      </w:r>
      <w:proofErr w:type="spellEnd"/>
      <w:r w:rsidRPr="00A30784">
        <w:rPr>
          <w:rFonts w:ascii="Times New Roman" w:hAnsi="Times New Roman" w:cs="Times New Roman"/>
          <w:i/>
          <w:iCs/>
          <w:sz w:val="24"/>
          <w:szCs w:val="24"/>
        </w:rPr>
        <w:t xml:space="preserve"> </w:t>
      </w:r>
      <w:proofErr w:type="spellStart"/>
      <w:r w:rsidRPr="00A30784">
        <w:rPr>
          <w:rFonts w:ascii="Times New Roman" w:hAnsi="Times New Roman" w:cs="Times New Roman"/>
          <w:i/>
          <w:iCs/>
          <w:sz w:val="24"/>
          <w:szCs w:val="24"/>
        </w:rPr>
        <w:t>Evol</w:t>
      </w:r>
      <w:proofErr w:type="spellEnd"/>
      <w:r w:rsidRPr="00A30784">
        <w:rPr>
          <w:rFonts w:ascii="Times New Roman" w:hAnsi="Times New Roman" w:cs="Times New Roman"/>
          <w:i/>
          <w:iCs/>
          <w:sz w:val="24"/>
          <w:szCs w:val="24"/>
        </w:rPr>
        <w:t xml:space="preserve"> </w:t>
      </w:r>
      <w:r w:rsidRPr="00A30784">
        <w:rPr>
          <w:rFonts w:ascii="Times New Roman" w:hAnsi="Times New Roman" w:cs="Times New Roman"/>
          <w:iCs/>
          <w:sz w:val="24"/>
          <w:szCs w:val="24"/>
        </w:rPr>
        <w:t>2012</w:t>
      </w:r>
      <w:r w:rsidRPr="00A30784">
        <w:rPr>
          <w:rFonts w:ascii="Times New Roman" w:hAnsi="Times New Roman" w:cs="Times New Roman"/>
          <w:i/>
          <w:iCs/>
          <w:sz w:val="24"/>
          <w:szCs w:val="24"/>
        </w:rPr>
        <w:t xml:space="preserve">, </w:t>
      </w:r>
      <w:r w:rsidRPr="00A30784">
        <w:rPr>
          <w:rFonts w:ascii="Times New Roman" w:hAnsi="Times New Roman" w:cs="Times New Roman"/>
          <w:b/>
          <w:iCs/>
          <w:sz w:val="24"/>
          <w:szCs w:val="24"/>
        </w:rPr>
        <w:t>3</w:t>
      </w:r>
      <w:r w:rsidRPr="00A30784">
        <w:rPr>
          <w:rFonts w:ascii="Times New Roman" w:hAnsi="Times New Roman" w:cs="Times New Roman"/>
          <w:b/>
          <w:sz w:val="24"/>
          <w:szCs w:val="24"/>
        </w:rPr>
        <w:t>:</w:t>
      </w:r>
      <w:r w:rsidRPr="00A30784">
        <w:rPr>
          <w:rFonts w:ascii="Times New Roman" w:hAnsi="Times New Roman" w:cs="Times New Roman"/>
          <w:sz w:val="24"/>
          <w:szCs w:val="24"/>
        </w:rPr>
        <w:t>480–483.</w:t>
      </w:r>
    </w:p>
    <w:p w:rsidR="00EB4388" w:rsidRPr="00A30784" w:rsidRDefault="00EB4388" w:rsidP="00EB4388">
      <w:pPr>
        <w:pStyle w:val="NormalWeb"/>
        <w:spacing w:line="480" w:lineRule="auto"/>
        <w:rPr>
          <w:color w:val="000000" w:themeColor="text1"/>
        </w:rPr>
      </w:pPr>
      <w:r w:rsidRPr="00A30784">
        <w:rPr>
          <w:color w:val="000000" w:themeColor="text1"/>
        </w:rPr>
        <w:t xml:space="preserve">3. Wilson JB: </w:t>
      </w:r>
      <w:r w:rsidRPr="00A30784">
        <w:rPr>
          <w:b/>
          <w:color w:val="000000" w:themeColor="text1"/>
        </w:rPr>
        <w:t xml:space="preserve">Would we recognize a broken-stick community if we found </w:t>
      </w:r>
      <w:proofErr w:type="gramStart"/>
      <w:r w:rsidRPr="00A30784">
        <w:rPr>
          <w:b/>
          <w:color w:val="000000" w:themeColor="text1"/>
        </w:rPr>
        <w:t>one ?</w:t>
      </w:r>
      <w:proofErr w:type="gramEnd"/>
      <w:r w:rsidRPr="00A30784">
        <w:rPr>
          <w:color w:val="000000" w:themeColor="text1"/>
        </w:rPr>
        <w:t xml:space="preserve"> </w:t>
      </w:r>
      <w:r w:rsidRPr="00A30784">
        <w:rPr>
          <w:i/>
          <w:color w:val="000000" w:themeColor="text1"/>
        </w:rPr>
        <w:t xml:space="preserve">Oikos </w:t>
      </w:r>
      <w:r w:rsidRPr="00A30784">
        <w:rPr>
          <w:color w:val="000000" w:themeColor="text1"/>
        </w:rPr>
        <w:t xml:space="preserve">1993, </w:t>
      </w:r>
      <w:r w:rsidRPr="00A30784">
        <w:rPr>
          <w:b/>
          <w:color w:val="000000" w:themeColor="text1"/>
        </w:rPr>
        <w:t>67:</w:t>
      </w:r>
      <w:r w:rsidRPr="00A30784">
        <w:rPr>
          <w:color w:val="000000" w:themeColor="text1"/>
        </w:rPr>
        <w:t>181–183.</w:t>
      </w:r>
    </w:p>
    <w:p w:rsidR="00EB4388" w:rsidRPr="00A30784" w:rsidRDefault="00EB4388" w:rsidP="00EB4388">
      <w:pPr>
        <w:spacing w:after="0" w:line="480" w:lineRule="auto"/>
        <w:rPr>
          <w:rFonts w:ascii="Times New Roman" w:hAnsi="Times New Roman" w:cs="Times New Roman"/>
          <w:color w:val="000000" w:themeColor="text1"/>
          <w:sz w:val="24"/>
          <w:szCs w:val="24"/>
          <w:lang w:eastAsia="en-NZ"/>
        </w:rPr>
      </w:pPr>
    </w:p>
    <w:p w:rsidR="00EB4388" w:rsidRDefault="00EB4388" w:rsidP="00EB4388">
      <w:pPr>
        <w:suppressAutoHyphens w:val="0"/>
        <w:spacing w:after="0"/>
        <w:rPr>
          <w:rFonts w:ascii="Times New Roman" w:hAnsi="Times New Roman" w:cs="Times New Roman"/>
          <w:b/>
          <w:sz w:val="24"/>
          <w:szCs w:val="24"/>
        </w:rPr>
      </w:pPr>
      <w:r>
        <w:rPr>
          <w:rFonts w:ascii="Times New Roman" w:hAnsi="Times New Roman" w:cs="Times New Roman"/>
          <w:b/>
          <w:sz w:val="24"/>
          <w:szCs w:val="24"/>
        </w:rPr>
        <w:br w:type="page"/>
      </w:r>
    </w:p>
    <w:p w:rsidR="00690541" w:rsidRDefault="00690541">
      <w:bookmarkStart w:id="0" w:name="_GoBack"/>
      <w:bookmarkEnd w:id="0"/>
    </w:p>
    <w:sectPr w:rsidR="00690541" w:rsidSect="00293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88"/>
    <w:rsid w:val="002937B1"/>
    <w:rsid w:val="00690541"/>
    <w:rsid w:val="00EB4388"/>
    <w:rsid w:val="00EE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85DB3"/>
  <w15:chartTrackingRefBased/>
  <w15:docId w15:val="{4BD3B6C6-7D0A-6648-88AC-C0F20BEC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4388"/>
    <w:pPr>
      <w:suppressAutoHyphens/>
      <w:spacing w:after="200" w:line="276" w:lineRule="auto"/>
    </w:pPr>
    <w:rPr>
      <w:rFonts w:asciiTheme="minorHAnsi" w:hAnsiTheme="minorHAnsi" w:cstheme="minorBid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B4388"/>
    <w:pPr>
      <w:spacing w:line="240" w:lineRule="auto"/>
    </w:pPr>
    <w:rPr>
      <w:rFonts w:eastAsiaTheme="minorEastAsia"/>
      <w:b/>
      <w:bCs/>
      <w:color w:val="4472C4" w:themeColor="accent1"/>
      <w:sz w:val="18"/>
      <w:szCs w:val="18"/>
      <w:lang w:eastAsia="en-NZ"/>
    </w:rPr>
  </w:style>
  <w:style w:type="table" w:styleId="TableGrid">
    <w:name w:val="Table Grid"/>
    <w:basedOn w:val="TableNormal"/>
    <w:uiPriority w:val="59"/>
    <w:rsid w:val="00EB4388"/>
    <w:rPr>
      <w:rFonts w:ascii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4388"/>
    <w:pPr>
      <w:suppressAutoHyphens w:val="0"/>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L. Atkins</dc:creator>
  <cp:keywords/>
  <dc:description/>
  <cp:lastModifiedBy>Justine L. Atkins</cp:lastModifiedBy>
  <cp:revision>1</cp:revision>
  <dcterms:created xsi:type="dcterms:W3CDTF">2018-10-05T16:15:00Z</dcterms:created>
  <dcterms:modified xsi:type="dcterms:W3CDTF">2018-10-05T16:16:00Z</dcterms:modified>
</cp:coreProperties>
</file>