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545" w:rsidRDefault="006B551B" w:rsidP="00C27265">
      <w:r>
        <w:rPr>
          <w:noProof/>
        </w:rPr>
        <w:drawing>
          <wp:inline distT="0" distB="0" distL="0" distR="0" wp14:anchorId="123B1DE9" wp14:editId="1D814319">
            <wp:extent cx="5943600" cy="7381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3A" w:rsidRPr="00CC573A" w:rsidRDefault="00CC573A" w:rsidP="00C27265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Supplemental F</w:t>
      </w:r>
      <w:r w:rsidRPr="004F71E5">
        <w:rPr>
          <w:rFonts w:ascii="Times New Roman" w:hAnsi="Times New Roman" w:cs="Times New Roman"/>
          <w:b/>
          <w:sz w:val="20"/>
          <w:szCs w:val="20"/>
        </w:rPr>
        <w:t xml:space="preserve">igure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60254">
        <w:rPr>
          <w:rFonts w:ascii="Times New Roman" w:hAnsi="Times New Roman" w:cs="Times New Roman"/>
          <w:b/>
          <w:sz w:val="20"/>
          <w:szCs w:val="20"/>
        </w:rPr>
        <w:t xml:space="preserve">Phylogeny of </w:t>
      </w:r>
      <w:proofErr w:type="spellStart"/>
      <w:r w:rsidRPr="00C60254">
        <w:rPr>
          <w:rFonts w:ascii="Times New Roman" w:hAnsi="Times New Roman" w:cs="Times New Roman"/>
          <w:b/>
          <w:sz w:val="20"/>
          <w:szCs w:val="20"/>
        </w:rPr>
        <w:t>Xyleborini</w:t>
      </w:r>
      <w:proofErr w:type="spellEnd"/>
      <w:r w:rsidRPr="00C60254">
        <w:rPr>
          <w:rFonts w:ascii="Times New Roman" w:hAnsi="Times New Roman" w:cs="Times New Roman"/>
          <w:b/>
          <w:sz w:val="20"/>
          <w:szCs w:val="20"/>
        </w:rPr>
        <w:t xml:space="preserve"> with a focus on the </w:t>
      </w:r>
      <w:r w:rsidRPr="00C60254">
        <w:rPr>
          <w:rFonts w:ascii="Times New Roman" w:hAnsi="Times New Roman" w:cs="Times New Roman"/>
          <w:b/>
          <w:i/>
          <w:sz w:val="20"/>
          <w:szCs w:val="20"/>
        </w:rPr>
        <w:t>Xylosandrus</w:t>
      </w:r>
      <w:r w:rsidRPr="00C6025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complex</w:t>
      </w:r>
      <w:r>
        <w:rPr>
          <w:rFonts w:ascii="Times New Roman" w:hAnsi="Times New Roman" w:cs="Times New Roman"/>
          <w:sz w:val="20"/>
          <w:szCs w:val="20"/>
        </w:rPr>
        <w:t xml:space="preserve">, a monophyletic group which possess </w:t>
      </w:r>
      <w:proofErr w:type="spellStart"/>
      <w:r>
        <w:rPr>
          <w:rFonts w:ascii="Times New Roman" w:hAnsi="Times New Roman" w:cs="Times New Roman"/>
          <w:sz w:val="20"/>
          <w:szCs w:val="20"/>
        </w:rPr>
        <w:t>mesonotal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mycangia and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mycangial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pronotal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tuft, and farm fungi in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ceratocystid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genus </w:t>
      </w:r>
      <w:r>
        <w:rPr>
          <w:rFonts w:ascii="Times New Roman" w:hAnsi="Times New Roman" w:cs="Times New Roman"/>
          <w:i/>
          <w:sz w:val="20"/>
          <w:szCs w:val="20"/>
        </w:rPr>
        <w:t>Ambrosiella</w:t>
      </w:r>
      <w:r>
        <w:rPr>
          <w:rFonts w:ascii="Times New Roman" w:hAnsi="Times New Roman" w:cs="Times New Roman"/>
          <w:sz w:val="20"/>
          <w:szCs w:val="20"/>
        </w:rPr>
        <w:t xml:space="preserve">. Highlighted in yellow are fungus-stealing species which have secondarily lost their mycangia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mesonotal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tufts.</w:t>
      </w:r>
      <w:bookmarkStart w:id="0" w:name="_GoBack"/>
      <w:bookmarkEnd w:id="0"/>
    </w:p>
    <w:sectPr w:rsidR="00CC573A" w:rsidRPr="00CC5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265"/>
    <w:rsid w:val="003E2E16"/>
    <w:rsid w:val="004E1541"/>
    <w:rsid w:val="005814F6"/>
    <w:rsid w:val="006B551B"/>
    <w:rsid w:val="00941A6C"/>
    <w:rsid w:val="00C27265"/>
    <w:rsid w:val="00CC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05C43"/>
  <w15:chartTrackingRefBased/>
  <w15:docId w15:val="{C0761723-130B-40A9-95DD-59B437A3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2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Skelton,James</dc:creator>
  <cp:keywords/>
  <dc:description/>
  <cp:lastModifiedBy>Skelton,James</cp:lastModifiedBy>
  <cp:revision>1</cp:revision>
  <dcterms:created xsi:type="dcterms:W3CDTF">2018-11-06T19:27:00Z</dcterms:created>
  <dcterms:modified xsi:type="dcterms:W3CDTF">2018-11-06T20:14:00Z</dcterms:modified>
</cp:coreProperties>
</file>