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F50" w:rsidRDefault="00446F50" w:rsidP="00A34662">
      <w:pPr>
        <w:spacing w:line="480" w:lineRule="auto"/>
      </w:pPr>
      <w:r>
        <w:t>Supplementary Methods Information</w:t>
      </w:r>
    </w:p>
    <w:p w:rsidR="00A34662" w:rsidRPr="00446F50" w:rsidRDefault="00A34662" w:rsidP="00A34662">
      <w:pPr>
        <w:spacing w:line="480" w:lineRule="auto"/>
        <w:rPr>
          <w:b/>
        </w:rPr>
      </w:pPr>
      <w:r w:rsidRPr="00446F50">
        <w:rPr>
          <w:b/>
        </w:rPr>
        <w:t>DWV variant detection</w:t>
      </w:r>
    </w:p>
    <w:p w:rsidR="00A34662" w:rsidRPr="007A3FDF" w:rsidRDefault="00A34662" w:rsidP="00A34662">
      <w:pPr>
        <w:spacing w:line="480" w:lineRule="auto"/>
      </w:pPr>
      <w:r w:rsidRPr="007A3FDF">
        <w:t xml:space="preserve">cDNA was generated from 1 </w:t>
      </w:r>
      <w:r w:rsidRPr="00F8487A">
        <w:rPr>
          <w:rFonts w:ascii="Symbol" w:hAnsi="Symbol"/>
        </w:rPr>
        <w:t></w:t>
      </w:r>
      <w:r w:rsidRPr="007A3FDF">
        <w:t xml:space="preserve">g RNA per sample using </w:t>
      </w:r>
      <w:proofErr w:type="spellStart"/>
      <w:r w:rsidRPr="007A3FDF">
        <w:t>qScript</w:t>
      </w:r>
      <w:proofErr w:type="spellEnd"/>
      <w:r w:rsidRPr="007A3FDF">
        <w:t xml:space="preserve"> XLT reverse transcriptase (</w:t>
      </w:r>
      <w:proofErr w:type="spellStart"/>
      <w:r w:rsidRPr="007A3FDF">
        <w:t>Quantabio</w:t>
      </w:r>
      <w:proofErr w:type="spellEnd"/>
      <w:r w:rsidRPr="007A3FDF">
        <w:t xml:space="preserve">, Beverly, USA). Samples were then analyzed in triplicate by qPCR with DWVQ_F1 and R1 primers gene </w:t>
      </w:r>
      <w:r>
        <w:fldChar w:fldCharType="begin" w:fldLock="1"/>
      </w:r>
      <w:r w:rsidR="00962A8A">
        <w:instrText>ADDIN CSL_CITATION {"citationItems":[{"id":"ITEM-1","itemData":{"abstract":"The worldwide decline in honeybee colonies during the past 50 years has often been linked to the spread of the parasitic mite Varroa destructor and its interaction with certain honeybee viruses. Recently in the United States, dramatic honeybee losses (colony collapse disorder) have been reported; however, there remains no clear explanation for these colony losses, with parasitic mites, viruses, bacteria, and fungal diseases all being proposed as possible candidates. Common characteristics that most failing colonies share is a lack of overt disease symptoms and the disappearance of workers from what appears to be normally functioning colonies. In this study, we used quantitative PCR to monitor the presence of three honeybee viruses, deformed wing virus (DWV), acute bee paralysis virus (ABPV), and black queen cell virus (BQCV), during a 1-year period in 15 asymptomatic, varroa mite-positive honeybee colonies in Southern England, and 3 asymptomatic colonies confirmed to be varroa mite free. All colonies with varroa mites underwent control treatments to ensure that mite populations remained low throughout the study. Despite this, multiple virus infections were detected, yet a significant correlation was observed only between DWV viral load and overwintering colony losses. The long-held view has been that DWV is relatively harmless to the overall health status of honeybee colonies unless it is in association with severe varroa mite infestations. Our findings suggest that DWV can potentially act independently of varroa mites to bring about colony losses. Therefore, DWV may be a major factor in overwintering colony losses.","author":[{"dropping-particle":"","family":"Highfield","given":"Andrea C","non-dropping-particle":"","parse-names":false,"suffix":""},{"dropping-particle":"","family":"Nagar","given":"Aliya","non-dropping-particle":"El","parse-names":false,"suffix":""},{"dropping-particle":"","family":"Mackinder","given":"Luke C M","non-dropping-particle":"","parse-names":false,"suffix":""},{"dropping-particle":"","family":"Noël","given":"Laure M L J","non-dropping-particle":"","parse-names":false,"suffix":""},{"dropping-particle":"","family":"Hall","given":"Matthew J","non-dropping-particle":"","parse-names":false,"suffix":""},{"dropping-particle":"","family":"Martin","given":"Stephen J","non-dropping-particle":"","parse-names":false,"suffix":""},{"dropping-particle":"","family":"Schroeder","given":"Declan C","non-dropping-particle":"","parse-names":false,"suffix":""}],"container-title":"Applied and Environmental Microbiology","id":"ITEM-1","issue":"22","issued":{"date-parts":[["2009","11","1"]]},"page":"7212-7220","publisher":"American Society for Microbiology","publisher-place":"The Marine Biological Association of the United Kingdom, Citadel Hill, Plymouth PL1 2PB, United Kingdom.","title":"Deformed wing virus implicated in overwintering honeybee colony losses.","type":"article-journal","volume":"75"},"uris":["http://www.mendeley.com/documents/?uuid=cdcfae79-2ff4-4dd3-9fc2-7c508a7f0717"]},{"id":"ITEM-2","itemData":{"author":[{"dropping-particle":"","family":"Martin","given":"Stephen J","non-dropping-particle":"","parse-names":false,"suffix":""},{"dropping-particle":"","family":"Highfield","given":"A C","non-dropping-particle":"","parse-names":false,"suffix":""},{"dropping-particle":"","family":"Brettell","given":"L","non-dropping-particle":"","parse-names":false,"suffix":""},{"dropping-particle":"","family":"Villalobos","given":"E M","non-dropping-particle":"","parse-names":false,"suffix":""},{"dropping-particle":"","family":"Budge","given":"G E","non-dropping-particle":"","parse-names":false,"suffix":""},{"dropping-particle":"","family":"Powell","given":"M","non-dropping-particle":"","parse-names":false,"suffix":""},{"dropping-particle":"","family":"Nikaido","given":"S","non-dropping-particle":"","parse-names":false,"suffix":""},{"dropping-particle":"","family":"Schroeder","given":"D C","non-dropping-particle":"","parse-names":false,"suffix":""}],"container-title":"Science","id":"ITEM-2","issue":"6086","issued":{"date-parts":[["2012","6","7"]]},"page":"1304-1306","publisher":"AAAS","title":"Global honey bee viral landscape altered by a parasitic mite","type":"article-journal","volume":"336"},"uris":["http://www.mendeley.com/documents/?uuid=f381f792-ce37-4459-8c4f-7dd2545e2791"]}],"mendeley":{"formattedCitation":"[1,2]","plainTextFormattedCitation":"[1,2]","previouslyFormattedCitation":"[1,2]"},"properties":{"noteIndex":0},"schema":"https://github.com/citation-style-language/schema/raw/master/csl-citation.json"}</w:instrText>
      </w:r>
      <w:r>
        <w:fldChar w:fldCharType="separate"/>
      </w:r>
      <w:r w:rsidR="00962A8A" w:rsidRPr="00962A8A">
        <w:rPr>
          <w:noProof/>
        </w:rPr>
        <w:t>[1,2]</w:t>
      </w:r>
      <w:r>
        <w:fldChar w:fldCharType="end"/>
      </w:r>
      <w:r w:rsidRPr="007A3FDF">
        <w:t xml:space="preserve"> and HRM (54 – 95 </w:t>
      </w:r>
      <w:r>
        <w:sym w:font="Symbol" w:char="F0B0"/>
      </w:r>
      <w:r w:rsidRPr="007A3FDF">
        <w:t xml:space="preserve">C) using </w:t>
      </w:r>
      <w:proofErr w:type="spellStart"/>
      <w:r w:rsidRPr="007A3FDF">
        <w:t>MeltDoctor</w:t>
      </w:r>
      <w:proofErr w:type="spellEnd"/>
      <w:r w:rsidRPr="007A3FDF">
        <w:t xml:space="preserve"> HRM Master Mix and a </w:t>
      </w:r>
      <w:proofErr w:type="spellStart"/>
      <w:r w:rsidRPr="007A3FDF">
        <w:t>QuantStudio</w:t>
      </w:r>
      <w:proofErr w:type="spellEnd"/>
      <w:r w:rsidRPr="007A3FDF">
        <w:t xml:space="preserve"> 7 </w:t>
      </w:r>
      <w:r>
        <w:t xml:space="preserve">platform </w:t>
      </w:r>
      <w:r w:rsidRPr="007A3FDF">
        <w:t>(Applied Biosystems/</w:t>
      </w:r>
      <w:proofErr w:type="spellStart"/>
      <w:r w:rsidRPr="007A3FDF">
        <w:t>Thermo</w:t>
      </w:r>
      <w:proofErr w:type="spellEnd"/>
      <w:r w:rsidRPr="007A3FDF">
        <w:t xml:space="preserve"> Fisher Scientific, USA). </w:t>
      </w:r>
    </w:p>
    <w:p w:rsidR="00A34662" w:rsidRPr="007A3FDF" w:rsidRDefault="00A34662" w:rsidP="00A34662">
      <w:pPr>
        <w:spacing w:line="480" w:lineRule="auto"/>
      </w:pPr>
    </w:p>
    <w:p w:rsidR="00A34662" w:rsidRPr="007A3FDF" w:rsidRDefault="00A34662" w:rsidP="00A34662">
      <w:pPr>
        <w:spacing w:line="480" w:lineRule="auto"/>
      </w:pPr>
      <w:r w:rsidRPr="007A3FDF">
        <w:t>Selected samples were Sanger sequenced directly following qPCR and HRM. Samples were diluted 1:5 with H</w:t>
      </w:r>
      <w:r w:rsidRPr="007A3FDF">
        <w:rPr>
          <w:vertAlign w:val="subscript"/>
        </w:rPr>
        <w:t>2</w:t>
      </w:r>
      <w:r w:rsidRPr="007A3FDF">
        <w:t xml:space="preserve">O and combined with 0.2 </w:t>
      </w:r>
      <w:r w:rsidRPr="00F8487A">
        <w:rPr>
          <w:rFonts w:ascii="Symbol" w:hAnsi="Symbol"/>
        </w:rPr>
        <w:t></w:t>
      </w:r>
      <w:r w:rsidRPr="007A3FDF">
        <w:t xml:space="preserve">M DWVQ_F1 primer. Sequencing was provided by the Massey Genome Service (Massey University, NZ). </w:t>
      </w:r>
    </w:p>
    <w:p w:rsidR="00A34662" w:rsidRPr="007A3FDF" w:rsidRDefault="00A34662" w:rsidP="00A34662">
      <w:pPr>
        <w:spacing w:line="480" w:lineRule="auto"/>
      </w:pPr>
    </w:p>
    <w:p w:rsidR="00A34662" w:rsidRPr="007A3FDF" w:rsidRDefault="00A34662" w:rsidP="00A34662">
      <w:pPr>
        <w:spacing w:line="480" w:lineRule="auto"/>
      </w:pPr>
      <w:r w:rsidRPr="007A3FDF">
        <w:t xml:space="preserve">HRM analyses revealed 45 individuals with more than a single HRM peak, indicating infection with multiple strains.  For 43 of these individuals, we re-amplified the </w:t>
      </w:r>
      <w:proofErr w:type="spellStart"/>
      <w:r>
        <w:rPr>
          <w:i/>
        </w:rPr>
        <w:t>Rd</w:t>
      </w:r>
      <w:r w:rsidRPr="00F64CF3">
        <w:rPr>
          <w:i/>
        </w:rPr>
        <w:t>R</w:t>
      </w:r>
      <w:r>
        <w:rPr>
          <w:i/>
        </w:rPr>
        <w:t>p</w:t>
      </w:r>
      <w:proofErr w:type="spellEnd"/>
      <w:r w:rsidRPr="007A3FDF">
        <w:t xml:space="preserve"> fragment for next-generation sequencing using the NEB-Next Ultra II DNA Library Prep Kit for Illumina (New England Biolabs, Ipswich, MA, USA).  For each PCR product sample, we attached dual-indexed primers (</w:t>
      </w:r>
      <w:proofErr w:type="spellStart"/>
      <w:r w:rsidRPr="007A3FDF">
        <w:t>NEBNext</w:t>
      </w:r>
      <w:proofErr w:type="spellEnd"/>
      <w:r w:rsidRPr="007A3FDF">
        <w:t xml:space="preserve"> Multiplex Oligos Kit) to identify each sample and the sequencing adapter needed for the subsequent Illumina sequencing protocol. The amplification round was performed in a volume of 25 </w:t>
      </w:r>
      <w:proofErr w:type="spellStart"/>
      <w:r w:rsidRPr="007A3FDF">
        <w:t>μL</w:t>
      </w:r>
      <w:proofErr w:type="spellEnd"/>
      <w:r w:rsidRPr="007A3FDF">
        <w:t xml:space="preserve"> using 7.5 </w:t>
      </w:r>
      <w:proofErr w:type="spellStart"/>
      <w:r w:rsidRPr="007A3FDF">
        <w:t>μL</w:t>
      </w:r>
      <w:proofErr w:type="spellEnd"/>
      <w:r w:rsidRPr="007A3FDF">
        <w:t xml:space="preserve"> of every sample, 2.5 </w:t>
      </w:r>
      <w:proofErr w:type="spellStart"/>
      <w:r w:rsidRPr="007A3FDF">
        <w:t>μL</w:t>
      </w:r>
      <w:proofErr w:type="spellEnd"/>
      <w:r w:rsidRPr="007A3FDF">
        <w:t xml:space="preserve"> i5 primers and 2.5 </w:t>
      </w:r>
      <w:proofErr w:type="spellStart"/>
      <w:r w:rsidRPr="007A3FDF">
        <w:t>μL</w:t>
      </w:r>
      <w:proofErr w:type="spellEnd"/>
      <w:r w:rsidRPr="007A3FDF">
        <w:t xml:space="preserve"> i7 primers (E7600S, New England Biolabs), and 12.5 </w:t>
      </w:r>
      <w:proofErr w:type="spellStart"/>
      <w:r w:rsidRPr="007A3FDF">
        <w:t>μL</w:t>
      </w:r>
      <w:proofErr w:type="spellEnd"/>
      <w:r w:rsidRPr="007A3FDF">
        <w:t xml:space="preserve"> </w:t>
      </w:r>
      <w:proofErr w:type="spellStart"/>
      <w:r w:rsidRPr="007A3FDF">
        <w:t>ofNEB</w:t>
      </w:r>
      <w:proofErr w:type="spellEnd"/>
      <w:r w:rsidRPr="007A3FDF">
        <w:t xml:space="preserve"> PRC Master Mix. The mixture was denatured at 98˚C for 30 s followed by 8 cycles of 10 s at 98˚C and 75 s at 65˚C and a final cycle of 5 min at 65˚C. PCR products were then purified using Sera-Mag </w:t>
      </w:r>
      <w:proofErr w:type="spellStart"/>
      <w:r w:rsidRPr="007A3FDF">
        <w:t>SpeedBeads</w:t>
      </w:r>
      <w:proofErr w:type="spellEnd"/>
      <w:r w:rsidRPr="007A3FDF">
        <w:t xml:space="preserve"> (GE Healthcare) and resuspended in a volume of 15 </w:t>
      </w:r>
      <w:proofErr w:type="spellStart"/>
      <w:r w:rsidRPr="007A3FDF">
        <w:t>μL</w:t>
      </w:r>
      <w:proofErr w:type="spellEnd"/>
      <w:r w:rsidRPr="007A3FDF">
        <w:t xml:space="preserve"> of 0.1X TE buffer. We determined the DNA concentration in every pool using a Qubit High Sensitivity Assay (Qubit1) to prepare 4 </w:t>
      </w:r>
      <w:proofErr w:type="spellStart"/>
      <w:r w:rsidRPr="007A3FDF">
        <w:t>nM</w:t>
      </w:r>
      <w:proofErr w:type="spellEnd"/>
      <w:r w:rsidRPr="007A3FDF">
        <w:t xml:space="preserve"> of </w:t>
      </w:r>
      <w:r w:rsidRPr="007A3FDF">
        <w:lastRenderedPageBreak/>
        <w:t xml:space="preserve">every pool. Pools were then combined and submitted to UCR Institute for Integrative Genome Biology Genomics Core for paired-end sequencing (2x300bp) on the Illumina </w:t>
      </w:r>
      <w:proofErr w:type="spellStart"/>
      <w:r w:rsidRPr="007A3FDF">
        <w:t>MiSeq</w:t>
      </w:r>
      <w:proofErr w:type="spellEnd"/>
      <w:r w:rsidRPr="007A3FDF">
        <w:t xml:space="preserve">. </w:t>
      </w:r>
    </w:p>
    <w:p w:rsidR="00A34662" w:rsidRPr="007A3FDF" w:rsidRDefault="00A34662" w:rsidP="00A34662">
      <w:pPr>
        <w:spacing w:line="480" w:lineRule="auto"/>
      </w:pPr>
      <w:r w:rsidRPr="007A3FDF">
        <w:t xml:space="preserve">Following demultiplexing, </w:t>
      </w:r>
      <w:proofErr w:type="spellStart"/>
      <w:r w:rsidRPr="007A3FDF">
        <w:t>MiSeq</w:t>
      </w:r>
      <w:proofErr w:type="spellEnd"/>
      <w:r w:rsidRPr="007A3FDF">
        <w:t xml:space="preserve"> reads were processed through the </w:t>
      </w:r>
      <w:proofErr w:type="spellStart"/>
      <w:r w:rsidRPr="007A3FDF">
        <w:t>linux</w:t>
      </w:r>
      <w:proofErr w:type="spellEnd"/>
      <w:r w:rsidRPr="007A3FDF">
        <w:t xml:space="preserve"> cluster of the UCR High-Performance Computing Center. Using QIIME</w:t>
      </w:r>
      <w:r>
        <w:t xml:space="preserve"> </w:t>
      </w:r>
      <w:r>
        <w:fldChar w:fldCharType="begin" w:fldLock="1"/>
      </w:r>
      <w:r w:rsidR="00962A8A">
        <w:instrText>ADDIN CSL_CITATION {"citationItems":[{"id":"ITEM-1","itemData":{"DOI":"10.1038/nmeth0510-335","ISBN":"15487091","ISSN":"1548-7091","PMID":"20383131","abstract":"High-throughput sequencing is revolutionizing microbial ecology studies. Efforts like the Human Microbiome Projects1 and the US National Ecological Observatory Network2 are helping us to understand the role of microbial diversity in habitats within our own bodies and throughout the planet.","author":[{"dropping-particle":"","family":"Caporaso","given":"J Gregory","non-dropping-particle":"","parse-names":false,"suffix":""},{"dropping-particle":"","family":"Kuczynski","given":"Justin","non-dropping-particle":"","parse-names":false,"suffix":""},{"dropping-particle":"","family":"Stombaugh","given":"Jesse","non-dropping-particle":"","parse-names":false,"suffix":""},{"dropping-particle":"","family":"Bittinger","given":"Kyle","non-dropping-particle":"","parse-names":false,"suffix":""},{"dropping-particle":"","family":"Bushman","given":"Frederic D","non-dropping-particle":"","parse-names":false,"suffix":""},{"dropping-particle":"","family":"Costello","given":"Elizabeth K","non-dropping-particle":"","parse-names":false,"suffix":""},{"dropping-particle":"","family":"Fierer","given":"Noah","non-dropping-particle":"","parse-names":false,"suffix":""},{"dropping-particle":"","family":"Peña","given":"Antonio Gonzalez","non-dropping-particle":"","parse-names":false,"suffix":""},{"dropping-particle":"","family":"Goodrich","given":"Julia K","non-dropping-particle":"","parse-names":false,"suffix":""},{"dropping-particle":"","family":"Gordon","given":"Jeffrey I","non-dropping-particle":"","parse-names":false,"suffix":""},{"dropping-particle":"","family":"Huttley","given":"Gavin a","non-dropping-particle":"","parse-names":false,"suffix":""},{"dropping-particle":"","family":"Kelley","given":"Scott T","non-dropping-particle":"","parse-names":false,"suffix":""},{"dropping-particle":"","family":"Knights","given":"Dan","non-dropping-particle":"","parse-names":false,"suffix":""},{"dropping-particle":"","family":"Koenig","given":"Jeremy E","non-dropping-particle":"","parse-names":false,"suffix":""},{"dropping-particle":"","family":"Ley","given":"Ruth E","non-dropping-particle":"","parse-names":false,"suffix":""},{"dropping-particle":"","family":"Lozupone","given":"Catherine a","non-dropping-particle":"","parse-names":false,"suffix":""},{"dropping-particle":"","family":"Mcdonald","given":"Daniel","non-dropping-particle":"","parse-names":false,"suffix":""},{"dropping-particle":"","family":"Muegge","given":"Brian D","non-dropping-particle":"","parse-names":false,"suffix":""},{"dropping-particle":"","family":"Pirrung","given":"Meg","non-dropping-particle":"","parse-names":false,"suffix":""},{"dropping-particle":"","family":"Reeder","given":"Jens","non-dropping-particle":"","parse-names":false,"suffix":""},{"dropping-particle":"","family":"Sevinsky","given":"Joel R","non-dropping-particle":"","parse-names":false,"suffix":""},{"dropping-particle":"","family":"Turnbaugh","given":"Peter J","non-dropping-particle":"","parse-names":false,"suffix":""},{"dropping-particle":"","family":"Walters","given":"William a","non-dropping-particle":"","parse-names":false,"suffix":""},{"dropping-particle":"","family":"Widmann","given":"Jeremy","non-dropping-particle":"","parse-names":false,"suffix":""},{"dropping-particle":"","family":"Yatsunenko","given":"Tanya","non-dropping-particle":"","parse-names":false,"suffix":""},{"dropping-particle":"","family":"Zaneveld","given":"Jesse","non-dropping-particle":"","parse-names":false,"suffix":""},{"dropping-particle":"","family":"Knight","given":"Rob","non-dropping-particle":"","parse-names":false,"suffix":""}],"container-title":"Nature Methods","id":"ITEM-1","issue":"5","issued":{"date-parts":[["2010"]]},"page":"335-336","publisher":"Nature Publishing Group","title":"correspondence QIIME allows analysis of high- throughput community sequencing data Intensity normalization improves color calling in SOLiD sequencing","type":"article-journal","volume":"7"},"uris":["http://www.mendeley.com/documents/?uuid=97167dec-a3bc-4399-b4d3-8f86ac0a027b"]}],"mendeley":{"formattedCitation":"[3]","plainTextFormattedCitation":"[3]","previouslyFormattedCitation":"[3]"},"properties":{"noteIndex":0},"schema":"https://github.com/citation-style-language/schema/raw/master/csl-citation.json"}</w:instrText>
      </w:r>
      <w:r>
        <w:fldChar w:fldCharType="separate"/>
      </w:r>
      <w:r w:rsidR="00962A8A" w:rsidRPr="00962A8A">
        <w:rPr>
          <w:noProof/>
        </w:rPr>
        <w:t>[3]</w:t>
      </w:r>
      <w:r>
        <w:fldChar w:fldCharType="end"/>
      </w:r>
      <w:r w:rsidRPr="007A3FDF">
        <w:t>, forward and reverse primers were trimmed from the reads. Using the dada2 pipeline</w:t>
      </w:r>
      <w:r>
        <w:t xml:space="preserve"> </w:t>
      </w:r>
      <w:r>
        <w:fldChar w:fldCharType="begin" w:fldLock="1"/>
      </w:r>
      <w:r w:rsidR="00962A8A">
        <w:instrText>ADDIN CSL_CITATION {"citationItems":[{"id":"ITEM-1","itemData":{"DOI":"10.1038/nmeth.3869","ISBN":"1548-7105 (Electronic)\\r1548-7091 (Linking)","ISSN":"15487105","PMID":"27214047","abstract":"We present the open-source software package dada2 for modeling and correcting illumina-sequenced amplicon errors (https://github.com/benjjneb/dada2). dada2 infers sample sequences exactly and resolves differences of as little as 1 nucleotide. in several mock communities, dada2 identified more real variants and output fewer spurious sequences than other methods. We applied dada2 to vaginal samples from a cohort of pregnant women, revealing a diversity of previously undetected Lactobacillus crispatus variants.","author":[{"dropping-particle":"","family":"Callahan","given":"Benjamin J.","non-dropping-particle":"","parse-names":false,"suffix":""},{"dropping-particle":"","family":"McMurdie","given":"Paul J.","non-dropping-particle":"","parse-names":false,"suffix":""},{"dropping-particle":"","family":"Rosen","given":"Michael J.","non-dropping-particle":"","parse-names":false,"suffix":""},{"dropping-particle":"","family":"Han","given":"Andrew W.","non-dropping-particle":"","parse-names":false,"suffix":""},{"dropping-particle":"","family":"Johnson","given":"Amy Jo A.","non-dropping-particle":"","parse-names":false,"suffix":""},{"dropping-particle":"","family":"Holmes","given":"Susan P.","non-dropping-particle":"","parse-names":false,"suffix":""}],"container-title":"Nature Methods","id":"ITEM-1","issue":"7","issued":{"date-parts":[["2016"]]},"page":"581-583","title":"DADA2: High-resolution sample inference from Illumina amplicon data","type":"article-journal","volume":"13"},"uris":["http://www.mendeley.com/documents/?uuid=b662fe0c-d2fa-48e8-a8bc-5dcec0d1e38f"]}],"mendeley":{"formattedCitation":"[4]","plainTextFormattedCitation":"[4]","previouslyFormattedCitation":"[4]"},"properties":{"noteIndex":0},"schema":"https://github.com/citation-style-language/schema/raw/master/csl-citation.json"}</w:instrText>
      </w:r>
      <w:r>
        <w:fldChar w:fldCharType="separate"/>
      </w:r>
      <w:r w:rsidR="00962A8A" w:rsidRPr="00962A8A">
        <w:rPr>
          <w:noProof/>
        </w:rPr>
        <w:t>[4]</w:t>
      </w:r>
      <w:r>
        <w:fldChar w:fldCharType="end"/>
      </w:r>
      <w:r>
        <w:t xml:space="preserve">, </w:t>
      </w:r>
      <w:r w:rsidRPr="007A3FDF">
        <w:t>reads were filtered, paired ends were merged, and sequence tables were constructed.</w:t>
      </w:r>
    </w:p>
    <w:p w:rsidR="00C11D9B" w:rsidRDefault="00962A8A"/>
    <w:p w:rsidR="00962A8A" w:rsidRPr="00962A8A" w:rsidRDefault="003E19A9" w:rsidP="00962A8A">
      <w:pPr>
        <w:widowControl w:val="0"/>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00962A8A" w:rsidRPr="00962A8A">
        <w:rPr>
          <w:noProof/>
        </w:rPr>
        <w:t>1.</w:t>
      </w:r>
      <w:r w:rsidR="00962A8A" w:rsidRPr="00962A8A">
        <w:rPr>
          <w:noProof/>
        </w:rPr>
        <w:tab/>
        <w:t xml:space="preserve">Martin SJ, Highfield AC, Brettell L, Villalobos EM, Budge GE, Powell M, Nikaido S, Schroeder DC. 2012 Global honey bee viral landscape altered by a parasitic mite. </w:t>
      </w:r>
      <w:r w:rsidR="00962A8A" w:rsidRPr="00962A8A">
        <w:rPr>
          <w:i/>
          <w:iCs/>
          <w:noProof/>
        </w:rPr>
        <w:t>Science (80-. ).</w:t>
      </w:r>
      <w:r w:rsidR="00962A8A" w:rsidRPr="00962A8A">
        <w:rPr>
          <w:noProof/>
        </w:rPr>
        <w:t xml:space="preserve"> </w:t>
      </w:r>
      <w:r w:rsidR="00962A8A" w:rsidRPr="00962A8A">
        <w:rPr>
          <w:b/>
          <w:bCs/>
          <w:noProof/>
        </w:rPr>
        <w:t>336</w:t>
      </w:r>
      <w:r w:rsidR="00962A8A" w:rsidRPr="00962A8A">
        <w:rPr>
          <w:noProof/>
        </w:rPr>
        <w:t>, 1304–1306.</w:t>
      </w:r>
    </w:p>
    <w:p w:rsidR="00962A8A" w:rsidRPr="00962A8A" w:rsidRDefault="00962A8A" w:rsidP="00962A8A">
      <w:pPr>
        <w:widowControl w:val="0"/>
        <w:autoSpaceDE w:val="0"/>
        <w:autoSpaceDN w:val="0"/>
        <w:adjustRightInd w:val="0"/>
        <w:ind w:left="640" w:hanging="640"/>
        <w:rPr>
          <w:noProof/>
        </w:rPr>
      </w:pPr>
      <w:r w:rsidRPr="00962A8A">
        <w:rPr>
          <w:noProof/>
        </w:rPr>
        <w:t>2.</w:t>
      </w:r>
      <w:r w:rsidRPr="00962A8A">
        <w:rPr>
          <w:noProof/>
        </w:rPr>
        <w:tab/>
        <w:t xml:space="preserve">Highfield AC, El Nagar A, Mackinder LCM, Noël LMLJ, Hall MJ, Martin SJ, Schroeder DC. 2009 Deformed wing virus implicated in overwintering honeybee colony losses. </w:t>
      </w:r>
      <w:r w:rsidRPr="00962A8A">
        <w:rPr>
          <w:i/>
          <w:iCs/>
          <w:noProof/>
        </w:rPr>
        <w:t>Appl. Environ. Microbiol.</w:t>
      </w:r>
      <w:r w:rsidRPr="00962A8A">
        <w:rPr>
          <w:noProof/>
        </w:rPr>
        <w:t xml:space="preserve"> </w:t>
      </w:r>
      <w:r w:rsidRPr="00962A8A">
        <w:rPr>
          <w:b/>
          <w:bCs/>
          <w:noProof/>
        </w:rPr>
        <w:t>75</w:t>
      </w:r>
      <w:r w:rsidRPr="00962A8A">
        <w:rPr>
          <w:noProof/>
        </w:rPr>
        <w:t>, 7212–7220.</w:t>
      </w:r>
    </w:p>
    <w:p w:rsidR="00962A8A" w:rsidRPr="00962A8A" w:rsidRDefault="00962A8A" w:rsidP="00962A8A">
      <w:pPr>
        <w:widowControl w:val="0"/>
        <w:autoSpaceDE w:val="0"/>
        <w:autoSpaceDN w:val="0"/>
        <w:adjustRightInd w:val="0"/>
        <w:ind w:left="640" w:hanging="640"/>
        <w:rPr>
          <w:noProof/>
        </w:rPr>
      </w:pPr>
      <w:r w:rsidRPr="00962A8A">
        <w:rPr>
          <w:noProof/>
        </w:rPr>
        <w:t>3.</w:t>
      </w:r>
      <w:r w:rsidRPr="00962A8A">
        <w:rPr>
          <w:noProof/>
        </w:rPr>
        <w:tab/>
        <w:t xml:space="preserve">Caporaso JG </w:t>
      </w:r>
      <w:r w:rsidRPr="00962A8A">
        <w:rPr>
          <w:i/>
          <w:iCs/>
          <w:noProof/>
        </w:rPr>
        <w:t>et al.</w:t>
      </w:r>
      <w:r w:rsidRPr="00962A8A">
        <w:rPr>
          <w:noProof/>
        </w:rPr>
        <w:t xml:space="preserve"> 2010 correspondence QIIME allows analysis of high- throughput community sequencing data Intensity normalization improves color calling in SOLiD sequencing. </w:t>
      </w:r>
      <w:r w:rsidRPr="00962A8A">
        <w:rPr>
          <w:i/>
          <w:iCs/>
          <w:noProof/>
        </w:rPr>
        <w:t>Nat. Methods</w:t>
      </w:r>
      <w:r w:rsidRPr="00962A8A">
        <w:rPr>
          <w:noProof/>
        </w:rPr>
        <w:t xml:space="preserve"> </w:t>
      </w:r>
      <w:r w:rsidRPr="00962A8A">
        <w:rPr>
          <w:b/>
          <w:bCs/>
          <w:noProof/>
        </w:rPr>
        <w:t>7</w:t>
      </w:r>
      <w:r w:rsidRPr="00962A8A">
        <w:rPr>
          <w:noProof/>
        </w:rPr>
        <w:t>, 335–336. (doi:10.1038/nmeth0510-335)</w:t>
      </w:r>
    </w:p>
    <w:p w:rsidR="00962A8A" w:rsidRPr="00962A8A" w:rsidRDefault="00962A8A" w:rsidP="00962A8A">
      <w:pPr>
        <w:widowControl w:val="0"/>
        <w:autoSpaceDE w:val="0"/>
        <w:autoSpaceDN w:val="0"/>
        <w:adjustRightInd w:val="0"/>
        <w:ind w:left="640" w:hanging="640"/>
        <w:rPr>
          <w:noProof/>
        </w:rPr>
      </w:pPr>
      <w:r w:rsidRPr="00962A8A">
        <w:rPr>
          <w:noProof/>
        </w:rPr>
        <w:t>4.</w:t>
      </w:r>
      <w:r w:rsidRPr="00962A8A">
        <w:rPr>
          <w:noProof/>
        </w:rPr>
        <w:tab/>
        <w:t xml:space="preserve">Callahan BJ, McMurdie PJ, Rosen MJ, Han AW, Johnson AJA, Holmes SP. 2016 DADA2: High-resolution sample inference from Illumina amplicon data. </w:t>
      </w:r>
      <w:r w:rsidRPr="00962A8A">
        <w:rPr>
          <w:i/>
          <w:iCs/>
          <w:noProof/>
        </w:rPr>
        <w:t>Nat. Methods</w:t>
      </w:r>
      <w:r w:rsidRPr="00962A8A">
        <w:rPr>
          <w:noProof/>
        </w:rPr>
        <w:t xml:space="preserve"> </w:t>
      </w:r>
      <w:r w:rsidRPr="00962A8A">
        <w:rPr>
          <w:b/>
          <w:bCs/>
          <w:noProof/>
        </w:rPr>
        <w:t>13</w:t>
      </w:r>
      <w:r w:rsidRPr="00962A8A">
        <w:rPr>
          <w:noProof/>
        </w:rPr>
        <w:t>, 581–583. (doi:10.1038/nmeth.3869)</w:t>
      </w:r>
    </w:p>
    <w:p w:rsidR="00962A8A" w:rsidRPr="00962A8A" w:rsidRDefault="00962A8A" w:rsidP="00962A8A">
      <w:pPr>
        <w:widowControl w:val="0"/>
        <w:autoSpaceDE w:val="0"/>
        <w:autoSpaceDN w:val="0"/>
        <w:adjustRightInd w:val="0"/>
        <w:ind w:left="640" w:hanging="640"/>
        <w:rPr>
          <w:noProof/>
        </w:rPr>
      </w:pPr>
      <w:r w:rsidRPr="00962A8A">
        <w:rPr>
          <w:noProof/>
        </w:rPr>
        <w:t>5.</w:t>
      </w:r>
      <w:r w:rsidRPr="00962A8A">
        <w:rPr>
          <w:noProof/>
        </w:rPr>
        <w:tab/>
        <w:t xml:space="preserve">Yue C, Genersch E. 2005 RT-PCR analysis of Deformed Wing Virus in honeybees (Apis mellifera) and mites (Varroa destructor). </w:t>
      </w:r>
      <w:r w:rsidRPr="00962A8A">
        <w:rPr>
          <w:i/>
          <w:iCs/>
          <w:noProof/>
        </w:rPr>
        <w:t>J. Gen. Virol.</w:t>
      </w:r>
      <w:r w:rsidRPr="00962A8A">
        <w:rPr>
          <w:noProof/>
        </w:rPr>
        <w:t xml:space="preserve"> </w:t>
      </w:r>
      <w:r w:rsidRPr="00962A8A">
        <w:rPr>
          <w:b/>
          <w:bCs/>
          <w:noProof/>
        </w:rPr>
        <w:t>86</w:t>
      </w:r>
      <w:r w:rsidRPr="00962A8A">
        <w:rPr>
          <w:noProof/>
        </w:rPr>
        <w:t>, 3419–3424.</w:t>
      </w:r>
    </w:p>
    <w:p w:rsidR="003E19A9" w:rsidRDefault="003E19A9" w:rsidP="00962A8A">
      <w:pPr>
        <w:widowControl w:val="0"/>
        <w:autoSpaceDE w:val="0"/>
        <w:autoSpaceDN w:val="0"/>
        <w:adjustRightInd w:val="0"/>
        <w:ind w:left="640" w:hanging="640"/>
      </w:pPr>
      <w:r>
        <w:fldChar w:fldCharType="end"/>
      </w:r>
    </w:p>
    <w:p w:rsidR="00446F50" w:rsidRDefault="00446F50">
      <w:r>
        <w:br w:type="page"/>
      </w:r>
    </w:p>
    <w:p w:rsidR="00446F50" w:rsidRDefault="00446F50">
      <w:r>
        <w:lastRenderedPageBreak/>
        <w:t>Supplemental Figures</w:t>
      </w:r>
    </w:p>
    <w:p w:rsidR="00446F50" w:rsidRDefault="00446F50" w:rsidP="00446F50">
      <w:pPr>
        <w:spacing w:line="480" w:lineRule="auto"/>
      </w:pPr>
      <w:r>
        <w:t xml:space="preserve">Figure S1: Neighbor joining tree of 100bp fragment of DWV </w:t>
      </w:r>
      <w:proofErr w:type="spellStart"/>
      <w:r>
        <w:rPr>
          <w:i/>
        </w:rPr>
        <w:t>Rd</w:t>
      </w:r>
      <w:r w:rsidRPr="00F64CF3">
        <w:rPr>
          <w:i/>
        </w:rPr>
        <w:t>R</w:t>
      </w:r>
      <w:r>
        <w:rPr>
          <w:i/>
        </w:rPr>
        <w:t>p</w:t>
      </w:r>
      <w:proofErr w:type="spellEnd"/>
      <w:r>
        <w:t xml:space="preserve">.  Included are the 23 variants identified here, as well as the variants from Hawaii sequenced in Martin et al. (2012).   </w:t>
      </w:r>
    </w:p>
    <w:p w:rsidR="00446F50" w:rsidRDefault="00446F50" w:rsidP="00446F50">
      <w:pPr>
        <w:spacing w:line="480" w:lineRule="auto"/>
      </w:pPr>
      <w:r>
        <w:rPr>
          <w:noProof/>
        </w:rPr>
        <w:drawing>
          <wp:inline distT="0" distB="0" distL="0" distR="0" wp14:anchorId="5C08E672" wp14:editId="5C7D8618">
            <wp:extent cx="5943600" cy="48628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S1_tree.png"/>
                    <pic:cNvPicPr/>
                  </pic:nvPicPr>
                  <pic:blipFill>
                    <a:blip r:embed="rId5"/>
                    <a:stretch>
                      <a:fillRect/>
                    </a:stretch>
                  </pic:blipFill>
                  <pic:spPr>
                    <a:xfrm>
                      <a:off x="0" y="0"/>
                      <a:ext cx="5943600" cy="4862830"/>
                    </a:xfrm>
                    <a:prstGeom prst="rect">
                      <a:avLst/>
                    </a:prstGeom>
                  </pic:spPr>
                </pic:pic>
              </a:graphicData>
            </a:graphic>
          </wp:inline>
        </w:drawing>
      </w:r>
    </w:p>
    <w:p w:rsidR="00446F50" w:rsidRDefault="00446F50" w:rsidP="00446F50">
      <w:pPr>
        <w:spacing w:line="480" w:lineRule="auto"/>
      </w:pPr>
      <w:r>
        <w:br w:type="page"/>
      </w:r>
      <w:r>
        <w:lastRenderedPageBreak/>
        <w:t xml:space="preserve">Figure S2. Haplotype map for sequences obtained before and after the arrival of </w:t>
      </w:r>
      <w:r w:rsidRPr="0010499A">
        <w:rPr>
          <w:i/>
        </w:rPr>
        <w:t>Varroa</w:t>
      </w:r>
      <w:r>
        <w:t xml:space="preserve"> (both host species included). Note that one clade on the left side of the figure is virtually extinguished after varroa arrival.  </w:t>
      </w:r>
    </w:p>
    <w:p w:rsidR="00446F50" w:rsidRDefault="00446F50" w:rsidP="00446F50">
      <w:pPr>
        <w:spacing w:line="480" w:lineRule="auto"/>
      </w:pPr>
    </w:p>
    <w:p w:rsidR="00446F50" w:rsidRPr="007A3FDF" w:rsidRDefault="00446F50" w:rsidP="00446F50">
      <w:pPr>
        <w:spacing w:line="480" w:lineRule="auto"/>
      </w:pPr>
    </w:p>
    <w:p w:rsidR="00446F50" w:rsidRDefault="00446F50" w:rsidP="00446F50">
      <w:pPr>
        <w:spacing w:line="480" w:lineRule="auto"/>
      </w:pPr>
      <w:r>
        <w:rPr>
          <w:noProof/>
        </w:rPr>
        <w:drawing>
          <wp:inline distT="0" distB="0" distL="0" distR="0" wp14:anchorId="568E2906" wp14:editId="26C8B102">
            <wp:extent cx="5943600" cy="3294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pmap2.jpeg"/>
                    <pic:cNvPicPr/>
                  </pic:nvPicPr>
                  <pic:blipFill>
                    <a:blip r:embed="rId6"/>
                    <a:stretch>
                      <a:fillRect/>
                    </a:stretch>
                  </pic:blipFill>
                  <pic:spPr>
                    <a:xfrm>
                      <a:off x="0" y="0"/>
                      <a:ext cx="5943600" cy="3294380"/>
                    </a:xfrm>
                    <a:prstGeom prst="rect">
                      <a:avLst/>
                    </a:prstGeom>
                  </pic:spPr>
                </pic:pic>
              </a:graphicData>
            </a:graphic>
          </wp:inline>
        </w:drawing>
      </w:r>
    </w:p>
    <w:p w:rsidR="00446F50" w:rsidRDefault="00446F50" w:rsidP="00446F50">
      <w:pPr>
        <w:spacing w:line="480" w:lineRule="auto"/>
      </w:pPr>
    </w:p>
    <w:p w:rsidR="00446F50" w:rsidRPr="007A3FDF" w:rsidRDefault="00446F50" w:rsidP="00446F50">
      <w:pPr>
        <w:spacing w:line="480" w:lineRule="auto"/>
      </w:pPr>
    </w:p>
    <w:p w:rsidR="00446F50" w:rsidRDefault="00446F50" w:rsidP="00446F50">
      <w:pPr>
        <w:spacing w:line="480" w:lineRule="auto"/>
        <w:rPr>
          <w:highlight w:val="yellow"/>
        </w:rPr>
      </w:pPr>
    </w:p>
    <w:p w:rsidR="00446F50" w:rsidRDefault="00446F50" w:rsidP="00446F50">
      <w:pPr>
        <w:spacing w:line="480" w:lineRule="auto"/>
        <w:rPr>
          <w:highlight w:val="yellow"/>
        </w:rPr>
      </w:pPr>
    </w:p>
    <w:p w:rsidR="00446F50" w:rsidRDefault="00446F50" w:rsidP="00446F50">
      <w:pPr>
        <w:spacing w:line="480" w:lineRule="auto"/>
      </w:pPr>
    </w:p>
    <w:p w:rsidR="00446F50" w:rsidRDefault="00446F50" w:rsidP="00446F50">
      <w:pPr>
        <w:spacing w:line="480" w:lineRule="auto"/>
      </w:pPr>
      <w:r>
        <w:br w:type="page"/>
      </w:r>
    </w:p>
    <w:p w:rsidR="00446F50" w:rsidRPr="007A3FDF" w:rsidRDefault="00446F50" w:rsidP="00446F50">
      <w:pPr>
        <w:spacing w:line="480" w:lineRule="auto"/>
        <w:outlineLvl w:val="0"/>
      </w:pPr>
      <w:r>
        <w:lastRenderedPageBreak/>
        <w:t xml:space="preserve">Figure S3.  </w:t>
      </w:r>
      <w:r w:rsidRPr="007A3FDF">
        <w:t>The number of individuals positive for each of 23 detected variants, by sample type.  Variants are ordered by frequency in post-</w:t>
      </w:r>
      <w:r w:rsidRPr="00434BF4">
        <w:rPr>
          <w:i/>
        </w:rPr>
        <w:t>Varroa</w:t>
      </w:r>
      <w:r w:rsidRPr="007A3FDF">
        <w:t xml:space="preserve"> </w:t>
      </w:r>
      <w:r w:rsidRPr="007A3FDF">
        <w:rPr>
          <w:i/>
        </w:rPr>
        <w:t>Apis.</w:t>
      </w:r>
      <w:r w:rsidRPr="007A3FDF">
        <w:t xml:space="preserve">  </w:t>
      </w:r>
    </w:p>
    <w:p w:rsidR="00446F50" w:rsidRPr="007A3FDF" w:rsidRDefault="00446F50" w:rsidP="00446F50">
      <w:pPr>
        <w:spacing w:line="480" w:lineRule="auto"/>
      </w:pPr>
    </w:p>
    <w:p w:rsidR="00446F50" w:rsidRPr="007A3FDF" w:rsidRDefault="00446F50" w:rsidP="00446F50">
      <w:pPr>
        <w:spacing w:line="480" w:lineRule="auto"/>
      </w:pPr>
      <w:r>
        <w:rPr>
          <w:noProof/>
        </w:rPr>
        <w:drawing>
          <wp:inline distT="0" distB="0" distL="0" distR="0" wp14:anchorId="7C3B6DCB" wp14:editId="0EEFFD4F">
            <wp:extent cx="5943600" cy="3396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S3.png"/>
                    <pic:cNvPicPr/>
                  </pic:nvPicPr>
                  <pic:blipFill>
                    <a:blip r:embed="rId7"/>
                    <a:stretch>
                      <a:fillRect/>
                    </a:stretch>
                  </pic:blipFill>
                  <pic:spPr>
                    <a:xfrm>
                      <a:off x="0" y="0"/>
                      <a:ext cx="5943600" cy="3396615"/>
                    </a:xfrm>
                    <a:prstGeom prst="rect">
                      <a:avLst/>
                    </a:prstGeom>
                  </pic:spPr>
                </pic:pic>
              </a:graphicData>
            </a:graphic>
          </wp:inline>
        </w:drawing>
      </w:r>
    </w:p>
    <w:p w:rsidR="00446F50" w:rsidRPr="007A3FDF" w:rsidRDefault="00446F50" w:rsidP="00446F50">
      <w:pPr>
        <w:spacing w:line="480" w:lineRule="auto"/>
      </w:pPr>
    </w:p>
    <w:p w:rsidR="00446F50" w:rsidRPr="007A3FDF" w:rsidRDefault="00446F50" w:rsidP="00446F50">
      <w:pPr>
        <w:spacing w:line="480" w:lineRule="auto"/>
      </w:pPr>
    </w:p>
    <w:p w:rsidR="00446F50" w:rsidRPr="007A3FDF" w:rsidRDefault="00446F50" w:rsidP="00446F50">
      <w:pPr>
        <w:spacing w:line="480" w:lineRule="auto"/>
      </w:pPr>
    </w:p>
    <w:p w:rsidR="00446F50" w:rsidRDefault="00446F50" w:rsidP="00446F50">
      <w:pPr>
        <w:spacing w:line="480" w:lineRule="auto"/>
        <w:rPr>
          <w:highlight w:val="yellow"/>
        </w:rPr>
      </w:pPr>
      <w:r>
        <w:rPr>
          <w:highlight w:val="yellow"/>
        </w:rPr>
        <w:br w:type="page"/>
      </w:r>
    </w:p>
    <w:p w:rsidR="00446F50" w:rsidRPr="007A3FDF" w:rsidRDefault="00446F50" w:rsidP="00446F50">
      <w:pPr>
        <w:spacing w:line="480" w:lineRule="auto"/>
      </w:pPr>
      <w:r w:rsidRPr="005F2A0D">
        <w:lastRenderedPageBreak/>
        <w:t xml:space="preserve">Figure S4  Negative strand </w:t>
      </w:r>
      <w:proofErr w:type="spellStart"/>
      <w:r w:rsidRPr="005F2A0D">
        <w:t>rt</w:t>
      </w:r>
      <w:proofErr w:type="spellEnd"/>
      <w:r w:rsidRPr="005F2A0D">
        <w:t xml:space="preserve">-PCR for DWV. Tagged PCR was performed using tag and B23 primers on cDNA made with tag-F15 and B23 primers, as in </w:t>
      </w:r>
      <w:r w:rsidR="00962A8A">
        <w:t xml:space="preserve">ref </w:t>
      </w:r>
      <w:bookmarkStart w:id="0" w:name="_GoBack"/>
      <w:bookmarkEnd w:id="0"/>
      <w:r w:rsidR="00962A8A">
        <w:t>[5]</w:t>
      </w:r>
      <w:r w:rsidRPr="005F2A0D">
        <w:t>.  1: pool of n=</w:t>
      </w:r>
      <w:r>
        <w:t>12</w:t>
      </w:r>
      <w:r w:rsidRPr="005F2A0D">
        <w:t xml:space="preserve"> </w:t>
      </w:r>
      <w:r w:rsidRPr="005F2A0D">
        <w:rPr>
          <w:i/>
        </w:rPr>
        <w:t>Apis</w:t>
      </w:r>
      <w:r w:rsidRPr="005F2A0D">
        <w:t xml:space="preserve"> samples from California. 2:  Pool of n=</w:t>
      </w:r>
      <w:r>
        <w:t>20</w:t>
      </w:r>
      <w:r w:rsidRPr="005F2A0D">
        <w:t xml:space="preserve"> </w:t>
      </w:r>
      <w:r w:rsidRPr="005F2A0D">
        <w:rPr>
          <w:i/>
        </w:rPr>
        <w:t xml:space="preserve">Apis </w:t>
      </w:r>
      <w:r w:rsidRPr="005F2A0D">
        <w:t>post-</w:t>
      </w:r>
      <w:r w:rsidRPr="005F2A0D">
        <w:rPr>
          <w:i/>
        </w:rPr>
        <w:t>Varroa</w:t>
      </w:r>
      <w:r w:rsidRPr="005F2A0D">
        <w:t xml:space="preserve"> samples from Hawaii Volcanoes National Park. 3: First pool of n=</w:t>
      </w:r>
      <w:r>
        <w:t>20</w:t>
      </w:r>
      <w:r w:rsidRPr="005F2A0D">
        <w:t xml:space="preserve"> </w:t>
      </w:r>
      <w:r w:rsidRPr="005F2A0D">
        <w:rPr>
          <w:i/>
        </w:rPr>
        <w:t>Vespula</w:t>
      </w:r>
      <w:r w:rsidRPr="005F2A0D">
        <w:t xml:space="preserve"> samples from Hawaii Volcanoes National Park; 4: Second pool of n=</w:t>
      </w:r>
      <w:r>
        <w:t>20</w:t>
      </w:r>
      <w:r w:rsidRPr="005F2A0D">
        <w:t xml:space="preserve"> </w:t>
      </w:r>
      <w:r w:rsidRPr="005F2A0D">
        <w:rPr>
          <w:i/>
        </w:rPr>
        <w:t>Vespula</w:t>
      </w:r>
      <w:r w:rsidRPr="005F2A0D">
        <w:t xml:space="preserve"> samples from Hawaii Volcanoes National Park.  5: Pool of n=</w:t>
      </w:r>
      <w:r>
        <w:t>14</w:t>
      </w:r>
      <w:r w:rsidRPr="005F2A0D">
        <w:t xml:space="preserve"> </w:t>
      </w:r>
      <w:r w:rsidRPr="005F2A0D">
        <w:rPr>
          <w:i/>
        </w:rPr>
        <w:t>Apis</w:t>
      </w:r>
      <w:r w:rsidRPr="005F2A0D">
        <w:t xml:space="preserve"> pre-</w:t>
      </w:r>
      <w:r w:rsidRPr="005F2A0D">
        <w:rPr>
          <w:i/>
        </w:rPr>
        <w:t>Varroa</w:t>
      </w:r>
      <w:r w:rsidRPr="005F2A0D">
        <w:t xml:space="preserve"> samples; NTC: no template control.  </w:t>
      </w:r>
      <w:r>
        <w:t>PCR products from samples 1-3 were</w:t>
      </w:r>
      <w:r w:rsidRPr="005F2A0D">
        <w:t xml:space="preserve"> sequenced to confirm DWV sequence identity.</w:t>
      </w:r>
      <w:r w:rsidRPr="007A3FDF">
        <w:t xml:space="preserve">  </w:t>
      </w:r>
    </w:p>
    <w:p w:rsidR="00446F50" w:rsidRPr="007A3FDF" w:rsidRDefault="00446F50" w:rsidP="00446F50">
      <w:pPr>
        <w:spacing w:line="480" w:lineRule="auto"/>
      </w:pPr>
      <w:r w:rsidRPr="007A3FDF">
        <w:rPr>
          <w:noProof/>
        </w:rPr>
        <w:drawing>
          <wp:inline distT="0" distB="0" distL="0" distR="0" wp14:anchorId="27D57D38" wp14:editId="443185B1">
            <wp:extent cx="4405630" cy="2733675"/>
            <wp:effectExtent l="0" t="0" r="0" b="9525"/>
            <wp:docPr id="11" name="Picture 11" descr="R_analysis/Fig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_analysis/Figure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5630" cy="2733675"/>
                    </a:xfrm>
                    <a:prstGeom prst="rect">
                      <a:avLst/>
                    </a:prstGeom>
                    <a:noFill/>
                    <a:ln>
                      <a:noFill/>
                    </a:ln>
                  </pic:spPr>
                </pic:pic>
              </a:graphicData>
            </a:graphic>
          </wp:inline>
        </w:drawing>
      </w:r>
    </w:p>
    <w:p w:rsidR="00446F50" w:rsidRDefault="00446F50" w:rsidP="00446F50">
      <w:pPr>
        <w:spacing w:line="480" w:lineRule="auto"/>
      </w:pPr>
    </w:p>
    <w:p w:rsidR="00446F50" w:rsidRDefault="00446F50" w:rsidP="00446F50">
      <w:pPr>
        <w:spacing w:line="480" w:lineRule="auto"/>
        <w:outlineLvl w:val="0"/>
      </w:pPr>
    </w:p>
    <w:p w:rsidR="00446F50" w:rsidRDefault="00446F50" w:rsidP="00446F50">
      <w:r>
        <w:br w:type="page"/>
      </w:r>
    </w:p>
    <w:p w:rsidR="00446F50" w:rsidRDefault="00446F50" w:rsidP="00446F50">
      <w:pPr>
        <w:spacing w:line="480" w:lineRule="auto"/>
        <w:outlineLvl w:val="0"/>
      </w:pPr>
      <w:r>
        <w:lastRenderedPageBreak/>
        <w:t>Table S1.  Primers used in this study (excel sheet)</w:t>
      </w:r>
    </w:p>
    <w:p w:rsidR="00446F50" w:rsidRDefault="00446F50" w:rsidP="00446F50">
      <w:pPr>
        <w:spacing w:line="480" w:lineRule="auto"/>
      </w:pPr>
    </w:p>
    <w:p w:rsidR="00446F50" w:rsidRDefault="00446F50" w:rsidP="00446F50">
      <w:pPr>
        <w:outlineLvl w:val="0"/>
      </w:pPr>
      <w:r>
        <w:t xml:space="preserve">Table S2.  Alternative analyses for </w:t>
      </w:r>
      <w:r w:rsidR="00962A8A">
        <w:t xml:space="preserve">pathogen </w:t>
      </w:r>
      <w:r>
        <w:t>community compositional changes</w:t>
      </w:r>
      <w:r w:rsidR="00962A8A">
        <w:t xml:space="preserve"> before and after </w:t>
      </w:r>
      <w:r w:rsidR="00962A8A" w:rsidRPr="00962A8A">
        <w:rPr>
          <w:i/>
        </w:rPr>
        <w:t>Varroa</w:t>
      </w:r>
      <w:r w:rsidR="00962A8A">
        <w:t xml:space="preserve"> arrival in </w:t>
      </w:r>
      <w:r w:rsidR="00962A8A" w:rsidRPr="00962A8A">
        <w:rPr>
          <w:i/>
        </w:rPr>
        <w:t>Vespula</w:t>
      </w:r>
      <w:r w:rsidR="00962A8A">
        <w:t xml:space="preserve"> samples</w:t>
      </w:r>
      <w:r>
        <w:t xml:space="preserve">.  We used several different methods to account for samples without detectable levels of pathogens (negatives) in our permutational MANOVA analyses.  In Method 1, negative samples were coded as half of the minimum value of the pathogen in that species, representing the lowest detectable limit of that assay.  Euclidean distances were used in </w:t>
      </w:r>
      <w:proofErr w:type="spellStart"/>
      <w:r>
        <w:t>adonis</w:t>
      </w:r>
      <w:proofErr w:type="spellEnd"/>
      <w:r>
        <w:t>() following log transformation of the data. In Method 2, negatives were coded as zero, preventing log transformation.  We then used Bray Curtis differences in the permutational MANOVA.  In Method 3, we coded negatives as in Method 1, without log transformation, using Bray-Curtis differences in the permutational MANOVA.</w:t>
      </w:r>
    </w:p>
    <w:p w:rsidR="00446F50" w:rsidRPr="00336D32" w:rsidRDefault="00446F50" w:rsidP="00446F50">
      <w:pPr>
        <w:spacing w:line="480" w:lineRule="auto"/>
        <w:outlineLvl w:val="0"/>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682"/>
        <w:gridCol w:w="927"/>
        <w:gridCol w:w="416"/>
        <w:gridCol w:w="866"/>
        <w:gridCol w:w="1056"/>
        <w:gridCol w:w="911"/>
        <w:gridCol w:w="566"/>
        <w:gridCol w:w="666"/>
      </w:tblGrid>
      <w:tr w:rsidR="00446F50" w:rsidRPr="00336D32" w:rsidTr="00226070">
        <w:trPr>
          <w:cantSplit/>
          <w:trHeight w:hRule="exact" w:val="302"/>
        </w:trPr>
        <w:tc>
          <w:tcPr>
            <w:tcW w:w="0" w:type="auto"/>
            <w:vMerge w:val="restart"/>
            <w:textDirection w:val="btLr"/>
            <w:vAlign w:val="center"/>
          </w:tcPr>
          <w:p w:rsidR="00446F50" w:rsidRPr="0010499A" w:rsidRDefault="00446F50" w:rsidP="00226070">
            <w:pPr>
              <w:spacing w:line="480" w:lineRule="auto"/>
              <w:ind w:left="113" w:right="113"/>
              <w:jc w:val="center"/>
              <w:rPr>
                <w:b/>
                <w:i/>
                <w:color w:val="000000" w:themeColor="text1"/>
              </w:rPr>
            </w:pPr>
            <w:r w:rsidRPr="0010499A">
              <w:rPr>
                <w:b/>
                <w:i/>
                <w:color w:val="000000" w:themeColor="text1"/>
              </w:rPr>
              <w:t>Vespula</w:t>
            </w:r>
          </w:p>
        </w:tc>
        <w:tc>
          <w:tcPr>
            <w:tcW w:w="0" w:type="auto"/>
            <w:gridSpan w:val="2"/>
            <w:shd w:val="clear" w:color="auto" w:fill="auto"/>
          </w:tcPr>
          <w:p w:rsidR="00446F50" w:rsidRPr="00336D32" w:rsidRDefault="00446F50" w:rsidP="00226070">
            <w:pPr>
              <w:spacing w:line="480" w:lineRule="auto"/>
              <w:rPr>
                <w:b/>
                <w:color w:val="000000" w:themeColor="text1"/>
              </w:rPr>
            </w:pPr>
          </w:p>
        </w:tc>
        <w:tc>
          <w:tcPr>
            <w:tcW w:w="0" w:type="auto"/>
            <w:tcBorders>
              <w:bottom w:val="single" w:sz="4" w:space="0" w:color="000000"/>
            </w:tcBorders>
            <w:shd w:val="clear" w:color="auto" w:fill="auto"/>
          </w:tcPr>
          <w:p w:rsidR="00446F50" w:rsidRPr="00336D32" w:rsidRDefault="00446F50" w:rsidP="00226070">
            <w:pPr>
              <w:spacing w:line="480" w:lineRule="auto"/>
              <w:jc w:val="center"/>
              <w:rPr>
                <w:b/>
                <w:color w:val="000000" w:themeColor="text1"/>
              </w:rPr>
            </w:pPr>
            <w:proofErr w:type="spellStart"/>
            <w:r w:rsidRPr="00336D32">
              <w:rPr>
                <w:b/>
                <w:color w:val="000000" w:themeColor="text1"/>
              </w:rPr>
              <w:t>df</w:t>
            </w:r>
            <w:proofErr w:type="spellEnd"/>
          </w:p>
        </w:tc>
        <w:tc>
          <w:tcPr>
            <w:tcW w:w="0" w:type="auto"/>
            <w:tcBorders>
              <w:bottom w:val="single" w:sz="4" w:space="0" w:color="000000"/>
            </w:tcBorders>
            <w:shd w:val="clear" w:color="auto" w:fill="auto"/>
          </w:tcPr>
          <w:p w:rsidR="00446F50" w:rsidRPr="00336D32" w:rsidRDefault="00446F50" w:rsidP="00226070">
            <w:pPr>
              <w:spacing w:line="480" w:lineRule="auto"/>
              <w:jc w:val="center"/>
              <w:rPr>
                <w:b/>
                <w:color w:val="000000" w:themeColor="text1"/>
              </w:rPr>
            </w:pPr>
            <w:r w:rsidRPr="00336D32">
              <w:rPr>
                <w:b/>
                <w:color w:val="000000" w:themeColor="text1"/>
              </w:rPr>
              <w:t>SS</w:t>
            </w:r>
          </w:p>
        </w:tc>
        <w:tc>
          <w:tcPr>
            <w:tcW w:w="0" w:type="auto"/>
            <w:tcBorders>
              <w:bottom w:val="single" w:sz="4" w:space="0" w:color="000000"/>
            </w:tcBorders>
            <w:shd w:val="clear" w:color="auto" w:fill="auto"/>
          </w:tcPr>
          <w:p w:rsidR="00446F50" w:rsidRPr="00336D32" w:rsidRDefault="00446F50" w:rsidP="00226070">
            <w:pPr>
              <w:spacing w:line="480" w:lineRule="auto"/>
              <w:jc w:val="center"/>
              <w:rPr>
                <w:b/>
                <w:color w:val="000000" w:themeColor="text1"/>
              </w:rPr>
            </w:pPr>
            <w:r w:rsidRPr="00336D32">
              <w:rPr>
                <w:b/>
                <w:color w:val="000000" w:themeColor="text1"/>
              </w:rPr>
              <w:t xml:space="preserve">Mean </w:t>
            </w:r>
            <w:proofErr w:type="spellStart"/>
            <w:r w:rsidRPr="00336D32">
              <w:rPr>
                <w:b/>
                <w:color w:val="000000" w:themeColor="text1"/>
              </w:rPr>
              <w:t>Sqs</w:t>
            </w:r>
            <w:proofErr w:type="spellEnd"/>
          </w:p>
        </w:tc>
        <w:tc>
          <w:tcPr>
            <w:tcW w:w="0" w:type="auto"/>
            <w:tcBorders>
              <w:bottom w:val="single" w:sz="4" w:space="0" w:color="000000"/>
            </w:tcBorders>
            <w:shd w:val="clear" w:color="auto" w:fill="auto"/>
          </w:tcPr>
          <w:p w:rsidR="00446F50" w:rsidRPr="00336D32" w:rsidRDefault="00446F50" w:rsidP="00226070">
            <w:pPr>
              <w:spacing w:line="480" w:lineRule="auto"/>
              <w:jc w:val="center"/>
              <w:rPr>
                <w:b/>
                <w:color w:val="000000" w:themeColor="text1"/>
                <w:vertAlign w:val="superscript"/>
              </w:rPr>
            </w:pPr>
            <w:proofErr w:type="spellStart"/>
            <w:r w:rsidRPr="00336D32">
              <w:rPr>
                <w:b/>
                <w:color w:val="000000" w:themeColor="text1"/>
              </w:rPr>
              <w:t>F.model</w:t>
            </w:r>
            <w:proofErr w:type="spellEnd"/>
          </w:p>
        </w:tc>
        <w:tc>
          <w:tcPr>
            <w:tcW w:w="0" w:type="auto"/>
            <w:tcBorders>
              <w:bottom w:val="single" w:sz="4" w:space="0" w:color="000000"/>
            </w:tcBorders>
            <w:shd w:val="clear" w:color="auto" w:fill="auto"/>
          </w:tcPr>
          <w:p w:rsidR="00446F50" w:rsidRPr="00336D32" w:rsidRDefault="00446F50" w:rsidP="00226070">
            <w:pPr>
              <w:spacing w:line="480" w:lineRule="auto"/>
              <w:jc w:val="center"/>
              <w:rPr>
                <w:b/>
                <w:i/>
                <w:color w:val="000000" w:themeColor="text1"/>
              </w:rPr>
            </w:pPr>
            <w:r w:rsidRPr="00336D32">
              <w:rPr>
                <w:b/>
                <w:color w:val="000000" w:themeColor="text1"/>
              </w:rPr>
              <w:t>R</w:t>
            </w:r>
            <w:r w:rsidRPr="00336D32">
              <w:rPr>
                <w:b/>
                <w:color w:val="000000" w:themeColor="text1"/>
                <w:vertAlign w:val="superscript"/>
              </w:rPr>
              <w:t>2</w:t>
            </w:r>
          </w:p>
        </w:tc>
        <w:tc>
          <w:tcPr>
            <w:tcW w:w="0" w:type="auto"/>
            <w:tcBorders>
              <w:bottom w:val="single" w:sz="4" w:space="0" w:color="000000"/>
            </w:tcBorders>
            <w:shd w:val="clear" w:color="auto" w:fill="auto"/>
          </w:tcPr>
          <w:p w:rsidR="00446F50" w:rsidRPr="00336D32" w:rsidRDefault="00446F50" w:rsidP="00226070">
            <w:pPr>
              <w:spacing w:line="480" w:lineRule="auto"/>
              <w:jc w:val="center"/>
              <w:rPr>
                <w:b/>
                <w:color w:val="000000" w:themeColor="text1"/>
              </w:rPr>
            </w:pPr>
            <w:r w:rsidRPr="00336D32">
              <w:rPr>
                <w:b/>
                <w:i/>
                <w:color w:val="000000" w:themeColor="text1"/>
              </w:rPr>
              <w:t>P</w:t>
            </w:r>
          </w:p>
        </w:tc>
      </w:tr>
      <w:tr w:rsidR="00446F50" w:rsidRPr="00336D32" w:rsidTr="00226070">
        <w:trPr>
          <w:cantSplit/>
          <w:trHeight w:hRule="exact" w:val="302"/>
        </w:trPr>
        <w:tc>
          <w:tcPr>
            <w:tcW w:w="0" w:type="auto"/>
            <w:vMerge/>
            <w:textDirection w:val="btLr"/>
          </w:tcPr>
          <w:p w:rsidR="00446F50" w:rsidRPr="00336D32" w:rsidRDefault="00446F50" w:rsidP="00226070">
            <w:pPr>
              <w:spacing w:line="480" w:lineRule="auto"/>
              <w:jc w:val="center"/>
              <w:rPr>
                <w:color w:val="000000" w:themeColor="text1"/>
              </w:rPr>
            </w:pPr>
          </w:p>
        </w:tc>
        <w:tc>
          <w:tcPr>
            <w:tcW w:w="0" w:type="auto"/>
            <w:vMerge w:val="restart"/>
            <w:shd w:val="clear" w:color="auto" w:fill="auto"/>
            <w:textDirection w:val="btLr"/>
          </w:tcPr>
          <w:p w:rsidR="00446F50" w:rsidRPr="00336D32" w:rsidRDefault="00446F50" w:rsidP="00226070">
            <w:pPr>
              <w:spacing w:line="480" w:lineRule="auto"/>
              <w:jc w:val="center"/>
              <w:rPr>
                <w:color w:val="000000" w:themeColor="text1"/>
              </w:rPr>
            </w:pPr>
            <w:r w:rsidRPr="00336D32">
              <w:rPr>
                <w:color w:val="000000" w:themeColor="text1"/>
              </w:rPr>
              <w:t>Method 1</w:t>
            </w:r>
          </w:p>
        </w:tc>
        <w:tc>
          <w:tcPr>
            <w:tcW w:w="0" w:type="auto"/>
            <w:tcBorders>
              <w:top w:val="single" w:sz="4" w:space="0" w:color="000000"/>
            </w:tcBorders>
            <w:shd w:val="clear" w:color="auto" w:fill="auto"/>
          </w:tcPr>
          <w:p w:rsidR="00446F50" w:rsidRPr="00336D32" w:rsidRDefault="00446F50" w:rsidP="00226070">
            <w:pPr>
              <w:spacing w:line="480" w:lineRule="auto"/>
              <w:rPr>
                <w:color w:val="000000" w:themeColor="text1"/>
              </w:rPr>
            </w:pPr>
            <w:r w:rsidRPr="00336D32">
              <w:rPr>
                <w:color w:val="000000" w:themeColor="text1"/>
              </w:rPr>
              <w:t>age</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104.91</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Pr>
                <w:color w:val="000000" w:themeColor="text1"/>
              </w:rPr>
              <w:t>104.91</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4.98</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0.0</w:t>
            </w:r>
            <w:r>
              <w:rPr>
                <w:color w:val="000000" w:themeColor="text1"/>
              </w:rPr>
              <w:t>8</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0.001</w:t>
            </w:r>
          </w:p>
        </w:tc>
      </w:tr>
      <w:tr w:rsidR="00446F50" w:rsidRPr="00336D32" w:rsidTr="00226070">
        <w:trPr>
          <w:cantSplit/>
          <w:trHeight w:hRule="exact" w:val="302"/>
        </w:trPr>
        <w:tc>
          <w:tcPr>
            <w:tcW w:w="0" w:type="auto"/>
            <w:vMerge/>
          </w:tcPr>
          <w:p w:rsidR="00446F50" w:rsidRPr="00336D32" w:rsidRDefault="00446F50" w:rsidP="00226070">
            <w:pPr>
              <w:spacing w:line="480" w:lineRule="auto"/>
              <w:rPr>
                <w:color w:val="000000" w:themeColor="text1"/>
              </w:rPr>
            </w:pPr>
          </w:p>
        </w:tc>
        <w:tc>
          <w:tcPr>
            <w:tcW w:w="0" w:type="auto"/>
            <w:vMerge/>
            <w:shd w:val="clear" w:color="auto" w:fill="auto"/>
          </w:tcPr>
          <w:p w:rsidR="00446F50" w:rsidRPr="00336D32" w:rsidRDefault="00446F50" w:rsidP="00226070">
            <w:pPr>
              <w:spacing w:line="480" w:lineRule="auto"/>
              <w:rPr>
                <w:color w:val="000000" w:themeColor="text1"/>
              </w:rPr>
            </w:pPr>
          </w:p>
        </w:tc>
        <w:tc>
          <w:tcPr>
            <w:tcW w:w="0" w:type="auto"/>
            <w:shd w:val="clear" w:color="auto" w:fill="auto"/>
          </w:tcPr>
          <w:p w:rsidR="00446F50" w:rsidRPr="00336D32" w:rsidRDefault="00446F50" w:rsidP="00226070">
            <w:pPr>
              <w:spacing w:line="480" w:lineRule="auto"/>
              <w:rPr>
                <w:color w:val="000000" w:themeColor="text1"/>
              </w:rPr>
            </w:pPr>
            <w:r w:rsidRPr="00336D32">
              <w:rPr>
                <w:color w:val="000000" w:themeColor="text1"/>
              </w:rPr>
              <w:t>colony</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18</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854.22</w:t>
            </w:r>
          </w:p>
        </w:tc>
        <w:tc>
          <w:tcPr>
            <w:tcW w:w="0" w:type="auto"/>
            <w:shd w:val="clear" w:color="auto" w:fill="auto"/>
          </w:tcPr>
          <w:p w:rsidR="00446F50" w:rsidRPr="00336D32" w:rsidRDefault="00446F50" w:rsidP="00226070">
            <w:pPr>
              <w:spacing w:line="480" w:lineRule="auto"/>
              <w:jc w:val="center"/>
              <w:rPr>
                <w:color w:val="000000" w:themeColor="text1"/>
              </w:rPr>
            </w:pPr>
            <w:r>
              <w:rPr>
                <w:color w:val="000000" w:themeColor="text1"/>
              </w:rPr>
              <w:t>47.4</w:t>
            </w:r>
            <w:r w:rsidRPr="00336D32">
              <w:rPr>
                <w:color w:val="000000" w:themeColor="text1"/>
              </w:rPr>
              <w:t>6</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2.26</w:t>
            </w:r>
          </w:p>
        </w:tc>
        <w:tc>
          <w:tcPr>
            <w:tcW w:w="0" w:type="auto"/>
            <w:shd w:val="clear" w:color="auto" w:fill="auto"/>
          </w:tcPr>
          <w:p w:rsidR="00446F50" w:rsidRPr="00336D32" w:rsidRDefault="00446F50" w:rsidP="00226070">
            <w:pPr>
              <w:spacing w:line="480" w:lineRule="auto"/>
              <w:jc w:val="center"/>
              <w:rPr>
                <w:color w:val="000000" w:themeColor="text1"/>
              </w:rPr>
            </w:pPr>
            <w:r>
              <w:rPr>
                <w:color w:val="000000" w:themeColor="text1"/>
              </w:rPr>
              <w:t>0.62</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0.002</w:t>
            </w:r>
          </w:p>
        </w:tc>
      </w:tr>
      <w:tr w:rsidR="00446F50" w:rsidRPr="00336D32" w:rsidTr="00226070">
        <w:trPr>
          <w:cantSplit/>
          <w:trHeight w:hRule="exact" w:val="302"/>
        </w:trPr>
        <w:tc>
          <w:tcPr>
            <w:tcW w:w="0" w:type="auto"/>
            <w:vMerge/>
          </w:tcPr>
          <w:p w:rsidR="00446F50" w:rsidRPr="00336D32" w:rsidRDefault="00446F50" w:rsidP="00226070">
            <w:pPr>
              <w:spacing w:line="480" w:lineRule="auto"/>
              <w:rPr>
                <w:color w:val="000000" w:themeColor="text1"/>
              </w:rPr>
            </w:pPr>
          </w:p>
        </w:tc>
        <w:tc>
          <w:tcPr>
            <w:tcW w:w="0" w:type="auto"/>
            <w:vMerge/>
            <w:shd w:val="clear" w:color="auto" w:fill="auto"/>
          </w:tcPr>
          <w:p w:rsidR="00446F50" w:rsidRPr="00336D32" w:rsidRDefault="00446F50" w:rsidP="00226070">
            <w:pPr>
              <w:spacing w:line="480" w:lineRule="auto"/>
              <w:rPr>
                <w:color w:val="000000" w:themeColor="text1"/>
              </w:rPr>
            </w:pPr>
          </w:p>
        </w:tc>
        <w:tc>
          <w:tcPr>
            <w:tcW w:w="0" w:type="auto"/>
            <w:shd w:val="clear" w:color="auto" w:fill="auto"/>
          </w:tcPr>
          <w:p w:rsidR="00446F50" w:rsidRPr="00336D32" w:rsidRDefault="00446F50" w:rsidP="00226070">
            <w:pPr>
              <w:spacing w:line="480" w:lineRule="auto"/>
              <w:rPr>
                <w:color w:val="000000" w:themeColor="text1"/>
              </w:rPr>
            </w:pPr>
            <w:r w:rsidRPr="00336D32">
              <w:rPr>
                <w:color w:val="000000" w:themeColor="text1"/>
              </w:rPr>
              <w:t>residuals</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20</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421.33</w:t>
            </w:r>
          </w:p>
        </w:tc>
        <w:tc>
          <w:tcPr>
            <w:tcW w:w="0" w:type="auto"/>
            <w:shd w:val="clear" w:color="auto" w:fill="auto"/>
          </w:tcPr>
          <w:p w:rsidR="00446F50" w:rsidRPr="00336D32" w:rsidRDefault="00446F50" w:rsidP="00226070">
            <w:pPr>
              <w:spacing w:line="480" w:lineRule="auto"/>
              <w:jc w:val="center"/>
              <w:rPr>
                <w:color w:val="000000" w:themeColor="text1"/>
              </w:rPr>
            </w:pPr>
            <w:r>
              <w:rPr>
                <w:color w:val="000000" w:themeColor="text1"/>
              </w:rPr>
              <w:t>21.07</w:t>
            </w:r>
          </w:p>
        </w:tc>
        <w:tc>
          <w:tcPr>
            <w:tcW w:w="0" w:type="auto"/>
            <w:shd w:val="clear" w:color="auto" w:fill="auto"/>
          </w:tcPr>
          <w:p w:rsidR="00446F50" w:rsidRPr="00336D32" w:rsidRDefault="00446F50" w:rsidP="00226070">
            <w:pPr>
              <w:spacing w:line="480" w:lineRule="auto"/>
              <w:jc w:val="center"/>
              <w:rPr>
                <w:color w:val="000000" w:themeColor="text1"/>
              </w:rPr>
            </w:pPr>
          </w:p>
        </w:tc>
        <w:tc>
          <w:tcPr>
            <w:tcW w:w="0" w:type="auto"/>
            <w:shd w:val="clear" w:color="auto" w:fill="auto"/>
          </w:tcPr>
          <w:p w:rsidR="00446F50" w:rsidRPr="00336D32" w:rsidRDefault="00446F50" w:rsidP="00226070">
            <w:pPr>
              <w:spacing w:line="480" w:lineRule="auto"/>
              <w:jc w:val="center"/>
              <w:rPr>
                <w:color w:val="000000" w:themeColor="text1"/>
              </w:rPr>
            </w:pPr>
            <w:r>
              <w:rPr>
                <w:color w:val="000000" w:themeColor="text1"/>
              </w:rPr>
              <w:t>0.31</w:t>
            </w:r>
          </w:p>
        </w:tc>
        <w:tc>
          <w:tcPr>
            <w:tcW w:w="0" w:type="auto"/>
            <w:shd w:val="clear" w:color="auto" w:fill="auto"/>
          </w:tcPr>
          <w:p w:rsidR="00446F50" w:rsidRPr="00336D32" w:rsidRDefault="00446F50" w:rsidP="00226070">
            <w:pPr>
              <w:spacing w:line="480" w:lineRule="auto"/>
              <w:jc w:val="center"/>
              <w:rPr>
                <w:color w:val="000000" w:themeColor="text1"/>
              </w:rPr>
            </w:pPr>
          </w:p>
        </w:tc>
      </w:tr>
      <w:tr w:rsidR="00446F50" w:rsidRPr="00336D32" w:rsidTr="00226070">
        <w:trPr>
          <w:cantSplit/>
          <w:trHeight w:hRule="exact" w:val="302"/>
        </w:trPr>
        <w:tc>
          <w:tcPr>
            <w:tcW w:w="0" w:type="auto"/>
            <w:vMerge/>
          </w:tcPr>
          <w:p w:rsidR="00446F50" w:rsidRPr="00336D32" w:rsidRDefault="00446F50" w:rsidP="00226070">
            <w:pPr>
              <w:spacing w:line="480" w:lineRule="auto"/>
              <w:rPr>
                <w:color w:val="000000" w:themeColor="text1"/>
              </w:rPr>
            </w:pPr>
          </w:p>
        </w:tc>
        <w:tc>
          <w:tcPr>
            <w:tcW w:w="0" w:type="auto"/>
            <w:vMerge/>
            <w:tcBorders>
              <w:bottom w:val="single" w:sz="4" w:space="0" w:color="000000"/>
            </w:tcBorders>
            <w:shd w:val="clear" w:color="auto" w:fill="auto"/>
          </w:tcPr>
          <w:p w:rsidR="00446F50" w:rsidRPr="00336D32" w:rsidRDefault="00446F50" w:rsidP="00226070">
            <w:pPr>
              <w:spacing w:line="480" w:lineRule="auto"/>
              <w:rPr>
                <w:color w:val="000000" w:themeColor="text1"/>
              </w:rPr>
            </w:pPr>
          </w:p>
        </w:tc>
        <w:tc>
          <w:tcPr>
            <w:tcW w:w="0" w:type="auto"/>
            <w:tcBorders>
              <w:bottom w:val="single" w:sz="4" w:space="0" w:color="000000"/>
            </w:tcBorders>
            <w:shd w:val="clear" w:color="auto" w:fill="auto"/>
          </w:tcPr>
          <w:p w:rsidR="00446F50" w:rsidRPr="00336D32" w:rsidRDefault="00446F50" w:rsidP="00226070">
            <w:pPr>
              <w:spacing w:line="480" w:lineRule="auto"/>
              <w:rPr>
                <w:color w:val="000000" w:themeColor="text1"/>
              </w:rPr>
            </w:pPr>
            <w:r w:rsidRPr="00336D32">
              <w:rPr>
                <w:color w:val="000000" w:themeColor="text1"/>
              </w:rPr>
              <w:t>total</w:t>
            </w: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39</w:t>
            </w: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1380.46</w:t>
            </w: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w:t>
            </w: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p>
        </w:tc>
      </w:tr>
      <w:tr w:rsidR="00446F50" w:rsidRPr="00336D32" w:rsidTr="00226070">
        <w:trPr>
          <w:cantSplit/>
          <w:trHeight w:hRule="exact" w:val="302"/>
        </w:trPr>
        <w:tc>
          <w:tcPr>
            <w:tcW w:w="0" w:type="auto"/>
            <w:vMerge/>
            <w:textDirection w:val="btLr"/>
          </w:tcPr>
          <w:p w:rsidR="00446F50" w:rsidRPr="00336D32" w:rsidRDefault="00446F50" w:rsidP="00226070">
            <w:pPr>
              <w:spacing w:line="480" w:lineRule="auto"/>
              <w:ind w:left="113" w:right="113"/>
              <w:jc w:val="center"/>
              <w:rPr>
                <w:color w:val="000000" w:themeColor="text1"/>
              </w:rPr>
            </w:pPr>
          </w:p>
        </w:tc>
        <w:tc>
          <w:tcPr>
            <w:tcW w:w="0" w:type="auto"/>
            <w:vMerge w:val="restart"/>
            <w:tcBorders>
              <w:top w:val="single" w:sz="4" w:space="0" w:color="000000"/>
            </w:tcBorders>
            <w:shd w:val="clear" w:color="auto" w:fill="auto"/>
            <w:textDirection w:val="btLr"/>
          </w:tcPr>
          <w:p w:rsidR="00446F50" w:rsidRPr="00336D32" w:rsidRDefault="00446F50" w:rsidP="00226070">
            <w:pPr>
              <w:spacing w:line="480" w:lineRule="auto"/>
              <w:ind w:left="113" w:right="113"/>
              <w:jc w:val="center"/>
              <w:rPr>
                <w:color w:val="000000" w:themeColor="text1"/>
              </w:rPr>
            </w:pPr>
            <w:r w:rsidRPr="00336D32">
              <w:rPr>
                <w:color w:val="000000" w:themeColor="text1"/>
              </w:rPr>
              <w:t>Method 2</w:t>
            </w:r>
          </w:p>
        </w:tc>
        <w:tc>
          <w:tcPr>
            <w:tcW w:w="0" w:type="auto"/>
            <w:tcBorders>
              <w:top w:val="single" w:sz="4" w:space="0" w:color="000000"/>
            </w:tcBorders>
            <w:shd w:val="clear" w:color="auto" w:fill="auto"/>
          </w:tcPr>
          <w:p w:rsidR="00446F50" w:rsidRPr="00336D32" w:rsidRDefault="00446F50" w:rsidP="00226070">
            <w:pPr>
              <w:spacing w:line="480" w:lineRule="auto"/>
              <w:rPr>
                <w:color w:val="000000" w:themeColor="text1"/>
              </w:rPr>
            </w:pPr>
            <w:r w:rsidRPr="00336D32">
              <w:rPr>
                <w:color w:val="000000" w:themeColor="text1"/>
              </w:rPr>
              <w:t>age</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0.66</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0.66</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2.89</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0.06</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0.024</w:t>
            </w:r>
          </w:p>
        </w:tc>
      </w:tr>
      <w:tr w:rsidR="00446F50" w:rsidRPr="00336D32" w:rsidTr="00226070">
        <w:trPr>
          <w:cantSplit/>
          <w:trHeight w:hRule="exact" w:val="302"/>
        </w:trPr>
        <w:tc>
          <w:tcPr>
            <w:tcW w:w="0" w:type="auto"/>
            <w:vMerge/>
          </w:tcPr>
          <w:p w:rsidR="00446F50" w:rsidRPr="00336D32" w:rsidRDefault="00446F50" w:rsidP="00226070">
            <w:pPr>
              <w:spacing w:line="480" w:lineRule="auto"/>
              <w:rPr>
                <w:color w:val="000000" w:themeColor="text1"/>
              </w:rPr>
            </w:pPr>
          </w:p>
        </w:tc>
        <w:tc>
          <w:tcPr>
            <w:tcW w:w="0" w:type="auto"/>
            <w:vMerge/>
            <w:shd w:val="clear" w:color="auto" w:fill="auto"/>
          </w:tcPr>
          <w:p w:rsidR="00446F50" w:rsidRPr="00336D32" w:rsidRDefault="00446F50" w:rsidP="00226070">
            <w:pPr>
              <w:spacing w:line="480" w:lineRule="auto"/>
              <w:rPr>
                <w:color w:val="000000" w:themeColor="text1"/>
              </w:rPr>
            </w:pPr>
          </w:p>
        </w:tc>
        <w:tc>
          <w:tcPr>
            <w:tcW w:w="0" w:type="auto"/>
            <w:shd w:val="clear" w:color="auto" w:fill="auto"/>
          </w:tcPr>
          <w:p w:rsidR="00446F50" w:rsidRPr="00336D32" w:rsidRDefault="00446F50" w:rsidP="00226070">
            <w:pPr>
              <w:spacing w:line="480" w:lineRule="auto"/>
              <w:rPr>
                <w:color w:val="000000" w:themeColor="text1"/>
              </w:rPr>
            </w:pPr>
            <w:r w:rsidRPr="00336D32">
              <w:rPr>
                <w:color w:val="000000" w:themeColor="text1"/>
              </w:rPr>
              <w:t>colony</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18</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5.94</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0.33</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1.45</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0.53</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0.031</w:t>
            </w:r>
          </w:p>
        </w:tc>
      </w:tr>
      <w:tr w:rsidR="00446F50" w:rsidRPr="00336D32" w:rsidTr="00226070">
        <w:trPr>
          <w:cantSplit/>
          <w:trHeight w:hRule="exact" w:val="302"/>
        </w:trPr>
        <w:tc>
          <w:tcPr>
            <w:tcW w:w="0" w:type="auto"/>
            <w:vMerge/>
          </w:tcPr>
          <w:p w:rsidR="00446F50" w:rsidRPr="00336D32" w:rsidRDefault="00446F50" w:rsidP="00226070">
            <w:pPr>
              <w:spacing w:line="480" w:lineRule="auto"/>
              <w:rPr>
                <w:color w:val="000000" w:themeColor="text1"/>
              </w:rPr>
            </w:pPr>
          </w:p>
        </w:tc>
        <w:tc>
          <w:tcPr>
            <w:tcW w:w="0" w:type="auto"/>
            <w:vMerge/>
            <w:shd w:val="clear" w:color="auto" w:fill="auto"/>
          </w:tcPr>
          <w:p w:rsidR="00446F50" w:rsidRPr="00336D32" w:rsidRDefault="00446F50" w:rsidP="00226070">
            <w:pPr>
              <w:spacing w:line="480" w:lineRule="auto"/>
              <w:rPr>
                <w:color w:val="000000" w:themeColor="text1"/>
              </w:rPr>
            </w:pPr>
          </w:p>
        </w:tc>
        <w:tc>
          <w:tcPr>
            <w:tcW w:w="0" w:type="auto"/>
            <w:shd w:val="clear" w:color="auto" w:fill="auto"/>
          </w:tcPr>
          <w:p w:rsidR="00446F50" w:rsidRPr="00336D32" w:rsidRDefault="00446F50" w:rsidP="00226070">
            <w:pPr>
              <w:spacing w:line="480" w:lineRule="auto"/>
              <w:rPr>
                <w:color w:val="000000" w:themeColor="text1"/>
              </w:rPr>
            </w:pPr>
            <w:r w:rsidRPr="00336D32">
              <w:rPr>
                <w:color w:val="000000" w:themeColor="text1"/>
              </w:rPr>
              <w:t>residuals</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20</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4.56</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0.23</w:t>
            </w:r>
          </w:p>
        </w:tc>
        <w:tc>
          <w:tcPr>
            <w:tcW w:w="0" w:type="auto"/>
            <w:shd w:val="clear" w:color="auto" w:fill="auto"/>
          </w:tcPr>
          <w:p w:rsidR="00446F50" w:rsidRPr="00336D32" w:rsidRDefault="00446F50" w:rsidP="00226070">
            <w:pPr>
              <w:spacing w:line="480" w:lineRule="auto"/>
              <w:jc w:val="center"/>
              <w:rPr>
                <w:color w:val="000000" w:themeColor="text1"/>
              </w:rPr>
            </w:pP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0.41</w:t>
            </w:r>
          </w:p>
        </w:tc>
        <w:tc>
          <w:tcPr>
            <w:tcW w:w="0" w:type="auto"/>
            <w:shd w:val="clear" w:color="auto" w:fill="auto"/>
          </w:tcPr>
          <w:p w:rsidR="00446F50" w:rsidRPr="00336D32" w:rsidRDefault="00446F50" w:rsidP="00226070">
            <w:pPr>
              <w:spacing w:line="480" w:lineRule="auto"/>
              <w:jc w:val="center"/>
              <w:rPr>
                <w:color w:val="000000" w:themeColor="text1"/>
              </w:rPr>
            </w:pPr>
          </w:p>
        </w:tc>
      </w:tr>
      <w:tr w:rsidR="00446F50" w:rsidRPr="00336D32" w:rsidTr="00226070">
        <w:trPr>
          <w:cantSplit/>
          <w:trHeight w:hRule="exact" w:val="302"/>
        </w:trPr>
        <w:tc>
          <w:tcPr>
            <w:tcW w:w="0" w:type="auto"/>
            <w:vMerge/>
          </w:tcPr>
          <w:p w:rsidR="00446F50" w:rsidRPr="00336D32" w:rsidRDefault="00446F50" w:rsidP="00226070">
            <w:pPr>
              <w:spacing w:line="480" w:lineRule="auto"/>
              <w:rPr>
                <w:color w:val="000000" w:themeColor="text1"/>
              </w:rPr>
            </w:pPr>
          </w:p>
        </w:tc>
        <w:tc>
          <w:tcPr>
            <w:tcW w:w="0" w:type="auto"/>
            <w:vMerge/>
            <w:tcBorders>
              <w:bottom w:val="single" w:sz="4" w:space="0" w:color="000000"/>
            </w:tcBorders>
            <w:shd w:val="clear" w:color="auto" w:fill="auto"/>
          </w:tcPr>
          <w:p w:rsidR="00446F50" w:rsidRPr="00336D32" w:rsidRDefault="00446F50" w:rsidP="00226070">
            <w:pPr>
              <w:spacing w:line="480" w:lineRule="auto"/>
              <w:rPr>
                <w:color w:val="000000" w:themeColor="text1"/>
              </w:rPr>
            </w:pPr>
          </w:p>
        </w:tc>
        <w:tc>
          <w:tcPr>
            <w:tcW w:w="0" w:type="auto"/>
            <w:tcBorders>
              <w:bottom w:val="single" w:sz="4" w:space="0" w:color="000000"/>
            </w:tcBorders>
            <w:shd w:val="clear" w:color="auto" w:fill="auto"/>
          </w:tcPr>
          <w:p w:rsidR="00446F50" w:rsidRPr="00336D32" w:rsidRDefault="00446F50" w:rsidP="00226070">
            <w:pPr>
              <w:spacing w:line="480" w:lineRule="auto"/>
              <w:rPr>
                <w:color w:val="000000" w:themeColor="text1"/>
              </w:rPr>
            </w:pPr>
            <w:r w:rsidRPr="00336D32">
              <w:rPr>
                <w:color w:val="000000" w:themeColor="text1"/>
              </w:rPr>
              <w:t>total</w:t>
            </w: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39</w:t>
            </w: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11.16</w:t>
            </w: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w:t>
            </w: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p>
        </w:tc>
      </w:tr>
      <w:tr w:rsidR="00446F50" w:rsidRPr="00336D32" w:rsidTr="00226070">
        <w:trPr>
          <w:cantSplit/>
          <w:trHeight w:hRule="exact" w:val="302"/>
        </w:trPr>
        <w:tc>
          <w:tcPr>
            <w:tcW w:w="0" w:type="auto"/>
            <w:vMerge/>
            <w:textDirection w:val="btLr"/>
          </w:tcPr>
          <w:p w:rsidR="00446F50" w:rsidRPr="00336D32" w:rsidRDefault="00446F50" w:rsidP="00226070">
            <w:pPr>
              <w:spacing w:line="480" w:lineRule="auto"/>
              <w:ind w:left="113" w:right="113"/>
              <w:jc w:val="center"/>
              <w:rPr>
                <w:color w:val="000000" w:themeColor="text1"/>
              </w:rPr>
            </w:pPr>
          </w:p>
        </w:tc>
        <w:tc>
          <w:tcPr>
            <w:tcW w:w="0" w:type="auto"/>
            <w:vMerge w:val="restart"/>
            <w:tcBorders>
              <w:top w:val="single" w:sz="4" w:space="0" w:color="000000"/>
            </w:tcBorders>
            <w:shd w:val="clear" w:color="auto" w:fill="auto"/>
            <w:textDirection w:val="btLr"/>
          </w:tcPr>
          <w:p w:rsidR="00446F50" w:rsidRPr="00336D32" w:rsidRDefault="00446F50" w:rsidP="00226070">
            <w:pPr>
              <w:spacing w:line="480" w:lineRule="auto"/>
              <w:ind w:left="113" w:right="113"/>
              <w:jc w:val="center"/>
              <w:rPr>
                <w:color w:val="000000" w:themeColor="text1"/>
              </w:rPr>
            </w:pPr>
            <w:r w:rsidRPr="00336D32">
              <w:rPr>
                <w:color w:val="000000" w:themeColor="text1"/>
              </w:rPr>
              <w:t>Method 3</w:t>
            </w:r>
          </w:p>
        </w:tc>
        <w:tc>
          <w:tcPr>
            <w:tcW w:w="0" w:type="auto"/>
            <w:tcBorders>
              <w:top w:val="single" w:sz="4" w:space="0" w:color="000000"/>
            </w:tcBorders>
            <w:shd w:val="clear" w:color="auto" w:fill="auto"/>
          </w:tcPr>
          <w:p w:rsidR="00446F50" w:rsidRPr="00336D32" w:rsidRDefault="00446F50" w:rsidP="00226070">
            <w:pPr>
              <w:spacing w:line="480" w:lineRule="auto"/>
              <w:rPr>
                <w:color w:val="000000" w:themeColor="text1"/>
              </w:rPr>
            </w:pPr>
            <w:r w:rsidRPr="00336D32">
              <w:rPr>
                <w:color w:val="000000" w:themeColor="text1"/>
              </w:rPr>
              <w:t>age</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0.66</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0.66</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2.89</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0.06</w:t>
            </w:r>
          </w:p>
        </w:tc>
        <w:tc>
          <w:tcPr>
            <w:tcW w:w="0" w:type="auto"/>
            <w:tcBorders>
              <w:top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0.024</w:t>
            </w:r>
          </w:p>
        </w:tc>
      </w:tr>
      <w:tr w:rsidR="00446F50" w:rsidRPr="00336D32" w:rsidTr="00226070">
        <w:trPr>
          <w:cantSplit/>
          <w:trHeight w:hRule="exact" w:val="302"/>
        </w:trPr>
        <w:tc>
          <w:tcPr>
            <w:tcW w:w="0" w:type="auto"/>
            <w:vMerge/>
          </w:tcPr>
          <w:p w:rsidR="00446F50" w:rsidRPr="00336D32" w:rsidRDefault="00446F50" w:rsidP="00226070">
            <w:pPr>
              <w:spacing w:line="480" w:lineRule="auto"/>
              <w:rPr>
                <w:color w:val="000000" w:themeColor="text1"/>
              </w:rPr>
            </w:pPr>
          </w:p>
        </w:tc>
        <w:tc>
          <w:tcPr>
            <w:tcW w:w="0" w:type="auto"/>
            <w:vMerge/>
            <w:shd w:val="clear" w:color="auto" w:fill="auto"/>
          </w:tcPr>
          <w:p w:rsidR="00446F50" w:rsidRPr="00336D32" w:rsidRDefault="00446F50" w:rsidP="00226070">
            <w:pPr>
              <w:spacing w:line="480" w:lineRule="auto"/>
              <w:rPr>
                <w:color w:val="000000" w:themeColor="text1"/>
              </w:rPr>
            </w:pPr>
          </w:p>
        </w:tc>
        <w:tc>
          <w:tcPr>
            <w:tcW w:w="0" w:type="auto"/>
            <w:shd w:val="clear" w:color="auto" w:fill="auto"/>
          </w:tcPr>
          <w:p w:rsidR="00446F50" w:rsidRPr="00336D32" w:rsidRDefault="00446F50" w:rsidP="00226070">
            <w:pPr>
              <w:spacing w:line="480" w:lineRule="auto"/>
              <w:rPr>
                <w:color w:val="000000" w:themeColor="text1"/>
              </w:rPr>
            </w:pPr>
            <w:r w:rsidRPr="00336D32">
              <w:rPr>
                <w:color w:val="000000" w:themeColor="text1"/>
              </w:rPr>
              <w:t>colony</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18</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5.94</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0.33</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1.44</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0.53</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0.029</w:t>
            </w:r>
          </w:p>
        </w:tc>
      </w:tr>
      <w:tr w:rsidR="00446F50" w:rsidRPr="00336D32" w:rsidTr="00226070">
        <w:trPr>
          <w:cantSplit/>
          <w:trHeight w:hRule="exact" w:val="302"/>
        </w:trPr>
        <w:tc>
          <w:tcPr>
            <w:tcW w:w="0" w:type="auto"/>
            <w:vMerge/>
          </w:tcPr>
          <w:p w:rsidR="00446F50" w:rsidRPr="00336D32" w:rsidRDefault="00446F50" w:rsidP="00226070">
            <w:pPr>
              <w:spacing w:line="480" w:lineRule="auto"/>
              <w:rPr>
                <w:color w:val="000000" w:themeColor="text1"/>
              </w:rPr>
            </w:pPr>
          </w:p>
        </w:tc>
        <w:tc>
          <w:tcPr>
            <w:tcW w:w="0" w:type="auto"/>
            <w:vMerge/>
            <w:shd w:val="clear" w:color="auto" w:fill="auto"/>
          </w:tcPr>
          <w:p w:rsidR="00446F50" w:rsidRPr="00336D32" w:rsidRDefault="00446F50" w:rsidP="00226070">
            <w:pPr>
              <w:spacing w:line="480" w:lineRule="auto"/>
              <w:rPr>
                <w:color w:val="000000" w:themeColor="text1"/>
              </w:rPr>
            </w:pPr>
          </w:p>
        </w:tc>
        <w:tc>
          <w:tcPr>
            <w:tcW w:w="0" w:type="auto"/>
            <w:shd w:val="clear" w:color="auto" w:fill="auto"/>
          </w:tcPr>
          <w:p w:rsidR="00446F50" w:rsidRPr="00336D32" w:rsidRDefault="00446F50" w:rsidP="00226070">
            <w:pPr>
              <w:spacing w:line="480" w:lineRule="auto"/>
              <w:rPr>
                <w:color w:val="000000" w:themeColor="text1"/>
              </w:rPr>
            </w:pPr>
            <w:r w:rsidRPr="00336D32">
              <w:rPr>
                <w:color w:val="000000" w:themeColor="text1"/>
              </w:rPr>
              <w:t>residuals</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20</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4.56</w:t>
            </w: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0.23</w:t>
            </w:r>
          </w:p>
        </w:tc>
        <w:tc>
          <w:tcPr>
            <w:tcW w:w="0" w:type="auto"/>
            <w:shd w:val="clear" w:color="auto" w:fill="auto"/>
          </w:tcPr>
          <w:p w:rsidR="00446F50" w:rsidRPr="00336D32" w:rsidRDefault="00446F50" w:rsidP="00226070">
            <w:pPr>
              <w:spacing w:line="480" w:lineRule="auto"/>
              <w:jc w:val="center"/>
              <w:rPr>
                <w:color w:val="000000" w:themeColor="text1"/>
              </w:rPr>
            </w:pPr>
          </w:p>
        </w:tc>
        <w:tc>
          <w:tcPr>
            <w:tcW w:w="0" w:type="auto"/>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0.41</w:t>
            </w:r>
          </w:p>
        </w:tc>
        <w:tc>
          <w:tcPr>
            <w:tcW w:w="0" w:type="auto"/>
            <w:shd w:val="clear" w:color="auto" w:fill="auto"/>
          </w:tcPr>
          <w:p w:rsidR="00446F50" w:rsidRPr="00336D32" w:rsidRDefault="00446F50" w:rsidP="00226070">
            <w:pPr>
              <w:spacing w:line="480" w:lineRule="auto"/>
              <w:jc w:val="center"/>
              <w:rPr>
                <w:color w:val="000000" w:themeColor="text1"/>
              </w:rPr>
            </w:pPr>
          </w:p>
        </w:tc>
      </w:tr>
      <w:tr w:rsidR="00446F50" w:rsidRPr="00336D32" w:rsidTr="00226070">
        <w:trPr>
          <w:cantSplit/>
          <w:trHeight w:hRule="exact" w:val="302"/>
        </w:trPr>
        <w:tc>
          <w:tcPr>
            <w:tcW w:w="0" w:type="auto"/>
            <w:vMerge/>
            <w:tcBorders>
              <w:bottom w:val="single" w:sz="4" w:space="0" w:color="000000"/>
            </w:tcBorders>
          </w:tcPr>
          <w:p w:rsidR="00446F50" w:rsidRPr="00336D32" w:rsidRDefault="00446F50" w:rsidP="00226070">
            <w:pPr>
              <w:spacing w:line="480" w:lineRule="auto"/>
              <w:rPr>
                <w:color w:val="000000" w:themeColor="text1"/>
              </w:rPr>
            </w:pPr>
          </w:p>
        </w:tc>
        <w:tc>
          <w:tcPr>
            <w:tcW w:w="0" w:type="auto"/>
            <w:vMerge/>
            <w:tcBorders>
              <w:bottom w:val="single" w:sz="4" w:space="0" w:color="000000"/>
            </w:tcBorders>
            <w:shd w:val="clear" w:color="auto" w:fill="auto"/>
          </w:tcPr>
          <w:p w:rsidR="00446F50" w:rsidRPr="00336D32" w:rsidRDefault="00446F50" w:rsidP="00226070">
            <w:pPr>
              <w:spacing w:line="480" w:lineRule="auto"/>
              <w:rPr>
                <w:color w:val="000000" w:themeColor="text1"/>
              </w:rPr>
            </w:pPr>
          </w:p>
        </w:tc>
        <w:tc>
          <w:tcPr>
            <w:tcW w:w="0" w:type="auto"/>
            <w:tcBorders>
              <w:bottom w:val="single" w:sz="4" w:space="0" w:color="000000"/>
            </w:tcBorders>
            <w:shd w:val="clear" w:color="auto" w:fill="auto"/>
          </w:tcPr>
          <w:p w:rsidR="00446F50" w:rsidRPr="00336D32" w:rsidRDefault="00446F50" w:rsidP="00226070">
            <w:pPr>
              <w:spacing w:line="480" w:lineRule="auto"/>
              <w:rPr>
                <w:color w:val="000000" w:themeColor="text1"/>
              </w:rPr>
            </w:pPr>
            <w:r w:rsidRPr="00336D32">
              <w:rPr>
                <w:color w:val="000000" w:themeColor="text1"/>
              </w:rPr>
              <w:t>total</w:t>
            </w: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39</w:t>
            </w: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11.15</w:t>
            </w: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r w:rsidRPr="00336D32">
              <w:rPr>
                <w:color w:val="000000" w:themeColor="text1"/>
              </w:rPr>
              <w:t>1</w:t>
            </w:r>
          </w:p>
        </w:tc>
        <w:tc>
          <w:tcPr>
            <w:tcW w:w="0" w:type="auto"/>
            <w:tcBorders>
              <w:bottom w:val="single" w:sz="4" w:space="0" w:color="000000"/>
            </w:tcBorders>
            <w:shd w:val="clear" w:color="auto" w:fill="auto"/>
          </w:tcPr>
          <w:p w:rsidR="00446F50" w:rsidRPr="00336D32" w:rsidRDefault="00446F50" w:rsidP="00226070">
            <w:pPr>
              <w:spacing w:line="480" w:lineRule="auto"/>
              <w:jc w:val="center"/>
              <w:rPr>
                <w:color w:val="000000" w:themeColor="text1"/>
              </w:rPr>
            </w:pPr>
          </w:p>
        </w:tc>
      </w:tr>
    </w:tbl>
    <w:p w:rsidR="00446F50" w:rsidRDefault="00446F50" w:rsidP="00446F50">
      <w:pPr>
        <w:spacing w:line="480" w:lineRule="auto"/>
        <w:rPr>
          <w:color w:val="FF0000"/>
        </w:rPr>
      </w:pPr>
    </w:p>
    <w:p w:rsidR="00446F50" w:rsidRPr="00446F50" w:rsidRDefault="00446F50" w:rsidP="00446F50">
      <w:pPr>
        <w:spacing w:line="480" w:lineRule="auto"/>
        <w:rPr>
          <w:color w:val="FF0000"/>
        </w:rPr>
      </w:pPr>
      <w:r>
        <w:rPr>
          <w:color w:val="FF0000"/>
        </w:rPr>
        <w:fldChar w:fldCharType="begin"/>
      </w:r>
      <w:r>
        <w:rPr>
          <w:color w:val="FF0000"/>
        </w:rPr>
        <w:instrText xml:space="preserve"> ADDIN EN.REFLIST </w:instrText>
      </w:r>
      <w:r>
        <w:rPr>
          <w:color w:val="FF0000"/>
        </w:rPr>
        <w:fldChar w:fldCharType="end"/>
      </w:r>
    </w:p>
    <w:sectPr w:rsidR="00446F50" w:rsidRPr="00446F50" w:rsidSect="00D17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62"/>
    <w:rsid w:val="003E19A9"/>
    <w:rsid w:val="00406C0A"/>
    <w:rsid w:val="00446F50"/>
    <w:rsid w:val="00962A8A"/>
    <w:rsid w:val="00A34662"/>
    <w:rsid w:val="00D1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605D"/>
  <w15:chartTrackingRefBased/>
  <w15:docId w15:val="{1695CF06-5748-A342-89D7-325E21C0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662"/>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F50"/>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0B8D9-BF8F-1F4F-9050-29C2B6E3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2513</Words>
  <Characters>14327</Characters>
  <Application>Microsoft Office Word</Application>
  <DocSecurity>0</DocSecurity>
  <Lines>119</Lines>
  <Paragraphs>33</Paragraphs>
  <ScaleCrop>false</ScaleCrop>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Loope</dc:creator>
  <cp:keywords/>
  <dc:description/>
  <cp:lastModifiedBy>Kevin Loope</cp:lastModifiedBy>
  <cp:revision>2</cp:revision>
  <dcterms:created xsi:type="dcterms:W3CDTF">2018-11-06T01:16:00Z</dcterms:created>
  <dcterms:modified xsi:type="dcterms:W3CDTF">2018-11-06T01:16:00Z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http://www.zotero.org/styles/biological-invasions</vt:lpwstr>
  </property>
  <property fmtid="{D5CDD505-2E9C-101B-9397-08002B2CF9AE}" pid="7" name="Mendeley Recent Style Name 2_1">
    <vt:lpwstr>Biological Invasions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y fmtid="{D5CDD505-2E9C-101B-9397-08002B2CF9AE}" pid="22" name="Mendeley Document_1">
    <vt:lpwstr>True</vt:lpwstr>
  </property>
  <property fmtid="{D5CDD505-2E9C-101B-9397-08002B2CF9AE}" pid="23" name="Mendeley Unique User Id_1">
    <vt:lpwstr>3125068e-d666-324c-996b-79959345dacf</vt:lpwstr>
  </property>
  <property fmtid="{D5CDD505-2E9C-101B-9397-08002B2CF9AE}" pid="24" name="Mendeley Citation Style_1">
    <vt:lpwstr>http://www.zotero.org/styles/proceedings-of-the-royal-society-b</vt:lpwstr>
  </property>
</Properties>
</file>