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  <w:t>&lt;Supplementary Information&gt;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color w:val="000000"/>
          <w:kern w:val="0"/>
          <w:sz w:val="24"/>
          <w:szCs w:val="24"/>
        </w:rPr>
      </w:pPr>
      <w:r>
        <w:rPr>
          <w:b/>
          <w:color w:val="000000"/>
          <w:kern w:val="0"/>
          <w:sz w:val="24"/>
          <w:szCs w:val="24"/>
        </w:rPr>
        <w:t>Synthesis</w:t>
      </w:r>
      <w:r>
        <w:rPr>
          <w:rFonts w:hint="eastAsia"/>
          <w:b/>
          <w:color w:val="000000"/>
          <w:kern w:val="0"/>
          <w:sz w:val="24"/>
          <w:szCs w:val="24"/>
          <w:lang w:val="en-US" w:eastAsia="zh-CN"/>
        </w:rPr>
        <w:t xml:space="preserve"> of an excellent MTP catalyst: Hierarchical ZSM-5 zeolites </w:t>
      </w:r>
      <w:r>
        <w:rPr>
          <w:b/>
          <w:color w:val="000000"/>
          <w:kern w:val="0"/>
          <w:sz w:val="24"/>
          <w:szCs w:val="24"/>
        </w:rPr>
        <w:t xml:space="preserve">with </w:t>
      </w:r>
      <w:r>
        <w:rPr>
          <w:rFonts w:hint="eastAsia"/>
          <w:b/>
          <w:color w:val="000000"/>
          <w:kern w:val="0"/>
          <w:sz w:val="24"/>
          <w:szCs w:val="24"/>
          <w:lang w:val="en-US" w:eastAsia="zh-CN"/>
        </w:rPr>
        <w:t xml:space="preserve">great </w:t>
      </w:r>
      <w:r>
        <w:rPr>
          <w:b/>
          <w:color w:val="000000"/>
          <w:kern w:val="0"/>
          <w:sz w:val="24"/>
          <w:szCs w:val="24"/>
        </w:rPr>
        <w:t>mesopor</w:t>
      </w:r>
      <w:r>
        <w:rPr>
          <w:rFonts w:hint="eastAsia"/>
          <w:b/>
          <w:color w:val="000000"/>
          <w:kern w:val="0"/>
          <w:sz w:val="24"/>
          <w:szCs w:val="24"/>
          <w:lang w:val="en-US" w:eastAsia="zh-CN"/>
        </w:rPr>
        <w:t xml:space="preserve">osity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color w:val="000000"/>
          <w:sz w:val="24"/>
          <w:szCs w:val="24"/>
          <w:vertAlign w:val="superscript"/>
        </w:rPr>
      </w:pPr>
      <w:r>
        <w:rPr>
          <w:rFonts w:hint="eastAsia"/>
          <w:color w:val="000000"/>
          <w:sz w:val="24"/>
          <w:szCs w:val="24"/>
        </w:rPr>
        <w:t>Guoqiang Song</w:t>
      </w:r>
      <w:r>
        <w:rPr>
          <w:rFonts w:hint="eastAsia"/>
          <w:color w:val="000000"/>
          <w:sz w:val="24"/>
          <w:szCs w:val="24"/>
          <w:vertAlign w:val="superscript"/>
        </w:rPr>
        <w:t xml:space="preserve"> </w:t>
      </w:r>
      <w:r>
        <w:rPr>
          <w:rFonts w:hint="eastAsia"/>
          <w:color w:val="000000"/>
          <w:sz w:val="24"/>
          <w:szCs w:val="24"/>
          <w:vertAlign w:val="superscript"/>
          <w:lang w:val="en-US" w:eastAsia="zh-CN"/>
        </w:rPr>
        <w:t>a,b,c</w:t>
      </w:r>
      <w:r>
        <w:rPr>
          <w:rFonts w:hint="eastAsia"/>
          <w:bCs/>
          <w:color w:val="000000"/>
          <w:sz w:val="24"/>
          <w:szCs w:val="24"/>
        </w:rPr>
        <w:t xml:space="preserve">, </w:t>
      </w:r>
      <w:r>
        <w:rPr>
          <w:rFonts w:hint="eastAsia"/>
          <w:bCs/>
          <w:color w:val="000000"/>
          <w:sz w:val="24"/>
          <w:szCs w:val="24"/>
          <w:lang w:val="en-US" w:eastAsia="zh-CN"/>
        </w:rPr>
        <w:t xml:space="preserve">Wenting Chen </w:t>
      </w:r>
      <w:r>
        <w:rPr>
          <w:rFonts w:hint="eastAsia"/>
          <w:bCs/>
          <w:color w:val="000000"/>
          <w:sz w:val="24"/>
          <w:szCs w:val="24"/>
          <w:vertAlign w:val="superscript"/>
          <w:lang w:val="en-US" w:eastAsia="zh-CN"/>
        </w:rPr>
        <w:t>a</w:t>
      </w:r>
      <w:r>
        <w:rPr>
          <w:rFonts w:hint="eastAsia"/>
          <w:bCs/>
          <w:color w:val="000000"/>
          <w:sz w:val="24"/>
          <w:szCs w:val="24"/>
          <w:lang w:val="en-US" w:eastAsia="zh-CN"/>
        </w:rPr>
        <w:t xml:space="preserve">, Peipei Dang </w:t>
      </w:r>
      <w:r>
        <w:rPr>
          <w:rFonts w:hint="eastAsia"/>
          <w:bCs/>
          <w:color w:val="000000"/>
          <w:sz w:val="24"/>
          <w:szCs w:val="24"/>
          <w:vertAlign w:val="superscript"/>
          <w:lang w:val="en-US" w:eastAsia="zh-CN"/>
        </w:rPr>
        <w:t>a</w:t>
      </w:r>
      <w:r>
        <w:rPr>
          <w:rFonts w:hint="eastAsia"/>
          <w:bCs/>
          <w:color w:val="000000"/>
          <w:sz w:val="24"/>
          <w:szCs w:val="24"/>
          <w:lang w:val="en-US" w:eastAsia="zh-CN"/>
        </w:rPr>
        <w:t xml:space="preserve">, Yuanyi Wang </w:t>
      </w:r>
      <w:r>
        <w:rPr>
          <w:rFonts w:hint="eastAsia"/>
          <w:bCs/>
          <w:color w:val="000000"/>
          <w:sz w:val="24"/>
          <w:szCs w:val="24"/>
          <w:vertAlign w:val="superscript"/>
          <w:lang w:val="en-US" w:eastAsia="zh-CN"/>
        </w:rPr>
        <w:t>a</w:t>
      </w:r>
      <w:r>
        <w:rPr>
          <w:rFonts w:hint="eastAsia"/>
          <w:bCs/>
          <w:color w:val="000000"/>
          <w:sz w:val="24"/>
          <w:szCs w:val="24"/>
          <w:lang w:val="en-US" w:eastAsia="zh-CN"/>
        </w:rPr>
        <w:t xml:space="preserve">, </w:t>
      </w:r>
      <w:r>
        <w:rPr>
          <w:color w:val="000000"/>
          <w:sz w:val="24"/>
          <w:szCs w:val="24"/>
        </w:rPr>
        <w:t>Fuxiang Li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  <w:vertAlign w:val="superscript"/>
          <w:lang w:val="en-US" w:eastAsia="zh-CN"/>
        </w:rPr>
        <w:t>d,</w:t>
      </w:r>
      <w:r>
        <w:rPr>
          <w:rStyle w:val="3"/>
          <w:color w:val="000000"/>
          <w:sz w:val="24"/>
          <w:szCs w:val="24"/>
        </w:rPr>
        <w:sym w:font="Symbol" w:char="F02A"/>
      </w:r>
      <w:r>
        <w:rPr>
          <w:rFonts w:hint="eastAsia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hanging="120" w:hangingChars="50"/>
        <w:textAlignment w:val="auto"/>
        <w:outlineLvl w:val="9"/>
        <w:rPr>
          <w:i w:val="0"/>
          <w:iCs/>
          <w:color w:val="000000"/>
          <w:sz w:val="24"/>
          <w:szCs w:val="24"/>
        </w:rPr>
      </w:pPr>
      <w:r>
        <w:rPr>
          <w:rFonts w:hint="eastAsia"/>
          <w:i w:val="0"/>
          <w:iCs/>
          <w:color w:val="000000"/>
          <w:sz w:val="24"/>
          <w:szCs w:val="24"/>
          <w:vertAlign w:val="superscript"/>
          <w:lang w:val="en-US" w:eastAsia="zh-CN"/>
        </w:rPr>
        <w:t>a</w:t>
      </w:r>
      <w:r>
        <w:rPr>
          <w:i w:val="0"/>
          <w:iCs/>
          <w:color w:val="000000"/>
          <w:sz w:val="24"/>
          <w:szCs w:val="24"/>
        </w:rPr>
        <w:t xml:space="preserve"> 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>School of chemical engineering</w:t>
      </w:r>
      <w:r>
        <w:rPr>
          <w:rFonts w:hint="eastAsia"/>
          <w:i w:val="0"/>
          <w:iCs/>
          <w:color w:val="000000"/>
          <w:sz w:val="24"/>
          <w:szCs w:val="24"/>
        </w:rPr>
        <w:t>, Guizhou Institute of Technology</w:t>
      </w:r>
      <w:bookmarkStart w:id="0" w:name="OLE_LINK2"/>
      <w:r>
        <w:rPr>
          <w:i w:val="0"/>
          <w:iCs/>
          <w:color w:val="000000"/>
          <w:sz w:val="24"/>
          <w:szCs w:val="24"/>
        </w:rPr>
        <w:t xml:space="preserve">, 1st Caiguan Road, Yunyan District, Guiyang City 550003, Guizhou </w:t>
      </w:r>
      <w:bookmarkStart w:id="1" w:name="OLE_LINK4"/>
      <w:r>
        <w:rPr>
          <w:i w:val="0"/>
          <w:iCs/>
          <w:color w:val="000000"/>
          <w:sz w:val="24"/>
          <w:szCs w:val="24"/>
        </w:rPr>
        <w:t>Province</w:t>
      </w:r>
      <w:bookmarkEnd w:id="1"/>
      <w:r>
        <w:rPr>
          <w:i w:val="0"/>
          <w:iCs/>
          <w:color w:val="000000"/>
          <w:sz w:val="24"/>
          <w:szCs w:val="24"/>
        </w:rPr>
        <w:t>.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hanging="120" w:hangingChars="50"/>
        <w:textAlignment w:val="auto"/>
        <w:outlineLvl w:val="9"/>
        <w:rPr>
          <w:rFonts w:hint="eastAsia" w:eastAsia="宋体"/>
          <w:i w:val="0"/>
          <w:iCs/>
          <w:color w:val="000000"/>
          <w:sz w:val="24"/>
          <w:szCs w:val="24"/>
          <w:lang w:val="en-US" w:eastAsia="zh-CN"/>
        </w:rPr>
      </w:pPr>
      <w:r>
        <w:rPr>
          <w:rFonts w:hint="eastAsia"/>
          <w:i w:val="0"/>
          <w:iCs/>
          <w:color w:val="000000"/>
          <w:sz w:val="24"/>
          <w:szCs w:val="24"/>
          <w:vertAlign w:val="superscript"/>
          <w:lang w:val="en-US" w:eastAsia="zh-CN"/>
        </w:rPr>
        <w:t xml:space="preserve">b </w:t>
      </w:r>
      <w:r>
        <w:rPr>
          <w:rFonts w:hint="eastAsia"/>
          <w:i w:val="0"/>
          <w:iCs/>
          <w:color w:val="000000"/>
          <w:sz w:val="24"/>
          <w:szCs w:val="24"/>
        </w:rPr>
        <w:t>2011 Special Functional Materials Collaborative Innovation Center of Guizhou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i w:val="0"/>
          <w:iCs/>
          <w:color w:val="000000"/>
          <w:sz w:val="24"/>
          <w:szCs w:val="24"/>
        </w:rPr>
        <w:t>Province, Guizhou Institute of Technology</w:t>
      </w:r>
      <w:r>
        <w:rPr>
          <w:rFonts w:hint="eastAsia"/>
          <w:i w:val="0"/>
          <w:iCs/>
          <w:color w:val="000000"/>
          <w:sz w:val="24"/>
          <w:szCs w:val="24"/>
          <w:vertAlign w:val="baseli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hanging="120" w:hangingChars="50"/>
        <w:textAlignment w:val="auto"/>
        <w:outlineLvl w:val="9"/>
        <w:rPr>
          <w:i w:val="0"/>
          <w:iCs/>
          <w:color w:val="000000"/>
          <w:sz w:val="24"/>
          <w:szCs w:val="24"/>
        </w:rPr>
      </w:pPr>
      <w:r>
        <w:rPr>
          <w:rFonts w:hint="eastAsia"/>
          <w:i w:val="0"/>
          <w:iCs/>
          <w:color w:val="000000"/>
          <w:sz w:val="24"/>
          <w:szCs w:val="24"/>
          <w:vertAlign w:val="superscript"/>
          <w:lang w:val="en-US" w:eastAsia="zh-CN"/>
        </w:rPr>
        <w:t>c</w:t>
      </w:r>
      <w:r>
        <w:rPr>
          <w:i w:val="0"/>
          <w:iCs/>
          <w:color w:val="000000"/>
          <w:sz w:val="24"/>
          <w:szCs w:val="24"/>
        </w:rPr>
        <w:t xml:space="preserve"> 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>Key Laboratory of Light Metal Materials Processing Technology of Guizhou Province, Guizhou Institute of Technology</w:t>
      </w:r>
      <w:r>
        <w:rPr>
          <w:i w:val="0"/>
          <w:iCs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hanging="120" w:hangingChars="50"/>
        <w:textAlignment w:val="auto"/>
        <w:outlineLvl w:val="9"/>
        <w:rPr>
          <w:i w:val="0"/>
          <w:iCs/>
          <w:color w:val="000000"/>
          <w:sz w:val="24"/>
          <w:szCs w:val="24"/>
        </w:rPr>
      </w:pPr>
      <w:r>
        <w:rPr>
          <w:rFonts w:hint="eastAsia"/>
          <w:i w:val="0"/>
          <w:iCs/>
          <w:color w:val="000000"/>
          <w:sz w:val="24"/>
          <w:szCs w:val="24"/>
          <w:vertAlign w:val="superscript"/>
          <w:lang w:val="en-US" w:eastAsia="zh-CN"/>
        </w:rPr>
        <w:t>d</w:t>
      </w:r>
      <w:r>
        <w:rPr>
          <w:i w:val="0"/>
          <w:iCs/>
          <w:color w:val="000000"/>
          <w:sz w:val="24"/>
          <w:szCs w:val="24"/>
          <w:vertAlign w:val="superscript"/>
        </w:rPr>
        <w:t xml:space="preserve"> </w:t>
      </w:r>
      <w:bookmarkStart w:id="2" w:name="OLE_LINK6"/>
      <w:bookmarkStart w:id="3" w:name="OLE_LINK8"/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>College of chemistry and chemical engineering</w:t>
      </w:r>
      <w:r>
        <w:rPr>
          <w:rFonts w:hint="eastAsia"/>
          <w:i w:val="0"/>
          <w:iCs/>
          <w:color w:val="000000"/>
          <w:sz w:val="24"/>
          <w:szCs w:val="24"/>
        </w:rPr>
        <w:t xml:space="preserve">, </w:t>
      </w:r>
      <w:r>
        <w:rPr>
          <w:i w:val="0"/>
          <w:iCs/>
          <w:color w:val="000000"/>
          <w:sz w:val="24"/>
          <w:szCs w:val="24"/>
        </w:rPr>
        <w:t>Taiyuan University of Technology</w:t>
      </w:r>
      <w:r>
        <w:rPr>
          <w:rFonts w:hint="eastAsia"/>
          <w:i w:val="0"/>
          <w:iCs/>
          <w:color w:val="000000"/>
          <w:sz w:val="24"/>
          <w:szCs w:val="24"/>
        </w:rPr>
        <w:t xml:space="preserve">, 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 xml:space="preserve">No. 79 Yingze west street, </w:t>
      </w:r>
      <w:r>
        <w:rPr>
          <w:i w:val="0"/>
          <w:iCs/>
          <w:color w:val="000000"/>
          <w:sz w:val="24"/>
          <w:szCs w:val="24"/>
        </w:rPr>
        <w:t xml:space="preserve">Taiyuan 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 xml:space="preserve">City </w:t>
      </w:r>
      <w:r>
        <w:rPr>
          <w:i w:val="0"/>
          <w:iCs/>
          <w:color w:val="000000"/>
          <w:sz w:val="24"/>
          <w:szCs w:val="24"/>
        </w:rPr>
        <w:t>030024</w:t>
      </w:r>
      <w:r>
        <w:rPr>
          <w:rFonts w:hint="eastAsia"/>
          <w:i w:val="0"/>
          <w:iCs/>
          <w:color w:val="000000"/>
          <w:sz w:val="24"/>
          <w:szCs w:val="24"/>
        </w:rPr>
        <w:t xml:space="preserve">, </w:t>
      </w:r>
      <w:bookmarkStart w:id="4" w:name="OLE_LINK5"/>
      <w:r>
        <w:rPr>
          <w:i w:val="0"/>
          <w:iCs/>
          <w:color w:val="000000"/>
          <w:sz w:val="24"/>
          <w:szCs w:val="24"/>
        </w:rPr>
        <w:t>Shanxi Province</w:t>
      </w:r>
      <w:bookmarkEnd w:id="4"/>
      <w:r>
        <w:rPr>
          <w:i w:val="0"/>
          <w:iCs/>
          <w:color w:val="000000"/>
          <w:sz w:val="24"/>
          <w:szCs w:val="24"/>
        </w:rPr>
        <w:t>.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hanging="120" w:hangingChars="50"/>
        <w:textAlignment w:val="auto"/>
        <w:outlineLvl w:val="9"/>
        <w:rPr>
          <w:rFonts w:hint="eastAsia"/>
          <w:i w:val="0"/>
          <w:iCs/>
          <w:color w:val="000000"/>
          <w:sz w:val="24"/>
          <w:szCs w:val="24"/>
          <w:lang w:val="en-US" w:eastAsia="zh-CN"/>
        </w:rPr>
      </w:pPr>
      <w:r>
        <w:rPr>
          <w:i w:val="0"/>
          <w:iCs/>
          <w:color w:val="000000"/>
          <w:sz w:val="24"/>
          <w:szCs w:val="24"/>
        </w:rPr>
        <w:t>*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 xml:space="preserve"> E</w:t>
      </w:r>
      <w:r>
        <w:rPr>
          <w:i w:val="0"/>
          <w:iCs/>
          <w:color w:val="000000"/>
          <w:sz w:val="24"/>
          <w:szCs w:val="24"/>
        </w:rPr>
        <w:t xml:space="preserve">mail addresses 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>of</w:t>
      </w:r>
      <w:r>
        <w:rPr>
          <w:i w:val="0"/>
          <w:iCs/>
          <w:color w:val="000000"/>
          <w:sz w:val="24"/>
          <w:szCs w:val="24"/>
        </w:rPr>
        <w:t xml:space="preserve"> 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>c</w:t>
      </w:r>
      <w:r>
        <w:rPr>
          <w:i w:val="0"/>
          <w:iCs/>
          <w:color w:val="000000"/>
          <w:sz w:val="24"/>
          <w:szCs w:val="24"/>
        </w:rPr>
        <w:t>orresponding author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 xml:space="preserve">: </w:t>
      </w:r>
      <w:r>
        <w:rPr>
          <w:i w:val="0"/>
          <w:iCs/>
          <w:color w:val="000000"/>
          <w:sz w:val="24"/>
          <w:szCs w:val="24"/>
        </w:rPr>
        <w:fldChar w:fldCharType="begin"/>
      </w:r>
      <w:r>
        <w:rPr>
          <w:i w:val="0"/>
          <w:iCs/>
          <w:color w:val="000000"/>
          <w:sz w:val="24"/>
          <w:szCs w:val="24"/>
        </w:rPr>
        <w:instrText xml:space="preserve">HYPERLINK "mailto:L63f64x@163.com" </w:instrText>
      </w:r>
      <w:r>
        <w:rPr>
          <w:i w:val="0"/>
          <w:iCs/>
          <w:color w:val="000000"/>
          <w:sz w:val="24"/>
          <w:szCs w:val="24"/>
        </w:rPr>
        <w:fldChar w:fldCharType="separate"/>
      </w:r>
      <w:r>
        <w:rPr>
          <w:rFonts w:hint="eastAsia"/>
          <w:i w:val="0"/>
          <w:iCs/>
          <w:color w:val="000000"/>
          <w:sz w:val="24"/>
          <w:szCs w:val="24"/>
        </w:rPr>
        <w:t>l63f64x@163.com</w:t>
      </w:r>
      <w:r>
        <w:rPr>
          <w:i w:val="0"/>
          <w:iCs/>
          <w:color w:val="000000"/>
          <w:sz w:val="24"/>
          <w:szCs w:val="24"/>
        </w:rPr>
        <w:fldChar w:fldCharType="end"/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 xml:space="preserve">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i w:val="0"/>
          <w:iCs/>
          <w:color w:val="000000"/>
          <w:sz w:val="24"/>
          <w:szCs w:val="24"/>
        </w:rPr>
      </w:pP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 xml:space="preserve">Tel. : </w:t>
      </w:r>
      <w:r>
        <w:rPr>
          <w:rFonts w:hint="eastAsia"/>
          <w:i w:val="0"/>
          <w:iCs/>
          <w:color w:val="000000"/>
          <w:sz w:val="24"/>
          <w:szCs w:val="24"/>
        </w:rPr>
        <w:t>(</w:t>
      </w:r>
      <w:r>
        <w:rPr>
          <w:i w:val="0"/>
          <w:iCs/>
          <w:color w:val="000000"/>
          <w:sz w:val="24"/>
          <w:szCs w:val="24"/>
        </w:rPr>
        <w:t>+86</w:t>
      </w:r>
      <w:r>
        <w:rPr>
          <w:rFonts w:hint="eastAsia"/>
          <w:i w:val="0"/>
          <w:iCs/>
          <w:color w:val="000000"/>
          <w:sz w:val="24"/>
          <w:szCs w:val="24"/>
        </w:rPr>
        <w:t>)</w:t>
      </w:r>
      <w:r>
        <w:rPr>
          <w:i w:val="0"/>
          <w:iCs/>
          <w:color w:val="000000"/>
          <w:sz w:val="24"/>
          <w:szCs w:val="24"/>
        </w:rPr>
        <w:t xml:space="preserve"> 0</w:t>
      </w:r>
      <w:r>
        <w:rPr>
          <w:rFonts w:hint="eastAsia"/>
          <w:i w:val="0"/>
          <w:iCs/>
          <w:color w:val="000000"/>
          <w:sz w:val="24"/>
          <w:szCs w:val="24"/>
        </w:rPr>
        <w:t>351-</w:t>
      </w:r>
      <w:r>
        <w:rPr>
          <w:i w:val="0"/>
          <w:iCs/>
          <w:color w:val="000000"/>
          <w:sz w:val="24"/>
          <w:szCs w:val="24"/>
        </w:rPr>
        <w:t>6</w:t>
      </w:r>
      <w:r>
        <w:rPr>
          <w:rFonts w:hint="eastAsia"/>
          <w:i w:val="0"/>
          <w:iCs/>
          <w:color w:val="000000"/>
          <w:sz w:val="24"/>
          <w:szCs w:val="24"/>
        </w:rPr>
        <w:t>11117</w:t>
      </w:r>
      <w:r>
        <w:rPr>
          <w:rFonts w:hint="eastAsia"/>
          <w:i w:val="0"/>
          <w:iCs/>
          <w:color w:val="000000"/>
          <w:sz w:val="24"/>
          <w:szCs w:val="24"/>
          <w:lang w:val="en-US" w:eastAsia="zh-CN"/>
        </w:rPr>
        <w:t>8.</w:t>
      </w:r>
      <w:r>
        <w:rPr>
          <w:i w:val="0"/>
          <w:iCs/>
          <w:color w:val="000000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124325" cy="2895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Gulliver" w:cs="Times New Roman"/>
          <w:b w:val="0"/>
          <w:i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Gulliver" w:cs="Times New Roman"/>
          <w:b w:val="0"/>
          <w:i w:val="0"/>
          <w:color w:val="000000"/>
          <w:kern w:val="0"/>
          <w:sz w:val="24"/>
          <w:szCs w:val="24"/>
          <w:lang w:val="en-US" w:eastAsia="zh-CN" w:bidi="ar-SA"/>
        </w:rPr>
        <w:t xml:space="preserve">Fig. 1S </w:t>
      </w:r>
      <w:bookmarkStart w:id="5" w:name="OLE_LINK3"/>
      <w:r>
        <w:rPr>
          <w:rFonts w:hint="default" w:ascii="Times New Roman" w:hAnsi="Times New Roman" w:eastAsia="Gulliver" w:cs="Times New Roman"/>
          <w:b w:val="0"/>
          <w:i w:val="0"/>
          <w:color w:val="000000"/>
          <w:kern w:val="0"/>
          <w:sz w:val="24"/>
          <w:szCs w:val="24"/>
          <w:lang w:val="en-US" w:eastAsia="zh-CN" w:bidi="ar-SA"/>
        </w:rPr>
        <w:t xml:space="preserve">The </w:t>
      </w:r>
      <w:bookmarkStart w:id="6" w:name="OLE_LINK40"/>
      <w:bookmarkStart w:id="7" w:name="OLE_LINK41"/>
      <w:r>
        <w:rPr>
          <w:rFonts w:hint="default" w:ascii="Times New Roman" w:hAnsi="Times New Roman" w:eastAsia="Gulliver" w:cs="Times New Roman"/>
          <w:b w:val="0"/>
          <w:i w:val="0"/>
          <w:color w:val="000000"/>
          <w:kern w:val="0"/>
          <w:sz w:val="24"/>
          <w:szCs w:val="24"/>
          <w:lang w:val="en-US" w:eastAsia="zh-CN" w:bidi="ar-SA"/>
        </w:rPr>
        <w:t>FTIR</w:t>
      </w:r>
      <w:bookmarkEnd w:id="6"/>
      <w:bookmarkEnd w:id="7"/>
      <w:r>
        <w:rPr>
          <w:rFonts w:hint="default" w:ascii="Times New Roman" w:hAnsi="Times New Roman" w:eastAsia="Gulliver" w:cs="Times New Roman"/>
          <w:b w:val="0"/>
          <w:i w:val="0"/>
          <w:color w:val="000000"/>
          <w:kern w:val="0"/>
          <w:sz w:val="24"/>
          <w:szCs w:val="24"/>
          <w:lang w:val="en-US" w:eastAsia="zh-CN" w:bidi="ar-SA"/>
        </w:rPr>
        <w:t xml:space="preserve"> spectrum of OPA.</w:t>
      </w:r>
      <w:bookmarkEnd w:id="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t xml:space="preserve">The FTIR spectrum of </w:t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  <w:lang w:val="en-US" w:eastAsia="zh-CN"/>
        </w:rPr>
        <w:t>OPA</w:t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t xml:space="preserve"> show</w:t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  <w:lang w:val="en-US" w:eastAsia="zh-CN"/>
        </w:rPr>
        <w:t>ed</w:t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t xml:space="preserve"> the disappearances of the</w:t>
      </w:r>
      <w:r>
        <w:rPr>
          <w:rFonts w:hint="default" w:ascii="Times New Roman" w:hAnsi="Times New Roman" w:eastAsia="Gulliver" w:cs="Times New Roman"/>
          <w:color w:val="FF0000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t xml:space="preserve">absorption bands at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900 cm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and 3500-3300 cm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which c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ould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 be assigned</w:t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t xml:space="preserve"> to the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"http://www.iciba.com/epoxy_group"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t>epoxy group</w:t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fldChar w:fldCharType="end"/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t xml:space="preserve">s in the 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</w:rPr>
        <w:t>(3-glycidoxypropyl) trimethoxysilane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</w:rPr>
        <w:t xml:space="preserve"> and the amino groups in the 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</w:rPr>
        <w:t>amino-terminated polyoxypropylene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  <w:lang w:val="en-US" w:eastAsia="zh-CN"/>
        </w:rPr>
        <w:t xml:space="preserve">D230, 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</w:rPr>
        <w:t>C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  <w:vertAlign w:val="subscript"/>
          <w:lang w:val="en-US" w:eastAsia="zh-CN"/>
        </w:rPr>
        <w:t>11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</w:rPr>
        <w:t>H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  <w:vertAlign w:val="subscript"/>
          <w:lang w:val="en-US" w:eastAsia="zh-CN"/>
        </w:rPr>
        <w:t>24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</w:rPr>
        <w:t>N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</w:rPr>
        <w:t>O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eastAsia="AdvPSTim-B" w:cs="Times New Roman"/>
          <w:color w:val="000000"/>
          <w:sz w:val="24"/>
          <w:szCs w:val="24"/>
          <w:lang w:val="en-US" w:eastAsia="zh-CN"/>
        </w:rPr>
        <w:t>232)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</w:rPr>
        <w:t xml:space="preserve">, respectively. This </w:t>
      </w:r>
      <w:r>
        <w:rPr>
          <w:rFonts w:hint="default" w:ascii="Times New Roman" w:hAnsi="Times New Roman" w:eastAsia="Gulliver" w:cs="Times New Roman"/>
          <w:color w:val="000000"/>
          <w:kern w:val="0"/>
          <w:sz w:val="24"/>
          <w:szCs w:val="24"/>
        </w:rPr>
        <w:t>FTIR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</w:rPr>
        <w:t xml:space="preserve"> result confirm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  <w:lang w:val="en-US" w:eastAsia="zh-CN"/>
        </w:rPr>
        <w:t>ed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</w:rPr>
        <w:t xml:space="preserve"> that the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epoxide ring open to form hydrolytically stable C-N bonds with 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</w:rPr>
        <w:t xml:space="preserve">the amino groups showed in 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</w:rPr>
        <w:t>quation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  <w:lang w:val="en-US" w:eastAsia="zh-CN"/>
        </w:rPr>
        <w:t>. 1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 and consequently obtain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ed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 the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>OPA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 prod</w:t>
      </w:r>
      <w:r>
        <w:rPr>
          <w:rFonts w:hint="default" w:ascii="Times New Roman" w:hAnsi="Times New Roman" w:eastAsia="AdvPS_TTR" w:cs="Times New Roman"/>
          <w:color w:val="000000"/>
          <w:kern w:val="0"/>
          <w:sz w:val="24"/>
          <w:szCs w:val="24"/>
        </w:rPr>
        <w:t>uct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5568315" cy="3664585"/>
            <wp:effectExtent l="0" t="0" r="13335" b="12065"/>
            <wp:docPr id="5" name="图片 3" descr="HN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HNM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Fig. 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S The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H NMR of O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PA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H NMR spectrum is performed to characterize the structure of O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PA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. The spectra exhibits main resonances at 3.3-3.8 ppm and 4.5-5.0 ppm, verifying the presence of H-C-O (CH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vertAlign w:val="sub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-O-, CH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-O-, and CH-O-) and H-O-C (HO-CH-,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attributed to the epoxide ring open), respectively. Moreover, three distinguishable resonances at 0.5-0.9 ppm, 1.5-1.9 ppm and 2.2-2.9 ppm appear in the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H NMR spectrum, which can be assigned to (H-C-C), (H-C-Si) and (H-C-N-R) respectively.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5676265" cy="3448685"/>
            <wp:effectExtent l="0" t="0" r="635" b="18415"/>
            <wp:docPr id="4" name="图片 4" descr="CN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NM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bookmarkStart w:id="11" w:name="_GoBack"/>
      <w:bookmarkEnd w:id="11"/>
      <w:bookmarkStart w:id="8" w:name="OLE_LINK1"/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Fig. 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S The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zh-CN"/>
        </w:rPr>
        <w:t>13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C NMR of O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PA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. </w:t>
      </w:r>
    </w:p>
    <w:bookmarkEnd w:id="8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vertAlign w:val="superscript"/>
        </w:rPr>
        <w:t>13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C NMR spectrum is also employed to characterize the structure of O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PA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. The spectra presents main resonances at 13-25 ppm, 47-60 ppm, and 67-77 ppm, indicating respectively the presence of (C-CH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-), (R-C-O- and R-C-N-) and (C-O-). These results from FTIR and NMR analysis further demonstrate that the structure of O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PA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as-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synthesized was coincided with 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the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quation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. 1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124325" cy="2895600"/>
            <wp:effectExtent l="0" t="0" r="8890" b="0"/>
            <wp:docPr id="2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bookmarkStart w:id="9" w:name="OLE_LINK122"/>
      <w:bookmarkStart w:id="10" w:name="OLE_LINK121"/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 xml:space="preserve">Fig. 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 xml:space="preserve">. TG-DSC/DTG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curve 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 xml:space="preserve">of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the uncalcined traditional ZSM-5 sample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.</w:t>
      </w:r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Table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 xml:space="preserve"> Catalytic performances of MTP reaction over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the hierarchical ZSM-5 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catalysts.</w:t>
      </w:r>
    </w:p>
    <w:tbl>
      <w:tblPr>
        <w:tblStyle w:val="4"/>
        <w:tblW w:w="8306" w:type="dxa"/>
        <w:jc w:val="center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12"/>
        <w:gridCol w:w="582"/>
        <w:gridCol w:w="582"/>
        <w:gridCol w:w="582"/>
        <w:gridCol w:w="582"/>
        <w:gridCol w:w="582"/>
        <w:gridCol w:w="582"/>
        <w:gridCol w:w="582"/>
        <w:gridCol w:w="582"/>
        <w:gridCol w:w="590"/>
        <w:gridCol w:w="1228"/>
        <w:gridCol w:w="408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712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Catalysts</w:t>
            </w:r>
          </w:p>
        </w:tc>
        <w:tc>
          <w:tcPr>
            <w:tcW w:w="712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Lifetime / h</w:t>
            </w:r>
          </w:p>
        </w:tc>
        <w:tc>
          <w:tcPr>
            <w:tcW w:w="6474" w:type="dxa"/>
            <w:gridSpan w:val="10"/>
            <w:tcBorders>
              <w:top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Selectivity / %</w:t>
            </w:r>
          </w:p>
        </w:tc>
        <w:tc>
          <w:tcPr>
            <w:tcW w:w="408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P/E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12" w:type="dxa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82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82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82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2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82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582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82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90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outlineLvl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228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Aromatics </w:t>
            </w: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8" w:type="dxa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CZ</w:t>
            </w:r>
          </w:p>
        </w:tc>
        <w:tc>
          <w:tcPr>
            <w:tcW w:w="712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82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9.93</w:t>
            </w:r>
          </w:p>
        </w:tc>
        <w:tc>
          <w:tcPr>
            <w:tcW w:w="582" w:type="dxa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28.7</w:t>
            </w:r>
          </w:p>
        </w:tc>
        <w:tc>
          <w:tcPr>
            <w:tcW w:w="582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5.48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82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18.53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7.54</w:t>
            </w:r>
          </w:p>
        </w:tc>
        <w:tc>
          <w:tcPr>
            <w:tcW w:w="590" w:type="dxa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3.13</w:t>
            </w:r>
          </w:p>
        </w:tc>
        <w:tc>
          <w:tcPr>
            <w:tcW w:w="1228" w:type="dxa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9.51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SMZ-1</w:t>
            </w:r>
          </w:p>
        </w:tc>
        <w:tc>
          <w:tcPr>
            <w:tcW w:w="712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5.17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39.82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18.75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13.44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7.42</w:t>
            </w:r>
          </w:p>
        </w:tc>
        <w:tc>
          <w:tcPr>
            <w:tcW w:w="590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1.52</w:t>
            </w:r>
          </w:p>
        </w:tc>
        <w:tc>
          <w:tcPr>
            <w:tcW w:w="1228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08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12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SMZ-3</w:t>
            </w:r>
          </w:p>
        </w:tc>
        <w:tc>
          <w:tcPr>
            <w:tcW w:w="712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4.89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43.4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6.58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.79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10.14</w:t>
            </w:r>
          </w:p>
        </w:tc>
        <w:tc>
          <w:tcPr>
            <w:tcW w:w="582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28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5.02</w:t>
            </w:r>
          </w:p>
        </w:tc>
        <w:tc>
          <w:tcPr>
            <w:tcW w:w="408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8.9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712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TMZ-2</w:t>
            </w:r>
          </w:p>
        </w:tc>
        <w:tc>
          <w:tcPr>
            <w:tcW w:w="71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1.34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6.45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36.63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6.95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.16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15.07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8.23</w:t>
            </w:r>
          </w:p>
        </w:tc>
        <w:tc>
          <w:tcPr>
            <w:tcW w:w="59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1.40</w:t>
            </w:r>
          </w:p>
        </w:tc>
        <w:tc>
          <w:tcPr>
            <w:tcW w:w="122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5.70</w:t>
            </w:r>
          </w:p>
        </w:tc>
        <w:tc>
          <w:tcPr>
            <w:tcW w:w="408" w:type="dxa"/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TMZ-3</w:t>
            </w:r>
          </w:p>
        </w:tc>
        <w:tc>
          <w:tcPr>
            <w:tcW w:w="712" w:type="dxa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582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2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2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5.35</w:t>
            </w:r>
          </w:p>
        </w:tc>
        <w:tc>
          <w:tcPr>
            <w:tcW w:w="582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40.63</w:t>
            </w:r>
          </w:p>
        </w:tc>
        <w:tc>
          <w:tcPr>
            <w:tcW w:w="582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6.55</w:t>
            </w:r>
          </w:p>
        </w:tc>
        <w:tc>
          <w:tcPr>
            <w:tcW w:w="582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82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14.02</w:t>
            </w:r>
          </w:p>
        </w:tc>
        <w:tc>
          <w:tcPr>
            <w:tcW w:w="582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.96</w:t>
            </w:r>
          </w:p>
        </w:tc>
        <w:tc>
          <w:tcPr>
            <w:tcW w:w="408" w:type="dxa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</w:rPr>
        <w:t>Aromatics include benzene, toluene, xylene and higher aromatic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Gulliv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STim-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S_TT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35F6E"/>
    <w:rsid w:val="1EEB3E8D"/>
    <w:rsid w:val="22335F6E"/>
    <w:rsid w:val="22620EF1"/>
    <w:rsid w:val="26EF07B6"/>
    <w:rsid w:val="39AC08F2"/>
    <w:rsid w:val="3EFC5E49"/>
    <w:rsid w:val="42751B7B"/>
    <w:rsid w:val="4B0C0415"/>
    <w:rsid w:val="533F40EB"/>
    <w:rsid w:val="5D766C10"/>
    <w:rsid w:val="6A827183"/>
    <w:rsid w:val="7D5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qFormat/>
    <w:uiPriority w:val="0"/>
    <w:rPr>
      <w:rFonts w:cs="Times New Roman"/>
      <w:vertAlign w:val="superscript"/>
    </w:rPr>
  </w:style>
  <w:style w:type="paragraph" w:customStyle="1" w:styleId="5">
    <w:name w:val="HExperimental_Section"/>
    <w:basedOn w:val="1"/>
    <w:qFormat/>
    <w:uiPriority w:val="0"/>
    <w:pPr>
      <w:widowControl/>
      <w:spacing w:before="460" w:beforeLines="0" w:after="230" w:afterLines="0" w:line="230" w:lineRule="atLeast"/>
      <w:jc w:val="left"/>
    </w:pPr>
    <w:rPr>
      <w:rFonts w:ascii="Arial" w:hAnsi="Arial" w:eastAsia="MS Mincho"/>
      <w:b/>
      <w:i/>
      <w:kern w:val="0"/>
      <w:sz w:val="22"/>
      <w:lang w:val="de-DE" w:eastAsia="ja-JP"/>
    </w:rPr>
  </w:style>
  <w:style w:type="paragraph" w:customStyle="1" w:styleId="6">
    <w:name w:val="TC_Table_Body"/>
    <w:basedOn w:val="1"/>
    <w:next w:val="1"/>
    <w:qFormat/>
    <w:uiPriority w:val="0"/>
    <w:pPr>
      <w:widowControl/>
      <w:spacing w:before="20" w:after="60"/>
      <w:jc w:val="center"/>
    </w:pPr>
    <w:rPr>
      <w:color w:val="FF0000"/>
      <w:kern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w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2018-08-01T17:08:00Z</dcterms:created>
  <dc:creator>流年似水</dc:creator>
  <cp:lastModifiedBy>流年似水</cp:lastModifiedBy>
  <dcterms:modified xsi:type="dcterms:W3CDTF">2018-10-04T12:35:09Z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