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939E3" w14:textId="77777777" w:rsidR="0088468E" w:rsidRDefault="0088468E" w:rsidP="0088468E">
      <w:pPr>
        <w:rPr>
          <w:b/>
          <w:sz w:val="28"/>
        </w:rPr>
      </w:pPr>
      <w:r w:rsidRPr="00E0172C">
        <w:rPr>
          <w:b/>
          <w:sz w:val="28"/>
        </w:rPr>
        <w:t>Supplementary Information</w:t>
      </w:r>
    </w:p>
    <w:p w14:paraId="3B28D0D2" w14:textId="77777777" w:rsidR="001D3A02" w:rsidRPr="00E0172C" w:rsidRDefault="001D3A02" w:rsidP="0088468E">
      <w:pPr>
        <w:rPr>
          <w:b/>
          <w:sz w:val="28"/>
        </w:rPr>
      </w:pPr>
    </w:p>
    <w:p w14:paraId="5B6FDB78" w14:textId="77777777" w:rsidR="00C94A6D" w:rsidRPr="00CF53F1" w:rsidRDefault="00C94A6D" w:rsidP="00C94A6D">
      <w:pPr>
        <w:spacing w:after="0" w:line="360" w:lineRule="auto"/>
        <w:rPr>
          <w:rFonts w:cs="Times New Roman"/>
          <w:b/>
          <w:szCs w:val="24"/>
        </w:rPr>
      </w:pPr>
      <w:r>
        <w:rPr>
          <w:rFonts w:cs="Times New Roman"/>
          <w:b/>
          <w:szCs w:val="24"/>
        </w:rPr>
        <w:t xml:space="preserve">Feeding behaviour, risk-sensitivity and response control; effects of </w:t>
      </w:r>
      <w:r w:rsidRPr="00CF53F1">
        <w:rPr>
          <w:rFonts w:cs="Times New Roman"/>
          <w:b/>
          <w:szCs w:val="24"/>
        </w:rPr>
        <w:t>5-HT</w:t>
      </w:r>
      <w:r w:rsidRPr="00053DE9">
        <w:rPr>
          <w:rFonts w:cs="Times New Roman"/>
          <w:b/>
          <w:szCs w:val="24"/>
          <w:vertAlign w:val="subscript"/>
        </w:rPr>
        <w:t>2C</w:t>
      </w:r>
      <w:r>
        <w:rPr>
          <w:rFonts w:cs="Times New Roman"/>
          <w:b/>
          <w:szCs w:val="24"/>
        </w:rPr>
        <w:t xml:space="preserve"> receptor manipulations</w:t>
      </w:r>
    </w:p>
    <w:p w14:paraId="6D43761D" w14:textId="77777777" w:rsidR="00C94A6D" w:rsidRPr="00CF53F1" w:rsidRDefault="00C94A6D" w:rsidP="00C94A6D">
      <w:pPr>
        <w:spacing w:after="0" w:line="360" w:lineRule="auto"/>
        <w:rPr>
          <w:rFonts w:cs="Times New Roman"/>
          <w:szCs w:val="24"/>
        </w:rPr>
      </w:pPr>
    </w:p>
    <w:p w14:paraId="50172979" w14:textId="77777777" w:rsidR="00C94A6D" w:rsidRPr="00CF53F1" w:rsidRDefault="00C94A6D" w:rsidP="00C94A6D">
      <w:pPr>
        <w:spacing w:after="0" w:line="360" w:lineRule="auto"/>
        <w:rPr>
          <w:rFonts w:cs="Times New Roman"/>
          <w:szCs w:val="24"/>
        </w:rPr>
      </w:pPr>
      <w:r w:rsidRPr="00CF53F1">
        <w:rPr>
          <w:rFonts w:cs="Times New Roman"/>
          <w:szCs w:val="24"/>
        </w:rPr>
        <w:t>Trevor Humby</w:t>
      </w:r>
      <w:r w:rsidRPr="00EC2CD4">
        <w:rPr>
          <w:rFonts w:cs="Times New Roman"/>
          <w:szCs w:val="24"/>
          <w:vertAlign w:val="superscript"/>
        </w:rPr>
        <w:t>1</w:t>
      </w:r>
      <w:r>
        <w:rPr>
          <w:rFonts w:cs="Times New Roman"/>
          <w:szCs w:val="24"/>
          <w:vertAlign w:val="superscript"/>
        </w:rPr>
        <w:t>*</w:t>
      </w:r>
      <w:r w:rsidRPr="00CF53F1">
        <w:rPr>
          <w:rFonts w:cs="Times New Roman"/>
          <w:szCs w:val="24"/>
        </w:rPr>
        <w:t>, Yateen Patel</w:t>
      </w:r>
      <w:r w:rsidRPr="00EC2CD4">
        <w:rPr>
          <w:rFonts w:cs="Times New Roman"/>
          <w:szCs w:val="24"/>
          <w:vertAlign w:val="superscript"/>
        </w:rPr>
        <w:t>1</w:t>
      </w:r>
      <w:r w:rsidRPr="00CF53F1">
        <w:rPr>
          <w:rFonts w:cs="Times New Roman"/>
          <w:szCs w:val="24"/>
        </w:rPr>
        <w:t>, Jenny Carter</w:t>
      </w:r>
      <w:r w:rsidRPr="00EC2CD4">
        <w:rPr>
          <w:rFonts w:cs="Times New Roman"/>
          <w:szCs w:val="24"/>
          <w:vertAlign w:val="superscript"/>
        </w:rPr>
        <w:t>1</w:t>
      </w:r>
      <w:r w:rsidRPr="00CF53F1">
        <w:rPr>
          <w:rFonts w:cs="Times New Roman"/>
          <w:szCs w:val="24"/>
        </w:rPr>
        <w:t xml:space="preserve">, </w:t>
      </w:r>
      <w:r>
        <w:rPr>
          <w:rFonts w:cs="Times New Roman"/>
          <w:szCs w:val="24"/>
        </w:rPr>
        <w:t>Laura-Jean G. Stokes</w:t>
      </w:r>
      <w:r w:rsidRPr="00EC2CD4">
        <w:rPr>
          <w:rFonts w:cs="Times New Roman"/>
          <w:szCs w:val="24"/>
          <w:vertAlign w:val="superscript"/>
        </w:rPr>
        <w:t>2</w:t>
      </w:r>
      <w:r>
        <w:rPr>
          <w:rFonts w:cs="Times New Roman"/>
          <w:szCs w:val="24"/>
        </w:rPr>
        <w:t xml:space="preserve">, </w:t>
      </w:r>
      <w:r w:rsidRPr="00CF53F1">
        <w:rPr>
          <w:rFonts w:cs="Times New Roman"/>
          <w:szCs w:val="24"/>
        </w:rPr>
        <w:t>Robert D</w:t>
      </w:r>
      <w:r>
        <w:rPr>
          <w:rFonts w:cs="Times New Roman"/>
          <w:szCs w:val="24"/>
        </w:rPr>
        <w:t>.</w:t>
      </w:r>
      <w:r w:rsidRPr="00CF53F1">
        <w:rPr>
          <w:rFonts w:cs="Times New Roman"/>
          <w:szCs w:val="24"/>
        </w:rPr>
        <w:t xml:space="preserve"> Rogers</w:t>
      </w:r>
      <w:r w:rsidRPr="00EC2CD4">
        <w:rPr>
          <w:rFonts w:cs="Times New Roman"/>
          <w:szCs w:val="24"/>
          <w:vertAlign w:val="superscript"/>
        </w:rPr>
        <w:t>2</w:t>
      </w:r>
      <w:r w:rsidRPr="00CF53F1">
        <w:rPr>
          <w:rFonts w:cs="Times New Roman"/>
          <w:szCs w:val="24"/>
        </w:rPr>
        <w:t xml:space="preserve"> and Lawrence S</w:t>
      </w:r>
      <w:r>
        <w:rPr>
          <w:rFonts w:cs="Times New Roman"/>
          <w:szCs w:val="24"/>
        </w:rPr>
        <w:t>.</w:t>
      </w:r>
      <w:r w:rsidRPr="00CF53F1">
        <w:rPr>
          <w:rFonts w:cs="Times New Roman"/>
          <w:szCs w:val="24"/>
        </w:rPr>
        <w:t xml:space="preserve"> Wilkinson</w:t>
      </w:r>
      <w:r w:rsidRPr="00EC2CD4">
        <w:rPr>
          <w:rFonts w:cs="Times New Roman"/>
          <w:szCs w:val="24"/>
          <w:vertAlign w:val="superscript"/>
        </w:rPr>
        <w:t>1</w:t>
      </w:r>
      <w:r>
        <w:rPr>
          <w:rFonts w:cs="Times New Roman"/>
          <w:szCs w:val="24"/>
          <w:vertAlign w:val="superscript"/>
        </w:rPr>
        <w:t>*</w:t>
      </w:r>
    </w:p>
    <w:p w14:paraId="239EF960" w14:textId="77777777" w:rsidR="00C94A6D" w:rsidRPr="00CF53F1" w:rsidRDefault="00C94A6D" w:rsidP="00C94A6D">
      <w:pPr>
        <w:spacing w:after="0" w:line="360" w:lineRule="auto"/>
        <w:rPr>
          <w:rFonts w:cs="Times New Roman"/>
          <w:szCs w:val="24"/>
        </w:rPr>
      </w:pPr>
    </w:p>
    <w:p w14:paraId="24D1995D" w14:textId="1D4EAB2F" w:rsidR="00C94A6D" w:rsidRPr="00CF53F1" w:rsidRDefault="00C94A6D" w:rsidP="00C94A6D">
      <w:pPr>
        <w:spacing w:after="0" w:line="360" w:lineRule="auto"/>
        <w:rPr>
          <w:rStyle w:val="rphighlightallclass"/>
          <w:rFonts w:cs="Times New Roman"/>
          <w:szCs w:val="24"/>
        </w:rPr>
      </w:pPr>
      <w:r w:rsidRPr="00CF53F1">
        <w:rPr>
          <w:rFonts w:cs="Times New Roman"/>
          <w:szCs w:val="24"/>
        </w:rPr>
        <w:t xml:space="preserve">For </w:t>
      </w:r>
      <w:r w:rsidRPr="00CF53F1">
        <w:rPr>
          <w:rStyle w:val="rphighlightallclass"/>
          <w:rFonts w:cs="Times New Roman"/>
          <w:szCs w:val="24"/>
        </w:rPr>
        <w:t>Philosophical Transactions of the Royal Society</w:t>
      </w:r>
      <w:r w:rsidR="00191127">
        <w:rPr>
          <w:rStyle w:val="rphighlightallclass"/>
          <w:rFonts w:cs="Times New Roman"/>
          <w:szCs w:val="24"/>
        </w:rPr>
        <w:t xml:space="preserve"> B</w:t>
      </w:r>
    </w:p>
    <w:p w14:paraId="17F55530" w14:textId="77777777" w:rsidR="00C94A6D" w:rsidRPr="00CF53F1" w:rsidRDefault="00C94A6D" w:rsidP="00C94A6D">
      <w:pPr>
        <w:spacing w:after="0" w:line="360" w:lineRule="auto"/>
        <w:rPr>
          <w:rFonts w:cs="Times New Roman"/>
          <w:szCs w:val="24"/>
        </w:rPr>
      </w:pPr>
    </w:p>
    <w:p w14:paraId="39D1C218" w14:textId="77777777" w:rsidR="00C94A6D" w:rsidRPr="00CF53F1" w:rsidRDefault="00C94A6D" w:rsidP="00C94A6D">
      <w:pPr>
        <w:spacing w:after="0" w:line="360" w:lineRule="auto"/>
        <w:rPr>
          <w:rFonts w:cs="Times New Roman"/>
          <w:color w:val="000000"/>
          <w:szCs w:val="24"/>
          <w:vertAlign w:val="superscript"/>
        </w:rPr>
      </w:pPr>
      <w:r w:rsidRPr="00CF53F1">
        <w:rPr>
          <w:rFonts w:cs="Times New Roman"/>
          <w:szCs w:val="24"/>
          <w:vertAlign w:val="superscript"/>
        </w:rPr>
        <w:t>1</w:t>
      </w:r>
      <w:r w:rsidRPr="00CF53F1">
        <w:rPr>
          <w:rFonts w:cs="Times New Roman"/>
          <w:szCs w:val="24"/>
        </w:rPr>
        <w:t xml:space="preserve">Behavioral Genetics Group, Schools of Medicine and Psychology, Cardiff University, UK; MRC Centre for Neuropsychiatric Genetics and Genomics and Division of Psychological Medicine and Clinical Neurosciences, School of Medicine, Cardiff University, UK; </w:t>
      </w:r>
      <w:r w:rsidRPr="00CF53F1">
        <w:rPr>
          <w:rFonts w:cs="Times New Roman"/>
          <w:color w:val="000000"/>
          <w:szCs w:val="24"/>
        </w:rPr>
        <w:t>Neuroscience and Mental Health Research Institute, Cardiff University, UK.</w:t>
      </w:r>
    </w:p>
    <w:p w14:paraId="3F0FDA47" w14:textId="77777777" w:rsidR="00C94A6D" w:rsidRPr="00CF53F1" w:rsidRDefault="00C94A6D" w:rsidP="00C94A6D">
      <w:pPr>
        <w:spacing w:after="0" w:line="360" w:lineRule="auto"/>
        <w:rPr>
          <w:rFonts w:cs="Times New Roman"/>
          <w:szCs w:val="24"/>
        </w:rPr>
      </w:pPr>
      <w:r>
        <w:rPr>
          <w:rFonts w:cs="Times New Roman"/>
          <w:szCs w:val="24"/>
          <w:vertAlign w:val="superscript"/>
        </w:rPr>
        <w:t>2</w:t>
      </w:r>
      <w:r w:rsidRPr="00CF53F1">
        <w:rPr>
          <w:rFonts w:cs="Times New Roman"/>
          <w:szCs w:val="24"/>
        </w:rPr>
        <w:t>School of Psychology, Bangor University, UK</w:t>
      </w:r>
    </w:p>
    <w:p w14:paraId="5E359B2D" w14:textId="77777777" w:rsidR="00C94A6D" w:rsidRPr="00CF53F1" w:rsidRDefault="00C94A6D" w:rsidP="00C94A6D">
      <w:pPr>
        <w:spacing w:after="0" w:line="360" w:lineRule="auto"/>
        <w:rPr>
          <w:rFonts w:cs="Times New Roman"/>
          <w:szCs w:val="24"/>
        </w:rPr>
      </w:pPr>
    </w:p>
    <w:p w14:paraId="498EEED4" w14:textId="77777777" w:rsidR="00C94A6D" w:rsidRPr="00CF53F1" w:rsidRDefault="00C94A6D" w:rsidP="00C94A6D">
      <w:pPr>
        <w:spacing w:after="0" w:line="360" w:lineRule="auto"/>
        <w:rPr>
          <w:rFonts w:cs="Times New Roman"/>
          <w:szCs w:val="24"/>
        </w:rPr>
      </w:pPr>
      <w:r w:rsidRPr="00CF53F1">
        <w:rPr>
          <w:rFonts w:cs="Times New Roman"/>
          <w:szCs w:val="24"/>
        </w:rPr>
        <w:t>*to whom correspondence should be addressed:</w:t>
      </w:r>
    </w:p>
    <w:p w14:paraId="0B6D20EC" w14:textId="77777777" w:rsidR="00C94A6D" w:rsidRPr="00CF53F1" w:rsidRDefault="00C94A6D" w:rsidP="00C94A6D">
      <w:pPr>
        <w:spacing w:after="0" w:line="360" w:lineRule="auto"/>
        <w:rPr>
          <w:rFonts w:cs="Times New Roman"/>
          <w:szCs w:val="24"/>
        </w:rPr>
      </w:pPr>
      <w:r>
        <w:rPr>
          <w:rFonts w:cs="Times New Roman"/>
          <w:szCs w:val="24"/>
        </w:rPr>
        <w:t>Dr Trevor Humby</w:t>
      </w:r>
      <w:r w:rsidRPr="00CF53F1">
        <w:rPr>
          <w:rFonts w:cs="Times New Roman"/>
          <w:szCs w:val="24"/>
        </w:rPr>
        <w:t>, School</w:t>
      </w:r>
      <w:r>
        <w:rPr>
          <w:rFonts w:cs="Times New Roman"/>
          <w:szCs w:val="24"/>
        </w:rPr>
        <w:t xml:space="preserve"> o</w:t>
      </w:r>
      <w:r w:rsidRPr="00CF53F1">
        <w:rPr>
          <w:rFonts w:cs="Times New Roman"/>
          <w:szCs w:val="24"/>
        </w:rPr>
        <w:t>f Psychology, Cardiff University, Cardiff, CF10 3AT</w:t>
      </w:r>
    </w:p>
    <w:p w14:paraId="7494B268" w14:textId="77777777" w:rsidR="00C94A6D" w:rsidRPr="00CF53F1" w:rsidRDefault="00C94A6D" w:rsidP="00C94A6D">
      <w:pPr>
        <w:spacing w:after="0" w:line="360" w:lineRule="auto"/>
        <w:rPr>
          <w:rFonts w:cs="Times New Roman"/>
          <w:szCs w:val="24"/>
        </w:rPr>
      </w:pPr>
      <w:r w:rsidRPr="00CF53F1">
        <w:rPr>
          <w:rFonts w:cs="Times New Roman"/>
          <w:szCs w:val="24"/>
        </w:rPr>
        <w:t xml:space="preserve">Tel: +44-(0)29 20870357, Fax: +44-(0)29 20874858, e-mail: </w:t>
      </w:r>
      <w:hyperlink r:id="rId6" w:history="1">
        <w:r w:rsidRPr="009863E5">
          <w:rPr>
            <w:rStyle w:val="Hyperlink"/>
            <w:rFonts w:cs="Times New Roman"/>
            <w:szCs w:val="24"/>
          </w:rPr>
          <w:t>humbyt@cardiff.ac.uk</w:t>
        </w:r>
      </w:hyperlink>
    </w:p>
    <w:p w14:paraId="078D3439" w14:textId="77777777" w:rsidR="00C94A6D" w:rsidRDefault="00C94A6D" w:rsidP="00C94A6D">
      <w:pPr>
        <w:spacing w:after="0" w:line="360" w:lineRule="auto"/>
        <w:rPr>
          <w:rFonts w:cs="Times New Roman"/>
          <w:szCs w:val="24"/>
        </w:rPr>
      </w:pPr>
      <w:r>
        <w:rPr>
          <w:rFonts w:cs="Times New Roman"/>
          <w:szCs w:val="24"/>
        </w:rPr>
        <w:t>Professor Lawrence Wilkinson, Cardiff University, Cardiff CF10 3AT</w:t>
      </w:r>
    </w:p>
    <w:p w14:paraId="4F192CAC" w14:textId="77777777" w:rsidR="00C94A6D" w:rsidRDefault="00C94A6D" w:rsidP="00C94A6D">
      <w:pPr>
        <w:spacing w:after="0" w:line="360" w:lineRule="auto"/>
        <w:rPr>
          <w:rFonts w:cs="Times New Roman"/>
          <w:szCs w:val="24"/>
        </w:rPr>
      </w:pPr>
      <w:r>
        <w:rPr>
          <w:rFonts w:cs="Times New Roman"/>
          <w:szCs w:val="24"/>
        </w:rPr>
        <w:t xml:space="preserve">Tel: +44-(0)29 20870357, </w:t>
      </w:r>
      <w:r w:rsidRPr="00CF53F1">
        <w:rPr>
          <w:rFonts w:cs="Times New Roman"/>
          <w:szCs w:val="24"/>
        </w:rPr>
        <w:t>Fax: +44-(0)29 20874858</w:t>
      </w:r>
      <w:r>
        <w:rPr>
          <w:rFonts w:cs="Times New Roman"/>
          <w:szCs w:val="24"/>
        </w:rPr>
        <w:t xml:space="preserve">, e-mail: </w:t>
      </w:r>
      <w:hyperlink r:id="rId7" w:history="1">
        <w:r w:rsidRPr="00C1743A">
          <w:rPr>
            <w:rStyle w:val="Hyperlink"/>
            <w:rFonts w:cs="Times New Roman"/>
            <w:szCs w:val="24"/>
          </w:rPr>
          <w:t>wilkinsonL@cardiff.ac.uk</w:t>
        </w:r>
      </w:hyperlink>
    </w:p>
    <w:p w14:paraId="13D3A4A5" w14:textId="77777777" w:rsidR="00C94A6D" w:rsidRPr="00CF53F1" w:rsidRDefault="00C94A6D" w:rsidP="00C94A6D">
      <w:pPr>
        <w:spacing w:after="0" w:line="360" w:lineRule="auto"/>
        <w:rPr>
          <w:rFonts w:cs="Times New Roman"/>
          <w:szCs w:val="24"/>
        </w:rPr>
      </w:pPr>
    </w:p>
    <w:p w14:paraId="395FFF78" w14:textId="77777777" w:rsidR="00C94A6D" w:rsidRPr="00391514" w:rsidRDefault="00C94A6D" w:rsidP="00C94A6D">
      <w:pPr>
        <w:spacing w:after="0" w:line="360" w:lineRule="auto"/>
        <w:rPr>
          <w:rFonts w:cs="Times New Roman"/>
          <w:szCs w:val="24"/>
        </w:rPr>
      </w:pPr>
      <w:r w:rsidRPr="00CF53F1">
        <w:rPr>
          <w:rFonts w:cs="Times New Roman"/>
          <w:szCs w:val="24"/>
        </w:rPr>
        <w:t xml:space="preserve">Running title: Pharmacology of </w:t>
      </w:r>
      <w:r w:rsidRPr="00391514">
        <w:rPr>
          <w:rFonts w:cs="Times New Roman"/>
          <w:szCs w:val="24"/>
        </w:rPr>
        <w:t>feeding behaviour, risk and response control</w:t>
      </w:r>
      <w:r w:rsidRPr="00391514" w:rsidDel="00F72882">
        <w:rPr>
          <w:rFonts w:cs="Times New Roman"/>
          <w:szCs w:val="24"/>
        </w:rPr>
        <w:t xml:space="preserve"> </w:t>
      </w:r>
      <w:r w:rsidRPr="00391514">
        <w:rPr>
          <w:rFonts w:cs="Times New Roman"/>
          <w:szCs w:val="24"/>
        </w:rPr>
        <w:t>in mouse models</w:t>
      </w:r>
    </w:p>
    <w:p w14:paraId="418D231B" w14:textId="5E889E72" w:rsidR="00A63D24" w:rsidRDefault="00A63D24" w:rsidP="00A63D24"/>
    <w:p w14:paraId="3A335AE0" w14:textId="30EB3E41" w:rsidR="00A63D24" w:rsidRPr="00E0172C" w:rsidRDefault="00A63D24" w:rsidP="00A63D24">
      <w:pPr>
        <w:rPr>
          <w:b/>
          <w:sz w:val="28"/>
        </w:rPr>
      </w:pPr>
      <w:r w:rsidRPr="00E0172C">
        <w:rPr>
          <w:b/>
          <w:sz w:val="28"/>
        </w:rPr>
        <w:t>Supplementary Information</w:t>
      </w:r>
    </w:p>
    <w:p w14:paraId="1C9487E2" w14:textId="77777777" w:rsidR="00A41692" w:rsidRDefault="00A41692" w:rsidP="00A41692">
      <w:pPr>
        <w:pStyle w:val="ListParagraph"/>
        <w:numPr>
          <w:ilvl w:val="0"/>
          <w:numId w:val="1"/>
        </w:numPr>
      </w:pPr>
      <w:r>
        <w:t>Supplementary Methods Figure 1</w:t>
      </w:r>
    </w:p>
    <w:p w14:paraId="474DE14A" w14:textId="6E348DFD" w:rsidR="009956D0" w:rsidRDefault="009956D0" w:rsidP="00A41692">
      <w:pPr>
        <w:pStyle w:val="ListParagraph"/>
        <w:numPr>
          <w:ilvl w:val="0"/>
          <w:numId w:val="1"/>
        </w:numPr>
      </w:pPr>
      <w:r>
        <w:t>Supplementary Methods Table 1</w:t>
      </w:r>
    </w:p>
    <w:p w14:paraId="092DAAAB" w14:textId="601AD5EC" w:rsidR="00A41692" w:rsidRDefault="00A41692" w:rsidP="00A41692">
      <w:pPr>
        <w:pStyle w:val="ListParagraph"/>
        <w:numPr>
          <w:ilvl w:val="0"/>
          <w:numId w:val="1"/>
        </w:numPr>
      </w:pPr>
      <w:r>
        <w:t>Supplementary Results Figure 1</w:t>
      </w:r>
    </w:p>
    <w:p w14:paraId="35077EDC" w14:textId="5C9FF02B" w:rsidR="00A41692" w:rsidRDefault="00A41692" w:rsidP="00A41692">
      <w:pPr>
        <w:pStyle w:val="ListParagraph"/>
        <w:numPr>
          <w:ilvl w:val="0"/>
          <w:numId w:val="1"/>
        </w:numPr>
      </w:pPr>
      <w:r>
        <w:t>Supplementary Results Figure 2</w:t>
      </w:r>
    </w:p>
    <w:p w14:paraId="7B9A833A" w14:textId="2F140C5D" w:rsidR="00A41692" w:rsidRDefault="00A41692" w:rsidP="00A41692">
      <w:pPr>
        <w:pStyle w:val="ListParagraph"/>
        <w:numPr>
          <w:ilvl w:val="0"/>
          <w:numId w:val="1"/>
        </w:numPr>
      </w:pPr>
      <w:r>
        <w:t>Supplementary Results Figure 3</w:t>
      </w:r>
    </w:p>
    <w:p w14:paraId="1AD6AFE0" w14:textId="0F082A5D" w:rsidR="00A63D24" w:rsidRDefault="00A41692" w:rsidP="00A63D24">
      <w:pPr>
        <w:pStyle w:val="ListParagraph"/>
        <w:numPr>
          <w:ilvl w:val="0"/>
          <w:numId w:val="1"/>
        </w:numPr>
      </w:pPr>
      <w:r>
        <w:t>Supplementary Results Figure 4</w:t>
      </w:r>
    </w:p>
    <w:p w14:paraId="7DCAC15C" w14:textId="6668F203" w:rsidR="00A63D24" w:rsidRDefault="00A63D24" w:rsidP="00A63D24"/>
    <w:tbl>
      <w:tblPr>
        <w:tblStyle w:val="TableGrid"/>
        <w:tblW w:w="0" w:type="auto"/>
        <w:tblLook w:val="04A0" w:firstRow="1" w:lastRow="0" w:firstColumn="1" w:lastColumn="0" w:noHBand="0" w:noVBand="1"/>
      </w:tblPr>
      <w:tblGrid>
        <w:gridCol w:w="9080"/>
      </w:tblGrid>
      <w:tr w:rsidR="009F70CB" w14:paraId="1C281D07" w14:textId="77777777" w:rsidTr="001D3A02">
        <w:tc>
          <w:tcPr>
            <w:tcW w:w="9080" w:type="dxa"/>
          </w:tcPr>
          <w:p w14:paraId="2095569A" w14:textId="75BD4CB6" w:rsidR="009F70CB" w:rsidRDefault="002450B3" w:rsidP="00414ACA">
            <w:pPr>
              <w:jc w:val="center"/>
            </w:pPr>
            <w:r>
              <w:rPr>
                <w:noProof/>
                <w:lang w:eastAsia="en-GB"/>
              </w:rPr>
              <w:lastRenderedPageBreak/>
              <w:drawing>
                <wp:inline distT="0" distB="0" distL="0" distR="0" wp14:anchorId="7A34DF52" wp14:editId="6AB2D936">
                  <wp:extent cx="5628999" cy="177235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7.JPG"/>
                          <pic:cNvPicPr/>
                        </pic:nvPicPr>
                        <pic:blipFill rotWithShape="1">
                          <a:blip r:embed="rId8">
                            <a:extLst>
                              <a:ext uri="{28A0092B-C50C-407E-A947-70E740481C1C}">
                                <a14:useLocalDpi xmlns:a14="http://schemas.microsoft.com/office/drawing/2010/main" val="0"/>
                              </a:ext>
                            </a:extLst>
                          </a:blip>
                          <a:srcRect l="12633" t="35000" r="9006" b="32105"/>
                          <a:stretch/>
                        </pic:blipFill>
                        <pic:spPr bwMode="auto">
                          <a:xfrm>
                            <a:off x="0" y="0"/>
                            <a:ext cx="5641034" cy="1776146"/>
                          </a:xfrm>
                          <a:prstGeom prst="rect">
                            <a:avLst/>
                          </a:prstGeom>
                          <a:ln>
                            <a:noFill/>
                          </a:ln>
                          <a:extLst>
                            <a:ext uri="{53640926-AAD7-44D8-BBD7-CCE9431645EC}">
                              <a14:shadowObscured xmlns:a14="http://schemas.microsoft.com/office/drawing/2010/main"/>
                            </a:ext>
                          </a:extLst>
                        </pic:spPr>
                      </pic:pic>
                    </a:graphicData>
                  </a:graphic>
                </wp:inline>
              </w:drawing>
            </w:r>
          </w:p>
        </w:tc>
      </w:tr>
      <w:tr w:rsidR="009F70CB" w:rsidRPr="00300A48" w14:paraId="43C7C072" w14:textId="77777777" w:rsidTr="001D3A02">
        <w:trPr>
          <w:trHeight w:val="1835"/>
        </w:trPr>
        <w:tc>
          <w:tcPr>
            <w:tcW w:w="9080" w:type="dxa"/>
          </w:tcPr>
          <w:p w14:paraId="03A09D86" w14:textId="35E15A97" w:rsidR="009F70CB" w:rsidRPr="00300A48" w:rsidRDefault="009F70CB" w:rsidP="00BE3FFD">
            <w:pPr>
              <w:rPr>
                <w:rFonts w:cs="Times New Roman"/>
                <w:sz w:val="22"/>
                <w:szCs w:val="24"/>
              </w:rPr>
            </w:pPr>
            <w:r w:rsidRPr="00300A48">
              <w:rPr>
                <w:rFonts w:cs="Times New Roman"/>
                <w:b/>
                <w:sz w:val="22"/>
                <w:szCs w:val="24"/>
              </w:rPr>
              <w:t>Supplementary Methods Figure 1: Task stimuli.</w:t>
            </w:r>
            <w:r w:rsidR="00BE3FFD" w:rsidRPr="00300A48">
              <w:rPr>
                <w:rFonts w:cs="Times New Roman"/>
                <w:b/>
                <w:sz w:val="22"/>
                <w:szCs w:val="24"/>
              </w:rPr>
              <w:t xml:space="preserve"> </w:t>
            </w:r>
            <w:r w:rsidR="00BE3FFD" w:rsidRPr="00300A48">
              <w:rPr>
                <w:rFonts w:cs="Times New Roman"/>
                <w:sz w:val="22"/>
                <w:szCs w:val="24"/>
              </w:rPr>
              <w:t>Different pairs of stimuli were used for each phase of the experiments, with patterns selected for similarity of depth of shading (proportions of black and white) and complexity.  For each task, the stimuli associated with each task choice (fixed or variable) were counter-balanced between subjects</w:t>
            </w:r>
            <w:r w:rsidR="00FA581E" w:rsidRPr="00300A48">
              <w:rPr>
                <w:rFonts w:cs="Times New Roman"/>
                <w:sz w:val="22"/>
                <w:szCs w:val="24"/>
              </w:rPr>
              <w:t>, and stimuli locations were randomly determined per trial</w:t>
            </w:r>
            <w:r w:rsidR="00BE3FFD" w:rsidRPr="00300A48">
              <w:rPr>
                <w:rFonts w:cs="Times New Roman"/>
                <w:sz w:val="22"/>
                <w:szCs w:val="24"/>
              </w:rPr>
              <w:t xml:space="preserve">.  Patterns were selected from the </w:t>
            </w:r>
            <w:r w:rsidR="00FA581E" w:rsidRPr="00300A48">
              <w:rPr>
                <w:rFonts w:cs="Times New Roman"/>
                <w:sz w:val="22"/>
                <w:szCs w:val="24"/>
              </w:rPr>
              <w:t xml:space="preserve">image </w:t>
            </w:r>
            <w:r w:rsidR="00BE3FFD" w:rsidRPr="00300A48">
              <w:rPr>
                <w:rFonts w:cs="Times New Roman"/>
                <w:sz w:val="22"/>
                <w:szCs w:val="24"/>
              </w:rPr>
              <w:t>database supplied with the touchscreen operant chambers (</w:t>
            </w:r>
            <w:proofErr w:type="spellStart"/>
            <w:r w:rsidR="00BE3FFD" w:rsidRPr="00300A48">
              <w:rPr>
                <w:rFonts w:cs="Times New Roman"/>
                <w:sz w:val="22"/>
                <w:szCs w:val="24"/>
              </w:rPr>
              <w:t>Campden</w:t>
            </w:r>
            <w:proofErr w:type="spellEnd"/>
            <w:r w:rsidR="00BE3FFD" w:rsidRPr="00300A48">
              <w:rPr>
                <w:rFonts w:cs="Times New Roman"/>
                <w:sz w:val="22"/>
                <w:szCs w:val="24"/>
              </w:rPr>
              <w:t xml:space="preserve"> Cognition, U.K)</w:t>
            </w:r>
            <w:r w:rsidR="00051D43" w:rsidRPr="00300A48">
              <w:rPr>
                <w:rFonts w:cs="Times New Roman"/>
                <w:sz w:val="22"/>
                <w:szCs w:val="24"/>
              </w:rPr>
              <w:t>.</w:t>
            </w:r>
          </w:p>
        </w:tc>
      </w:tr>
    </w:tbl>
    <w:p w14:paraId="0350080E" w14:textId="77777777" w:rsidR="00A63D24" w:rsidRDefault="00A63D24" w:rsidP="00A63D24"/>
    <w:tbl>
      <w:tblPr>
        <w:tblStyle w:val="TableGrid"/>
        <w:tblW w:w="0" w:type="auto"/>
        <w:tblLook w:val="04A0" w:firstRow="1" w:lastRow="0" w:firstColumn="1" w:lastColumn="0" w:noHBand="0" w:noVBand="1"/>
      </w:tblPr>
      <w:tblGrid>
        <w:gridCol w:w="9016"/>
      </w:tblGrid>
      <w:tr w:rsidR="00A63D24" w14:paraId="6B9081EC" w14:textId="77777777" w:rsidTr="00A63D24">
        <w:tc>
          <w:tcPr>
            <w:tcW w:w="9016" w:type="dxa"/>
          </w:tcPr>
          <w:p w14:paraId="65403725" w14:textId="6F47E66C" w:rsidR="00A63D24" w:rsidRDefault="008B1BAC" w:rsidP="00F52080">
            <w:pPr>
              <w:jc w:val="center"/>
            </w:pPr>
            <w:r>
              <w:rPr>
                <w:noProof/>
                <w:lang w:eastAsia="en-GB"/>
              </w:rPr>
              <w:drawing>
                <wp:inline distT="0" distB="0" distL="0" distR="0" wp14:anchorId="05BFA8BE" wp14:editId="260254AE">
                  <wp:extent cx="3973689" cy="1409685"/>
                  <wp:effectExtent l="0" t="0" r="825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4460" cy="1413506"/>
                          </a:xfrm>
                          <a:prstGeom prst="rect">
                            <a:avLst/>
                          </a:prstGeom>
                          <a:noFill/>
                        </pic:spPr>
                      </pic:pic>
                    </a:graphicData>
                  </a:graphic>
                </wp:inline>
              </w:drawing>
            </w:r>
          </w:p>
        </w:tc>
      </w:tr>
      <w:tr w:rsidR="00A63D24" w:rsidRPr="00300A48" w14:paraId="087D0664" w14:textId="77777777" w:rsidTr="007A54E0">
        <w:trPr>
          <w:trHeight w:val="3807"/>
        </w:trPr>
        <w:tc>
          <w:tcPr>
            <w:tcW w:w="9016" w:type="dxa"/>
          </w:tcPr>
          <w:p w14:paraId="7B76D7C3" w14:textId="4775C5C5" w:rsidR="00367523" w:rsidRPr="00300A48" w:rsidRDefault="00FD344A" w:rsidP="009F1C08">
            <w:pPr>
              <w:rPr>
                <w:rFonts w:cs="Times New Roman"/>
                <w:sz w:val="22"/>
                <w:szCs w:val="24"/>
              </w:rPr>
            </w:pPr>
            <w:r w:rsidRPr="00300A48">
              <w:rPr>
                <w:rFonts w:cs="Times New Roman"/>
                <w:b/>
                <w:sz w:val="22"/>
                <w:szCs w:val="24"/>
              </w:rPr>
              <w:t>Supplementary Methods Table 1: Task parameters.</w:t>
            </w:r>
            <w:r w:rsidR="009F1C08" w:rsidRPr="00300A48">
              <w:rPr>
                <w:rFonts w:cs="Times New Roman"/>
                <w:b/>
                <w:sz w:val="22"/>
                <w:szCs w:val="24"/>
              </w:rPr>
              <w:t xml:space="preserve">  </w:t>
            </w:r>
            <w:r w:rsidR="00A41692" w:rsidRPr="00300A48">
              <w:rPr>
                <w:rFonts w:cs="Times New Roman"/>
                <w:sz w:val="22"/>
                <w:szCs w:val="24"/>
              </w:rPr>
              <w:t xml:space="preserve">The combination of delay durations and reward quantities </w:t>
            </w:r>
            <w:r w:rsidR="009F1C08" w:rsidRPr="00300A48">
              <w:rPr>
                <w:rFonts w:cs="Times New Roman"/>
                <w:sz w:val="22"/>
                <w:szCs w:val="24"/>
              </w:rPr>
              <w:t xml:space="preserve">were determined </w:t>
            </w:r>
            <w:r w:rsidR="00A41692" w:rsidRPr="00300A48">
              <w:rPr>
                <w:rFonts w:cs="Times New Roman"/>
                <w:sz w:val="22"/>
                <w:szCs w:val="24"/>
              </w:rPr>
              <w:t xml:space="preserve">for each task </w:t>
            </w:r>
            <w:r w:rsidR="009F1C08" w:rsidRPr="00300A48">
              <w:rPr>
                <w:rFonts w:cs="Times New Roman"/>
                <w:sz w:val="22"/>
                <w:szCs w:val="24"/>
              </w:rPr>
              <w:t xml:space="preserve">such that </w:t>
            </w:r>
            <w:r w:rsidR="00A41692" w:rsidRPr="00300A48">
              <w:rPr>
                <w:rFonts w:cs="Times New Roman"/>
                <w:sz w:val="22"/>
                <w:szCs w:val="24"/>
              </w:rPr>
              <w:t xml:space="preserve">the coefficients of </w:t>
            </w:r>
            <w:r w:rsidR="00367523" w:rsidRPr="00300A48">
              <w:rPr>
                <w:rFonts w:cs="Times New Roman"/>
                <w:sz w:val="22"/>
                <w:szCs w:val="24"/>
              </w:rPr>
              <w:t>reinforcement</w:t>
            </w:r>
            <w:r w:rsidR="00A41692" w:rsidRPr="00300A48">
              <w:rPr>
                <w:rFonts w:cs="Times New Roman"/>
                <w:sz w:val="22"/>
                <w:szCs w:val="24"/>
              </w:rPr>
              <w:t xml:space="preserve"> were </w:t>
            </w:r>
            <w:r w:rsidRPr="00300A48">
              <w:rPr>
                <w:rFonts w:cs="Times New Roman"/>
                <w:sz w:val="22"/>
                <w:szCs w:val="24"/>
              </w:rPr>
              <w:t xml:space="preserve">as </w:t>
            </w:r>
            <w:r w:rsidR="00A41692" w:rsidRPr="00300A48">
              <w:rPr>
                <w:rFonts w:cs="Times New Roman"/>
                <w:sz w:val="22"/>
                <w:szCs w:val="24"/>
              </w:rPr>
              <w:t>equivalent</w:t>
            </w:r>
            <w:r w:rsidRPr="00300A48">
              <w:rPr>
                <w:rFonts w:cs="Times New Roman"/>
                <w:sz w:val="22"/>
                <w:szCs w:val="24"/>
              </w:rPr>
              <w:t xml:space="preserve"> as possible</w:t>
            </w:r>
            <w:r w:rsidR="000E6081" w:rsidRPr="00300A48">
              <w:rPr>
                <w:rFonts w:cs="Times New Roman"/>
                <w:sz w:val="22"/>
                <w:szCs w:val="24"/>
              </w:rPr>
              <w:t xml:space="preserve"> [1.2]</w:t>
            </w:r>
            <w:r w:rsidR="00A41692" w:rsidRPr="00300A48">
              <w:rPr>
                <w:rFonts w:cs="Times New Roman"/>
                <w:sz w:val="22"/>
                <w:szCs w:val="24"/>
              </w:rPr>
              <w:t xml:space="preserve">, </w:t>
            </w:r>
            <w:r w:rsidR="009F1C08" w:rsidRPr="00300A48">
              <w:rPr>
                <w:rFonts w:cs="Times New Roman"/>
                <w:sz w:val="22"/>
                <w:szCs w:val="24"/>
              </w:rPr>
              <w:t>within the constraints of our previous experience in balancing reward amounts and trial numbers</w:t>
            </w:r>
            <w:r w:rsidR="000E6081" w:rsidRPr="00300A48">
              <w:rPr>
                <w:rFonts w:cs="Times New Roman"/>
                <w:sz w:val="22"/>
                <w:szCs w:val="24"/>
              </w:rPr>
              <w:t xml:space="preserve"> [3,4]</w:t>
            </w:r>
            <w:r w:rsidR="009F1C08" w:rsidRPr="00300A48">
              <w:rPr>
                <w:rFonts w:cs="Times New Roman"/>
                <w:sz w:val="22"/>
                <w:szCs w:val="24"/>
              </w:rPr>
              <w:t>.   Variable choices were presented with a probability of 0.5 when selected.</w:t>
            </w:r>
          </w:p>
          <w:p w14:paraId="00A24212" w14:textId="77777777" w:rsidR="00741BD4" w:rsidRPr="00300A48" w:rsidRDefault="00DA5EB0" w:rsidP="007A54E0">
            <w:pPr>
              <w:pStyle w:val="desc"/>
              <w:numPr>
                <w:ilvl w:val="0"/>
                <w:numId w:val="2"/>
              </w:numPr>
              <w:autoSpaceDE w:val="0"/>
              <w:autoSpaceDN w:val="0"/>
              <w:adjustRightInd w:val="0"/>
              <w:spacing w:after="0"/>
              <w:ind w:left="284" w:hanging="284"/>
              <w:rPr>
                <w:bCs/>
                <w:sz w:val="22"/>
                <w:szCs w:val="20"/>
              </w:rPr>
            </w:pPr>
            <w:proofErr w:type="spellStart"/>
            <w:r w:rsidRPr="00300A48">
              <w:rPr>
                <w:bCs/>
                <w:sz w:val="22"/>
                <w:szCs w:val="20"/>
              </w:rPr>
              <w:t>Kacelnik</w:t>
            </w:r>
            <w:proofErr w:type="spellEnd"/>
            <w:r w:rsidRPr="00300A48">
              <w:rPr>
                <w:sz w:val="22"/>
                <w:szCs w:val="20"/>
              </w:rPr>
              <w:t xml:space="preserve"> A, </w:t>
            </w:r>
            <w:r w:rsidRPr="00300A48">
              <w:rPr>
                <w:bCs/>
                <w:sz w:val="22"/>
                <w:szCs w:val="20"/>
              </w:rPr>
              <w:t>Bateson</w:t>
            </w:r>
            <w:r w:rsidRPr="00300A48">
              <w:rPr>
                <w:sz w:val="22"/>
                <w:szCs w:val="20"/>
              </w:rPr>
              <w:t xml:space="preserve"> M. (1997) Risk-sensitivity: crossroads for theories of decision-making. </w:t>
            </w:r>
            <w:r w:rsidRPr="00300A48">
              <w:rPr>
                <w:rStyle w:val="jrnl"/>
                <w:sz w:val="22"/>
                <w:szCs w:val="20"/>
              </w:rPr>
              <w:t xml:space="preserve">Trends </w:t>
            </w:r>
            <w:proofErr w:type="spellStart"/>
            <w:r w:rsidRPr="00300A48">
              <w:rPr>
                <w:rStyle w:val="jrnl"/>
                <w:sz w:val="22"/>
                <w:szCs w:val="20"/>
              </w:rPr>
              <w:t>Cogn</w:t>
            </w:r>
            <w:proofErr w:type="spellEnd"/>
            <w:r w:rsidRPr="00300A48">
              <w:rPr>
                <w:rStyle w:val="jrnl"/>
                <w:sz w:val="22"/>
                <w:szCs w:val="20"/>
              </w:rPr>
              <w:t xml:space="preserve"> Sci</w:t>
            </w:r>
            <w:r w:rsidRPr="00300A48">
              <w:rPr>
                <w:sz w:val="22"/>
                <w:szCs w:val="20"/>
              </w:rPr>
              <w:t>. 1:304-309.</w:t>
            </w:r>
          </w:p>
          <w:p w14:paraId="74548089" w14:textId="00EDAA82" w:rsidR="00741BD4" w:rsidRPr="00300A48" w:rsidRDefault="00741BD4" w:rsidP="007A54E0">
            <w:pPr>
              <w:pStyle w:val="desc"/>
              <w:numPr>
                <w:ilvl w:val="0"/>
                <w:numId w:val="2"/>
              </w:numPr>
              <w:autoSpaceDE w:val="0"/>
              <w:autoSpaceDN w:val="0"/>
              <w:adjustRightInd w:val="0"/>
              <w:spacing w:after="0"/>
              <w:ind w:left="284" w:hanging="284"/>
              <w:rPr>
                <w:bCs/>
                <w:sz w:val="22"/>
                <w:szCs w:val="20"/>
              </w:rPr>
            </w:pPr>
            <w:r w:rsidRPr="00300A48">
              <w:rPr>
                <w:sz w:val="22"/>
                <w:szCs w:val="20"/>
              </w:rPr>
              <w:t xml:space="preserve">Mazur JE (1997) </w:t>
            </w:r>
            <w:r w:rsidRPr="00300A48">
              <w:rPr>
                <w:bCs/>
                <w:sz w:val="22"/>
                <w:szCs w:val="20"/>
              </w:rPr>
              <w:t xml:space="preserve">Choice, delay, probability, and conditioned reinforcement.  </w:t>
            </w:r>
            <w:proofErr w:type="spellStart"/>
            <w:r w:rsidR="005A7EB9" w:rsidRPr="00300A48">
              <w:rPr>
                <w:iCs/>
                <w:sz w:val="22"/>
                <w:szCs w:val="20"/>
              </w:rPr>
              <w:t>Anim</w:t>
            </w:r>
            <w:proofErr w:type="spellEnd"/>
            <w:r w:rsidR="005A7EB9" w:rsidRPr="00300A48">
              <w:rPr>
                <w:iCs/>
                <w:sz w:val="22"/>
                <w:szCs w:val="20"/>
              </w:rPr>
              <w:t xml:space="preserve"> Learn</w:t>
            </w:r>
            <w:r w:rsidRPr="00300A48">
              <w:rPr>
                <w:sz w:val="22"/>
                <w:szCs w:val="20"/>
              </w:rPr>
              <w:t xml:space="preserve"> </w:t>
            </w:r>
            <w:proofErr w:type="spellStart"/>
            <w:r w:rsidR="005A7EB9" w:rsidRPr="00300A48">
              <w:rPr>
                <w:iCs/>
                <w:sz w:val="22"/>
                <w:szCs w:val="20"/>
              </w:rPr>
              <w:t>Behav</w:t>
            </w:r>
            <w:proofErr w:type="spellEnd"/>
            <w:r w:rsidRPr="00300A48">
              <w:rPr>
                <w:iCs/>
                <w:sz w:val="22"/>
                <w:szCs w:val="20"/>
              </w:rPr>
              <w:t xml:space="preserve"> </w:t>
            </w:r>
            <w:r w:rsidR="005A7EB9" w:rsidRPr="00300A48">
              <w:rPr>
                <w:iCs/>
                <w:sz w:val="22"/>
                <w:szCs w:val="20"/>
              </w:rPr>
              <w:t xml:space="preserve"> </w:t>
            </w:r>
            <w:r w:rsidRPr="00300A48">
              <w:rPr>
                <w:sz w:val="22"/>
                <w:szCs w:val="20"/>
              </w:rPr>
              <w:t>25:</w:t>
            </w:r>
            <w:r w:rsidRPr="00300A48">
              <w:rPr>
                <w:iCs/>
                <w:sz w:val="22"/>
                <w:szCs w:val="20"/>
              </w:rPr>
              <w:t>131-14</w:t>
            </w:r>
          </w:p>
          <w:p w14:paraId="4A5EA247" w14:textId="77777777" w:rsidR="00741BD4" w:rsidRPr="00300A48" w:rsidRDefault="00DA5EB0" w:rsidP="007A54E0">
            <w:pPr>
              <w:pStyle w:val="desc"/>
              <w:numPr>
                <w:ilvl w:val="0"/>
                <w:numId w:val="2"/>
              </w:numPr>
              <w:autoSpaceDE w:val="0"/>
              <w:autoSpaceDN w:val="0"/>
              <w:adjustRightInd w:val="0"/>
              <w:spacing w:after="0"/>
              <w:ind w:left="284" w:hanging="284"/>
              <w:rPr>
                <w:bCs/>
                <w:sz w:val="22"/>
                <w:szCs w:val="20"/>
              </w:rPr>
            </w:pPr>
            <w:r w:rsidRPr="00300A48">
              <w:rPr>
                <w:bCs/>
                <w:sz w:val="22"/>
                <w:szCs w:val="20"/>
              </w:rPr>
              <w:t>Humby T</w:t>
            </w:r>
            <w:r w:rsidRPr="00300A48">
              <w:rPr>
                <w:sz w:val="22"/>
                <w:szCs w:val="20"/>
              </w:rPr>
              <w:t xml:space="preserve">, Laird FM, Davies W, Wilkinson LS. (1999) </w:t>
            </w:r>
            <w:proofErr w:type="gramStart"/>
            <w:r w:rsidRPr="00300A48">
              <w:rPr>
                <w:sz w:val="22"/>
                <w:szCs w:val="20"/>
              </w:rPr>
              <w:t>Visuospatial</w:t>
            </w:r>
            <w:proofErr w:type="gramEnd"/>
            <w:r w:rsidRPr="00300A48">
              <w:rPr>
                <w:sz w:val="22"/>
                <w:szCs w:val="20"/>
              </w:rPr>
              <w:t xml:space="preserve"> attentional functioning in mice: interactions between cholinergic manipulations and genotype. </w:t>
            </w:r>
            <w:proofErr w:type="spellStart"/>
            <w:r w:rsidRPr="00300A48">
              <w:rPr>
                <w:rStyle w:val="jrnl"/>
                <w:sz w:val="22"/>
                <w:szCs w:val="20"/>
              </w:rPr>
              <w:t>Eur</w:t>
            </w:r>
            <w:proofErr w:type="spellEnd"/>
            <w:r w:rsidRPr="00300A48">
              <w:rPr>
                <w:rStyle w:val="jrnl"/>
                <w:sz w:val="22"/>
                <w:szCs w:val="20"/>
              </w:rPr>
              <w:t xml:space="preserve"> J </w:t>
            </w:r>
            <w:proofErr w:type="spellStart"/>
            <w:r w:rsidRPr="00300A48">
              <w:rPr>
                <w:rStyle w:val="jrnl"/>
                <w:sz w:val="22"/>
                <w:szCs w:val="20"/>
              </w:rPr>
              <w:t>Neurosci</w:t>
            </w:r>
            <w:proofErr w:type="spellEnd"/>
            <w:r w:rsidRPr="00300A48">
              <w:rPr>
                <w:sz w:val="22"/>
                <w:szCs w:val="20"/>
              </w:rPr>
              <w:t>. 11:2813-2823.</w:t>
            </w:r>
          </w:p>
          <w:p w14:paraId="21D521C3" w14:textId="2B846BF0" w:rsidR="00DA5EB0" w:rsidRPr="00300A48" w:rsidRDefault="00DA5EB0" w:rsidP="007A54E0">
            <w:pPr>
              <w:pStyle w:val="desc"/>
              <w:numPr>
                <w:ilvl w:val="0"/>
                <w:numId w:val="2"/>
              </w:numPr>
              <w:autoSpaceDE w:val="0"/>
              <w:autoSpaceDN w:val="0"/>
              <w:adjustRightInd w:val="0"/>
              <w:spacing w:after="0"/>
              <w:ind w:left="284" w:hanging="284"/>
              <w:rPr>
                <w:b/>
                <w:bCs/>
                <w:sz w:val="22"/>
                <w:szCs w:val="20"/>
              </w:rPr>
            </w:pPr>
            <w:r w:rsidRPr="00300A48">
              <w:rPr>
                <w:bCs/>
                <w:sz w:val="22"/>
                <w:szCs w:val="20"/>
              </w:rPr>
              <w:t>Isles</w:t>
            </w:r>
            <w:r w:rsidRPr="00300A48">
              <w:rPr>
                <w:sz w:val="22"/>
                <w:szCs w:val="20"/>
              </w:rPr>
              <w:t xml:space="preserve"> AR, </w:t>
            </w:r>
            <w:r w:rsidRPr="00300A48">
              <w:rPr>
                <w:bCs/>
                <w:sz w:val="22"/>
                <w:szCs w:val="20"/>
              </w:rPr>
              <w:t>Humby</w:t>
            </w:r>
            <w:r w:rsidRPr="00300A48">
              <w:rPr>
                <w:sz w:val="22"/>
                <w:szCs w:val="20"/>
              </w:rPr>
              <w:t xml:space="preserve"> T, Walters E, Wilkinson LS. (2004) Common genetic effects on variation in impulsivity and activity in mice. </w:t>
            </w:r>
            <w:r w:rsidRPr="00300A48">
              <w:rPr>
                <w:rStyle w:val="jrnl"/>
                <w:sz w:val="22"/>
                <w:szCs w:val="20"/>
              </w:rPr>
              <w:t xml:space="preserve">J </w:t>
            </w:r>
            <w:proofErr w:type="spellStart"/>
            <w:r w:rsidRPr="00300A48">
              <w:rPr>
                <w:rStyle w:val="jrnl"/>
                <w:sz w:val="22"/>
                <w:szCs w:val="20"/>
              </w:rPr>
              <w:t>Neurosci</w:t>
            </w:r>
            <w:proofErr w:type="spellEnd"/>
            <w:r w:rsidRPr="00300A48">
              <w:rPr>
                <w:sz w:val="22"/>
                <w:szCs w:val="20"/>
              </w:rPr>
              <w:t>. 24:6733-6740</w:t>
            </w:r>
          </w:p>
        </w:tc>
      </w:tr>
    </w:tbl>
    <w:p w14:paraId="729BCA2A" w14:textId="5DA7B327" w:rsidR="00A63D24" w:rsidRDefault="00A63D24" w:rsidP="00A63D24"/>
    <w:p w14:paraId="28EE8040" w14:textId="4E5BC03C" w:rsidR="00A74330" w:rsidRDefault="00A74330">
      <w:pPr>
        <w:spacing w:after="160" w:line="259" w:lineRule="auto"/>
        <w:jc w:val="left"/>
      </w:pPr>
      <w:r>
        <w:br w:type="page"/>
      </w:r>
    </w:p>
    <w:tbl>
      <w:tblPr>
        <w:tblStyle w:val="TableGrid"/>
        <w:tblW w:w="0" w:type="auto"/>
        <w:tblLook w:val="04A0" w:firstRow="1" w:lastRow="0" w:firstColumn="1" w:lastColumn="0" w:noHBand="0" w:noVBand="1"/>
      </w:tblPr>
      <w:tblGrid>
        <w:gridCol w:w="9222"/>
      </w:tblGrid>
      <w:tr w:rsidR="00A63D24" w14:paraId="76EF502B" w14:textId="77777777" w:rsidTr="004830CF">
        <w:tc>
          <w:tcPr>
            <w:tcW w:w="9016" w:type="dxa"/>
          </w:tcPr>
          <w:p w14:paraId="3BE262A6" w14:textId="328086F4" w:rsidR="00A63D24" w:rsidRDefault="002450B3" w:rsidP="00634968">
            <w:pPr>
              <w:jc w:val="center"/>
            </w:pPr>
            <w:r>
              <w:rPr>
                <w:noProof/>
                <w:lang w:eastAsia="en-GB"/>
              </w:rPr>
              <w:lastRenderedPageBreak/>
              <w:drawing>
                <wp:inline distT="0" distB="0" distL="0" distR="0" wp14:anchorId="07C60633" wp14:editId="00417DAE">
                  <wp:extent cx="5719282" cy="312702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8.JPG"/>
                          <pic:cNvPicPr/>
                        </pic:nvPicPr>
                        <pic:blipFill rotWithShape="1">
                          <a:blip r:embed="rId10">
                            <a:extLst>
                              <a:ext uri="{28A0092B-C50C-407E-A947-70E740481C1C}">
                                <a14:useLocalDpi xmlns:a14="http://schemas.microsoft.com/office/drawing/2010/main" val="0"/>
                              </a:ext>
                            </a:extLst>
                          </a:blip>
                          <a:srcRect t="14474" b="12631"/>
                          <a:stretch/>
                        </pic:blipFill>
                        <pic:spPr bwMode="auto">
                          <a:xfrm>
                            <a:off x="0" y="0"/>
                            <a:ext cx="5731510" cy="3133709"/>
                          </a:xfrm>
                          <a:prstGeom prst="rect">
                            <a:avLst/>
                          </a:prstGeom>
                          <a:ln>
                            <a:noFill/>
                          </a:ln>
                          <a:extLst>
                            <a:ext uri="{53640926-AAD7-44D8-BBD7-CCE9431645EC}">
                              <a14:shadowObscured xmlns:a14="http://schemas.microsoft.com/office/drawing/2010/main"/>
                            </a:ext>
                          </a:extLst>
                        </pic:spPr>
                      </pic:pic>
                    </a:graphicData>
                  </a:graphic>
                </wp:inline>
              </w:drawing>
            </w:r>
          </w:p>
        </w:tc>
      </w:tr>
      <w:tr w:rsidR="00A63D24" w:rsidRPr="00300A48" w14:paraId="14E402CC" w14:textId="77777777" w:rsidTr="00E84590">
        <w:trPr>
          <w:trHeight w:val="629"/>
        </w:trPr>
        <w:tc>
          <w:tcPr>
            <w:tcW w:w="9016" w:type="dxa"/>
          </w:tcPr>
          <w:p w14:paraId="55E387F7" w14:textId="3ECBE0C8" w:rsidR="004C56A4" w:rsidRPr="00300A48" w:rsidRDefault="004C56A4" w:rsidP="00300A48">
            <w:pPr>
              <w:rPr>
                <w:sz w:val="22"/>
              </w:rPr>
            </w:pPr>
            <w:r w:rsidRPr="00300A48">
              <w:rPr>
                <w:b/>
                <w:sz w:val="22"/>
              </w:rPr>
              <w:t>Supplementary Results Figure 1: Habituation and single stimulus shaping</w:t>
            </w:r>
            <w:r w:rsidR="003C5019" w:rsidRPr="00300A48">
              <w:rPr>
                <w:b/>
                <w:sz w:val="22"/>
              </w:rPr>
              <w:t>.</w:t>
            </w:r>
            <w:r w:rsidR="003C5019" w:rsidRPr="00300A48">
              <w:rPr>
                <w:sz w:val="22"/>
              </w:rPr>
              <w:t xml:space="preserve">  </w:t>
            </w:r>
            <w:r w:rsidR="00B21484" w:rsidRPr="00300A48">
              <w:rPr>
                <w:sz w:val="22"/>
              </w:rPr>
              <w:t>Mice moved through each of the stages of training with relative alacrity, increasing the number of completed trials by the time each training phase terminated (a).  Similarly, response times to collect the food (b) or make contact with a stimulus presented on the touch-screen (c) decreased.</w:t>
            </w:r>
            <w:r w:rsidR="00EB143F" w:rsidRPr="00300A48">
              <w:rPr>
                <w:sz w:val="22"/>
              </w:rPr>
              <w:t xml:space="preserve">    Performance for the single-stimulus sessions, used to stabilise responding between the different tasks (mid-task switch</w:t>
            </w:r>
            <w:r w:rsidR="00D44512" w:rsidRPr="00300A48">
              <w:rPr>
                <w:sz w:val="22"/>
              </w:rPr>
              <w:t>, 3 sessions</w:t>
            </w:r>
            <w:r w:rsidR="00EB143F" w:rsidRPr="00300A48">
              <w:rPr>
                <w:sz w:val="22"/>
              </w:rPr>
              <w:t xml:space="preserve">), and at the end of the initial assessment of responding prior to </w:t>
            </w:r>
            <w:r w:rsidR="00300A48" w:rsidRPr="00300A48">
              <w:rPr>
                <w:sz w:val="22"/>
              </w:rPr>
              <w:t xml:space="preserve">the </w:t>
            </w:r>
            <w:r w:rsidR="00EB143F" w:rsidRPr="00300A48">
              <w:rPr>
                <w:sz w:val="22"/>
              </w:rPr>
              <w:t>task manipulation</w:t>
            </w:r>
            <w:r w:rsidR="00E84590" w:rsidRPr="00300A48">
              <w:rPr>
                <w:sz w:val="22"/>
              </w:rPr>
              <w:t xml:space="preserve"> (also 3 sessions)</w:t>
            </w:r>
            <w:r w:rsidR="00EB143F" w:rsidRPr="00300A48">
              <w:rPr>
                <w:sz w:val="22"/>
              </w:rPr>
              <w:t xml:space="preserve"> and drug challenges was consistent through each phase of testing (a</w:t>
            </w:r>
            <w:r w:rsidR="00A74330" w:rsidRPr="00300A48">
              <w:rPr>
                <w:sz w:val="22"/>
              </w:rPr>
              <w:t xml:space="preserve"> to </w:t>
            </w:r>
            <w:r w:rsidR="00EB143F" w:rsidRPr="00300A48">
              <w:rPr>
                <w:sz w:val="22"/>
              </w:rPr>
              <w:t xml:space="preserve">c).  </w:t>
            </w:r>
            <w:r w:rsidR="00E84590" w:rsidRPr="00300A48">
              <w:rPr>
                <w:sz w:val="22"/>
              </w:rPr>
              <w:t xml:space="preserve">Subjects took ~7 sessions (d) and ~230 trials (e) to reach criteria when learning to contact the touch-screens to earn reward during the single-stimulus training phase.  </w:t>
            </w:r>
            <w:r w:rsidR="00FE347B" w:rsidRPr="00300A48">
              <w:rPr>
                <w:rFonts w:cs="Times New Roman"/>
                <w:sz w:val="22"/>
                <w:szCs w:val="24"/>
              </w:rPr>
              <w:t xml:space="preserve">Data shows </w:t>
            </w:r>
            <w:proofErr w:type="spellStart"/>
            <w:r w:rsidR="00FE347B" w:rsidRPr="00300A48">
              <w:rPr>
                <w:rFonts w:cs="Times New Roman"/>
                <w:sz w:val="22"/>
                <w:szCs w:val="24"/>
              </w:rPr>
              <w:t>mean±SE</w:t>
            </w:r>
            <w:proofErr w:type="spellEnd"/>
            <w:r w:rsidR="00FE347B" w:rsidRPr="00300A48">
              <w:rPr>
                <w:rFonts w:cs="Times New Roman"/>
                <w:sz w:val="22"/>
                <w:szCs w:val="24"/>
              </w:rPr>
              <w:t xml:space="preserve">, N=44. </w:t>
            </w:r>
          </w:p>
        </w:tc>
      </w:tr>
    </w:tbl>
    <w:p w14:paraId="01D161AE" w14:textId="0A13FE82" w:rsidR="00A74330" w:rsidRDefault="00A74330" w:rsidP="00A63D24"/>
    <w:p w14:paraId="3C176BB6" w14:textId="77777777" w:rsidR="00A74330" w:rsidRDefault="00A74330">
      <w:pPr>
        <w:spacing w:after="160" w:line="259" w:lineRule="auto"/>
        <w:jc w:val="left"/>
      </w:pPr>
      <w:r>
        <w:br w:type="page"/>
      </w:r>
    </w:p>
    <w:tbl>
      <w:tblPr>
        <w:tblStyle w:val="TableGrid"/>
        <w:tblW w:w="0" w:type="auto"/>
        <w:tblLook w:val="04A0" w:firstRow="1" w:lastRow="0" w:firstColumn="1" w:lastColumn="0" w:noHBand="0" w:noVBand="1"/>
      </w:tblPr>
      <w:tblGrid>
        <w:gridCol w:w="9242"/>
      </w:tblGrid>
      <w:tr w:rsidR="00A81A15" w14:paraId="24E33EF4" w14:textId="77777777" w:rsidTr="00AF1DC2">
        <w:tc>
          <w:tcPr>
            <w:tcW w:w="9242" w:type="dxa"/>
          </w:tcPr>
          <w:p w14:paraId="56235791" w14:textId="77777777" w:rsidR="00A81A15" w:rsidRDefault="00A81A15" w:rsidP="00AF1DC2">
            <w:r>
              <w:lastRenderedPageBreak/>
              <w:br w:type="page"/>
            </w:r>
            <w:r>
              <w:rPr>
                <w:noProof/>
                <w:lang w:eastAsia="en-GB"/>
              </w:rPr>
              <w:drawing>
                <wp:inline distT="0" distB="0" distL="0" distR="0" wp14:anchorId="0CF0D2F4" wp14:editId="0DD9837B">
                  <wp:extent cx="5681330" cy="2133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0.JPG"/>
                          <pic:cNvPicPr/>
                        </pic:nvPicPr>
                        <pic:blipFill rotWithShape="1">
                          <a:blip r:embed="rId11">
                            <a:extLst>
                              <a:ext uri="{28A0092B-C50C-407E-A947-70E740481C1C}">
                                <a14:useLocalDpi xmlns:a14="http://schemas.microsoft.com/office/drawing/2010/main" val="0"/>
                              </a:ext>
                            </a:extLst>
                          </a:blip>
                          <a:srcRect l="4343" t="29474" r="5256" b="25263"/>
                          <a:stretch/>
                        </pic:blipFill>
                        <pic:spPr bwMode="auto">
                          <a:xfrm>
                            <a:off x="0" y="0"/>
                            <a:ext cx="5693479" cy="2138162"/>
                          </a:xfrm>
                          <a:prstGeom prst="rect">
                            <a:avLst/>
                          </a:prstGeom>
                          <a:ln>
                            <a:noFill/>
                          </a:ln>
                          <a:extLst>
                            <a:ext uri="{53640926-AAD7-44D8-BBD7-CCE9431645EC}">
                              <a14:shadowObscured xmlns:a14="http://schemas.microsoft.com/office/drawing/2010/main"/>
                            </a:ext>
                          </a:extLst>
                        </pic:spPr>
                      </pic:pic>
                    </a:graphicData>
                  </a:graphic>
                </wp:inline>
              </w:drawing>
            </w:r>
          </w:p>
        </w:tc>
      </w:tr>
      <w:tr w:rsidR="00A81A15" w:rsidRPr="009E5CAB" w14:paraId="4A6E84FE" w14:textId="77777777" w:rsidTr="00ED009E">
        <w:trPr>
          <w:trHeight w:val="3457"/>
        </w:trPr>
        <w:tc>
          <w:tcPr>
            <w:tcW w:w="9242" w:type="dxa"/>
          </w:tcPr>
          <w:p w14:paraId="3CF2D1FC" w14:textId="77777777" w:rsidR="00A81A15" w:rsidRPr="009E5CAB" w:rsidRDefault="00A81A15" w:rsidP="00AF1DC2">
            <w:pPr>
              <w:rPr>
                <w:sz w:val="22"/>
              </w:rPr>
            </w:pPr>
            <w:r w:rsidRPr="009E5CAB">
              <w:rPr>
                <w:b/>
                <w:sz w:val="22"/>
              </w:rPr>
              <w:t xml:space="preserve">Supplementary Results Figure </w:t>
            </w:r>
            <w:r>
              <w:rPr>
                <w:b/>
                <w:sz w:val="22"/>
              </w:rPr>
              <w:t>2</w:t>
            </w:r>
            <w:r w:rsidRPr="009E5CAB">
              <w:rPr>
                <w:b/>
                <w:sz w:val="22"/>
              </w:rPr>
              <w:t xml:space="preserve">: Additional data for the </w:t>
            </w:r>
            <w:r w:rsidRPr="009E5CAB">
              <w:rPr>
                <w:rFonts w:cs="Times New Roman"/>
                <w:b/>
                <w:sz w:val="22"/>
                <w:szCs w:val="24"/>
              </w:rPr>
              <w:t>fixed vs. variable reward amount food schedule task (FST-R)</w:t>
            </w:r>
            <w:r w:rsidRPr="009E5CAB">
              <w:rPr>
                <w:b/>
                <w:sz w:val="22"/>
              </w:rPr>
              <w:t>.</w:t>
            </w:r>
            <w:r w:rsidRPr="009E5CAB">
              <w:rPr>
                <w:sz w:val="22"/>
              </w:rPr>
              <w:t xml:space="preserve"> </w:t>
            </w:r>
            <w:r w:rsidRPr="009E5CAB">
              <w:rPr>
                <w:rFonts w:cs="Times New Roman"/>
                <w:sz w:val="22"/>
                <w:szCs w:val="24"/>
              </w:rPr>
              <w:t>Data are shown for the initial and last sessions of the initial acquisition of the FST-R task for all mice (N=44).  Although two mice did reach the arbitrary 75% performance criterion, their data have been pooled with the main group of mice for clarity.  Between the initial session and final session, the number of completed trials decreased (a, t</w:t>
            </w:r>
            <w:r w:rsidRPr="009E5CAB">
              <w:rPr>
                <w:rFonts w:cs="Times New Roman"/>
                <w:sz w:val="22"/>
                <w:szCs w:val="24"/>
                <w:vertAlign w:val="subscript"/>
              </w:rPr>
              <w:t>43</w:t>
            </w:r>
            <w:r w:rsidRPr="009E5CAB">
              <w:rPr>
                <w:rFonts w:cs="Times New Roman"/>
                <w:sz w:val="22"/>
                <w:szCs w:val="24"/>
              </w:rPr>
              <w:t xml:space="preserve">=14.04, p=0.001), and response latencies increased (b, </w:t>
            </w:r>
            <w:r w:rsidRPr="009E5CAB">
              <w:rPr>
                <w:sz w:val="22"/>
              </w:rPr>
              <w:t>main effect of SESSION, F</w:t>
            </w:r>
            <w:r w:rsidRPr="009E5CAB">
              <w:rPr>
                <w:sz w:val="22"/>
                <w:vertAlign w:val="subscript"/>
              </w:rPr>
              <w:t>1</w:t>
            </w:r>
            <w:proofErr w:type="gramStart"/>
            <w:r w:rsidRPr="009E5CAB">
              <w:rPr>
                <w:sz w:val="22"/>
                <w:vertAlign w:val="subscript"/>
              </w:rPr>
              <w:t>,43</w:t>
            </w:r>
            <w:proofErr w:type="gramEnd"/>
            <w:r>
              <w:rPr>
                <w:sz w:val="22"/>
              </w:rPr>
              <w:t>=58.82, p=0.001</w:t>
            </w:r>
            <w:r w:rsidRPr="009E5CAB">
              <w:rPr>
                <w:rFonts w:cs="Times New Roman"/>
                <w:sz w:val="22"/>
                <w:szCs w:val="24"/>
              </w:rPr>
              <w:t>).  There were no differences in the speed of responding between the fixed and variable reward amount choices (</w:t>
            </w:r>
            <w:r w:rsidRPr="009E5CAB">
              <w:rPr>
                <w:sz w:val="22"/>
              </w:rPr>
              <w:t>main effect of TYPE, F</w:t>
            </w:r>
            <w:r w:rsidRPr="009E5CAB">
              <w:rPr>
                <w:sz w:val="22"/>
                <w:vertAlign w:val="subscript"/>
              </w:rPr>
              <w:t>1</w:t>
            </w:r>
            <w:proofErr w:type="gramStart"/>
            <w:r w:rsidRPr="009E5CAB">
              <w:rPr>
                <w:sz w:val="22"/>
                <w:vertAlign w:val="subscript"/>
              </w:rPr>
              <w:t>,43</w:t>
            </w:r>
            <w:proofErr w:type="gramEnd"/>
            <w:r w:rsidRPr="009E5CAB">
              <w:rPr>
                <w:sz w:val="22"/>
              </w:rPr>
              <w:t>=0.71</w:t>
            </w:r>
            <w:r>
              <w:rPr>
                <w:sz w:val="22"/>
              </w:rPr>
              <w:t>, p=0.41</w:t>
            </w:r>
            <w:r w:rsidRPr="009E5CAB">
              <w:rPr>
                <w:rFonts w:cs="Times New Roman"/>
                <w:sz w:val="22"/>
                <w:szCs w:val="24"/>
              </w:rPr>
              <w:t>).  Reward collection latencies, analysed by ANOVA with within-subject factors of SESSION (First, last</w:t>
            </w:r>
            <w:proofErr w:type="gramStart"/>
            <w:r w:rsidRPr="009E5CAB">
              <w:rPr>
                <w:rFonts w:cs="Times New Roman"/>
                <w:sz w:val="22"/>
                <w:szCs w:val="24"/>
              </w:rPr>
              <w:t>)and</w:t>
            </w:r>
            <w:proofErr w:type="gramEnd"/>
            <w:r w:rsidRPr="009E5CAB">
              <w:rPr>
                <w:rFonts w:cs="Times New Roman"/>
                <w:sz w:val="22"/>
                <w:szCs w:val="24"/>
              </w:rPr>
              <w:t xml:space="preserve"> REWARD AMOUNT (10, 22, 49µl), did not differ during initial acquisition (c, </w:t>
            </w:r>
            <w:r w:rsidRPr="009E5CAB">
              <w:rPr>
                <w:sz w:val="22"/>
              </w:rPr>
              <w:t>main effect of SESSION, F</w:t>
            </w:r>
            <w:r w:rsidRPr="009E5CAB">
              <w:rPr>
                <w:sz w:val="22"/>
                <w:vertAlign w:val="subscript"/>
              </w:rPr>
              <w:t>1,43</w:t>
            </w:r>
            <w:r w:rsidRPr="009E5CAB">
              <w:rPr>
                <w:sz w:val="22"/>
              </w:rPr>
              <w:t>=2.78, p=0.11</w:t>
            </w:r>
            <w:r w:rsidRPr="009E5CAB">
              <w:rPr>
                <w:rFonts w:cs="Times New Roman"/>
                <w:sz w:val="22"/>
                <w:szCs w:val="24"/>
              </w:rPr>
              <w:t>) or between the different reward amounts presented (</w:t>
            </w:r>
            <w:r w:rsidRPr="009E5CAB">
              <w:rPr>
                <w:sz w:val="22"/>
              </w:rPr>
              <w:t>main effect of  REWARD AMOUNT, F</w:t>
            </w:r>
            <w:r w:rsidRPr="009E5CAB">
              <w:rPr>
                <w:sz w:val="22"/>
                <w:vertAlign w:val="subscript"/>
              </w:rPr>
              <w:t>2,86</w:t>
            </w:r>
            <w:r w:rsidRPr="009E5CAB">
              <w:rPr>
                <w:sz w:val="22"/>
              </w:rPr>
              <w:t>=3.01, p=0.07</w:t>
            </w:r>
            <w:r w:rsidRPr="009E5CAB">
              <w:rPr>
                <w:rFonts w:cs="Times New Roman"/>
                <w:sz w:val="22"/>
                <w:szCs w:val="24"/>
              </w:rPr>
              <w:t xml:space="preserve">). Data shows </w:t>
            </w:r>
            <w:proofErr w:type="spellStart"/>
            <w:r w:rsidRPr="009E5CAB">
              <w:rPr>
                <w:rFonts w:cs="Times New Roman"/>
                <w:sz w:val="22"/>
                <w:szCs w:val="24"/>
              </w:rPr>
              <w:t>mean±SE</w:t>
            </w:r>
            <w:proofErr w:type="spellEnd"/>
            <w:r w:rsidRPr="009E5CAB">
              <w:rPr>
                <w:rFonts w:cs="Times New Roman"/>
                <w:sz w:val="22"/>
                <w:szCs w:val="24"/>
              </w:rPr>
              <w:t>, N=44.</w:t>
            </w:r>
            <w:r w:rsidRPr="009E5CAB">
              <w:rPr>
                <w:sz w:val="22"/>
              </w:rPr>
              <w:t xml:space="preserve"> </w:t>
            </w:r>
          </w:p>
        </w:tc>
      </w:tr>
    </w:tbl>
    <w:p w14:paraId="3B9F7CF2" w14:textId="77777777" w:rsidR="00A81A15" w:rsidRDefault="00A81A15">
      <w:pPr>
        <w:spacing w:after="160" w:line="259" w:lineRule="auto"/>
        <w:jc w:val="left"/>
      </w:pPr>
    </w:p>
    <w:p w14:paraId="70892C4D" w14:textId="6C95B8EF" w:rsidR="00A81A15" w:rsidRDefault="00A81A15">
      <w:pPr>
        <w:spacing w:after="160" w:line="259" w:lineRule="auto"/>
        <w:jc w:val="left"/>
      </w:pPr>
      <w:r>
        <w:br w:type="page"/>
      </w:r>
    </w:p>
    <w:tbl>
      <w:tblPr>
        <w:tblStyle w:val="TableGrid"/>
        <w:tblW w:w="9606" w:type="dxa"/>
        <w:tblLook w:val="04A0" w:firstRow="1" w:lastRow="0" w:firstColumn="1" w:lastColumn="0" w:noHBand="0" w:noVBand="1"/>
      </w:tblPr>
      <w:tblGrid>
        <w:gridCol w:w="9016"/>
        <w:gridCol w:w="590"/>
      </w:tblGrid>
      <w:tr w:rsidR="00A63D24" w14:paraId="0895D380" w14:textId="77777777" w:rsidTr="00A81A15">
        <w:tc>
          <w:tcPr>
            <w:tcW w:w="9606" w:type="dxa"/>
            <w:gridSpan w:val="2"/>
          </w:tcPr>
          <w:p w14:paraId="50C3F4DE" w14:textId="4804E61F" w:rsidR="00A63D24" w:rsidRDefault="002450B3" w:rsidP="00483650">
            <w:pPr>
              <w:jc w:val="center"/>
            </w:pPr>
            <w:r>
              <w:rPr>
                <w:noProof/>
                <w:lang w:eastAsia="en-GB"/>
              </w:rPr>
              <w:lastRenderedPageBreak/>
              <w:drawing>
                <wp:inline distT="0" distB="0" distL="0" distR="0" wp14:anchorId="7EFD1C9B" wp14:editId="2035001E">
                  <wp:extent cx="4643683" cy="2804746"/>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9.JPG"/>
                          <pic:cNvPicPr/>
                        </pic:nvPicPr>
                        <pic:blipFill rotWithShape="1">
                          <a:blip r:embed="rId12">
                            <a:extLst>
                              <a:ext uri="{28A0092B-C50C-407E-A947-70E740481C1C}">
                                <a14:useLocalDpi xmlns:a14="http://schemas.microsoft.com/office/drawing/2010/main" val="0"/>
                              </a:ext>
                            </a:extLst>
                          </a:blip>
                          <a:srcRect t="12632" b="6842"/>
                          <a:stretch/>
                        </pic:blipFill>
                        <pic:spPr bwMode="auto">
                          <a:xfrm>
                            <a:off x="0" y="0"/>
                            <a:ext cx="4648363" cy="2807572"/>
                          </a:xfrm>
                          <a:prstGeom prst="rect">
                            <a:avLst/>
                          </a:prstGeom>
                          <a:ln>
                            <a:noFill/>
                          </a:ln>
                          <a:extLst>
                            <a:ext uri="{53640926-AAD7-44D8-BBD7-CCE9431645EC}">
                              <a14:shadowObscured xmlns:a14="http://schemas.microsoft.com/office/drawing/2010/main"/>
                            </a:ext>
                          </a:extLst>
                        </pic:spPr>
                      </pic:pic>
                    </a:graphicData>
                  </a:graphic>
                </wp:inline>
              </w:drawing>
            </w:r>
          </w:p>
        </w:tc>
      </w:tr>
      <w:tr w:rsidR="00A63D24" w:rsidRPr="00300A48" w14:paraId="78B36F32" w14:textId="77777777" w:rsidTr="00A81A15">
        <w:tc>
          <w:tcPr>
            <w:tcW w:w="9606" w:type="dxa"/>
            <w:gridSpan w:val="2"/>
          </w:tcPr>
          <w:p w14:paraId="76DF89B9" w14:textId="6CAAD0A9" w:rsidR="00FB66BB" w:rsidRPr="00300A48" w:rsidRDefault="004C56A4" w:rsidP="00A81A15">
            <w:pPr>
              <w:rPr>
                <w:rFonts w:cs="Times New Roman"/>
                <w:sz w:val="22"/>
                <w:szCs w:val="24"/>
              </w:rPr>
            </w:pPr>
            <w:r w:rsidRPr="00300A48">
              <w:rPr>
                <w:b/>
                <w:sz w:val="22"/>
              </w:rPr>
              <w:t xml:space="preserve">Supplementary Results Figure </w:t>
            </w:r>
            <w:r w:rsidR="00A81A15">
              <w:rPr>
                <w:b/>
                <w:sz w:val="22"/>
              </w:rPr>
              <w:t>3</w:t>
            </w:r>
            <w:r w:rsidRPr="00300A48">
              <w:rPr>
                <w:b/>
                <w:sz w:val="22"/>
              </w:rPr>
              <w:t xml:space="preserve">: </w:t>
            </w:r>
            <w:r w:rsidR="00D363B1" w:rsidRPr="00300A48">
              <w:rPr>
                <w:b/>
                <w:sz w:val="22"/>
              </w:rPr>
              <w:t>Additional</w:t>
            </w:r>
            <w:r w:rsidR="00C171BF" w:rsidRPr="00300A48">
              <w:rPr>
                <w:b/>
                <w:sz w:val="22"/>
              </w:rPr>
              <w:t xml:space="preserve"> d</w:t>
            </w:r>
            <w:r w:rsidR="00FB66BB" w:rsidRPr="00300A48">
              <w:rPr>
                <w:b/>
                <w:sz w:val="22"/>
              </w:rPr>
              <w:t xml:space="preserve">ata for </w:t>
            </w:r>
            <w:r w:rsidR="00C171BF" w:rsidRPr="00300A48">
              <w:rPr>
                <w:b/>
                <w:sz w:val="22"/>
              </w:rPr>
              <w:t xml:space="preserve">the </w:t>
            </w:r>
            <w:r w:rsidR="00C171BF" w:rsidRPr="00300A48">
              <w:rPr>
                <w:rFonts w:cs="Times New Roman"/>
                <w:b/>
                <w:sz w:val="22"/>
                <w:szCs w:val="24"/>
              </w:rPr>
              <w:t>fixed vs. vari</w:t>
            </w:r>
            <w:r w:rsidR="00300A48" w:rsidRPr="00300A48">
              <w:rPr>
                <w:rFonts w:cs="Times New Roman"/>
                <w:b/>
                <w:sz w:val="22"/>
                <w:szCs w:val="24"/>
              </w:rPr>
              <w:t xml:space="preserve">able delay to reward </w:t>
            </w:r>
            <w:r w:rsidR="00300A48">
              <w:rPr>
                <w:rFonts w:cs="Times New Roman"/>
                <w:b/>
                <w:sz w:val="22"/>
                <w:szCs w:val="24"/>
              </w:rPr>
              <w:t xml:space="preserve">food schedule </w:t>
            </w:r>
            <w:r w:rsidR="00300A48" w:rsidRPr="00300A48">
              <w:rPr>
                <w:rFonts w:cs="Times New Roman"/>
                <w:b/>
                <w:sz w:val="22"/>
                <w:szCs w:val="24"/>
              </w:rPr>
              <w:t>task (FST-D</w:t>
            </w:r>
            <w:r w:rsidR="00C171BF" w:rsidRPr="00300A48">
              <w:rPr>
                <w:rFonts w:cs="Times New Roman"/>
                <w:b/>
                <w:sz w:val="22"/>
                <w:szCs w:val="24"/>
              </w:rPr>
              <w:t>)</w:t>
            </w:r>
            <w:r w:rsidRPr="00300A48">
              <w:rPr>
                <w:b/>
                <w:sz w:val="22"/>
              </w:rPr>
              <w:t xml:space="preserve"> task</w:t>
            </w:r>
            <w:r w:rsidR="00EA501D" w:rsidRPr="00300A48">
              <w:rPr>
                <w:b/>
                <w:sz w:val="22"/>
              </w:rPr>
              <w:t>.</w:t>
            </w:r>
            <w:r w:rsidR="00143C28" w:rsidRPr="00300A48">
              <w:rPr>
                <w:sz w:val="22"/>
              </w:rPr>
              <w:t xml:space="preserve">  </w:t>
            </w:r>
            <w:r w:rsidR="00EA501D" w:rsidRPr="00300A48">
              <w:rPr>
                <w:rFonts w:cs="Times New Roman"/>
                <w:sz w:val="22"/>
                <w:szCs w:val="24"/>
              </w:rPr>
              <w:t>Data are shown for</w:t>
            </w:r>
            <w:r w:rsidR="009B0B99" w:rsidRPr="00300A48">
              <w:rPr>
                <w:rFonts w:cs="Times New Roman"/>
                <w:sz w:val="22"/>
                <w:szCs w:val="24"/>
              </w:rPr>
              <w:t xml:space="preserve"> the initial and </w:t>
            </w:r>
            <w:r w:rsidR="00300A48" w:rsidRPr="00300A48">
              <w:rPr>
                <w:rFonts w:cs="Times New Roman"/>
                <w:sz w:val="22"/>
                <w:szCs w:val="24"/>
              </w:rPr>
              <w:t>final</w:t>
            </w:r>
            <w:r w:rsidR="009B0B99" w:rsidRPr="00300A48">
              <w:rPr>
                <w:rFonts w:cs="Times New Roman"/>
                <w:sz w:val="22"/>
                <w:szCs w:val="24"/>
              </w:rPr>
              <w:t xml:space="preserve"> sessions of the initial acquisition of the F</w:t>
            </w:r>
            <w:r w:rsidR="00300A48" w:rsidRPr="00300A48">
              <w:rPr>
                <w:rFonts w:cs="Times New Roman"/>
                <w:sz w:val="22"/>
                <w:szCs w:val="24"/>
              </w:rPr>
              <w:t>ST-D</w:t>
            </w:r>
            <w:r w:rsidR="009B0B99" w:rsidRPr="00300A48">
              <w:rPr>
                <w:rFonts w:cs="Times New Roman"/>
                <w:sz w:val="22"/>
                <w:szCs w:val="24"/>
              </w:rPr>
              <w:t xml:space="preserve"> task for </w:t>
            </w:r>
            <w:r w:rsidR="00EA501D" w:rsidRPr="00300A48">
              <w:rPr>
                <w:rFonts w:cs="Times New Roman"/>
                <w:sz w:val="22"/>
                <w:szCs w:val="24"/>
              </w:rPr>
              <w:t xml:space="preserve">mice reaching </w:t>
            </w:r>
            <w:r w:rsidR="009B0B99" w:rsidRPr="00300A48">
              <w:rPr>
                <w:rFonts w:cs="Times New Roman"/>
                <w:sz w:val="22"/>
                <w:szCs w:val="24"/>
              </w:rPr>
              <w:t xml:space="preserve">the arbitrary 75% performance </w:t>
            </w:r>
            <w:r w:rsidR="00EA501D" w:rsidRPr="00300A48">
              <w:rPr>
                <w:rFonts w:cs="Times New Roman"/>
                <w:sz w:val="22"/>
                <w:szCs w:val="24"/>
              </w:rPr>
              <w:t xml:space="preserve">criterion to reverse </w:t>
            </w:r>
            <w:r w:rsidR="009B0B99" w:rsidRPr="00300A48">
              <w:rPr>
                <w:rFonts w:cs="Times New Roman"/>
                <w:sz w:val="22"/>
                <w:szCs w:val="24"/>
              </w:rPr>
              <w:t xml:space="preserve">(34/44) </w:t>
            </w:r>
            <w:r w:rsidR="00EA501D" w:rsidRPr="00300A48">
              <w:rPr>
                <w:rFonts w:cs="Times New Roman"/>
                <w:sz w:val="22"/>
                <w:szCs w:val="24"/>
              </w:rPr>
              <w:t xml:space="preserve">and those which did not meet </w:t>
            </w:r>
            <w:r w:rsidR="00143C28" w:rsidRPr="00300A48">
              <w:rPr>
                <w:rFonts w:cs="Times New Roman"/>
                <w:sz w:val="22"/>
                <w:szCs w:val="24"/>
              </w:rPr>
              <w:t>this criterion</w:t>
            </w:r>
            <w:r w:rsidR="009B0B99" w:rsidRPr="00300A48">
              <w:rPr>
                <w:rFonts w:cs="Times New Roman"/>
                <w:sz w:val="22"/>
                <w:szCs w:val="24"/>
              </w:rPr>
              <w:t xml:space="preserve"> (10/44) within 20 sessions.  For the mice reaching the performance criterion (34/44), and undergoing reversal,</w:t>
            </w:r>
            <w:r w:rsidR="00EA501D" w:rsidRPr="00300A48">
              <w:rPr>
                <w:rFonts w:cs="Times New Roman"/>
                <w:sz w:val="22"/>
                <w:szCs w:val="24"/>
              </w:rPr>
              <w:t xml:space="preserve"> </w:t>
            </w:r>
            <w:r w:rsidR="009B0B99" w:rsidRPr="00300A48">
              <w:rPr>
                <w:rFonts w:cs="Times New Roman"/>
                <w:sz w:val="22"/>
                <w:szCs w:val="24"/>
              </w:rPr>
              <w:t xml:space="preserve">performance in the first and final sessions of the </w:t>
            </w:r>
            <w:r w:rsidR="00EA501D" w:rsidRPr="00300A48">
              <w:rPr>
                <w:rFonts w:cs="Times New Roman"/>
                <w:sz w:val="22"/>
                <w:szCs w:val="24"/>
              </w:rPr>
              <w:t>reversal phase</w:t>
            </w:r>
            <w:r w:rsidR="009B0B99" w:rsidRPr="00300A48">
              <w:rPr>
                <w:rFonts w:cs="Times New Roman"/>
                <w:sz w:val="22"/>
                <w:szCs w:val="24"/>
              </w:rPr>
              <w:t xml:space="preserve"> is also shown.</w:t>
            </w:r>
            <w:r w:rsidR="001D7AEE" w:rsidRPr="00300A48">
              <w:rPr>
                <w:rFonts w:cs="Times New Roman"/>
                <w:sz w:val="22"/>
                <w:szCs w:val="24"/>
              </w:rPr>
              <w:t xml:space="preserve"> On average, mice reaching criteria before and after reversal </w:t>
            </w:r>
            <w:r w:rsidR="009B0B99" w:rsidRPr="00300A48">
              <w:rPr>
                <w:rFonts w:cs="Times New Roman"/>
                <w:sz w:val="22"/>
                <w:szCs w:val="24"/>
              </w:rPr>
              <w:t xml:space="preserve">took ~12 sessions to reach performance criteria (a).  </w:t>
            </w:r>
            <w:r w:rsidR="00886894" w:rsidRPr="00300A48">
              <w:rPr>
                <w:rFonts w:cs="Times New Roman"/>
                <w:sz w:val="22"/>
                <w:szCs w:val="24"/>
              </w:rPr>
              <w:t>Data were analysed by ANOVA with betwee</w:t>
            </w:r>
            <w:r w:rsidR="00276B0D" w:rsidRPr="00300A48">
              <w:rPr>
                <w:rFonts w:cs="Times New Roman"/>
                <w:sz w:val="22"/>
                <w:szCs w:val="24"/>
              </w:rPr>
              <w:t>n</w:t>
            </w:r>
            <w:r w:rsidR="00886894" w:rsidRPr="00300A48">
              <w:rPr>
                <w:rFonts w:cs="Times New Roman"/>
                <w:sz w:val="22"/>
                <w:szCs w:val="24"/>
              </w:rPr>
              <w:t xml:space="preserve">–subject factor of GROUP (reversing, non-reversing mice) and SESSION (first, last). </w:t>
            </w:r>
            <w:r w:rsidR="001D7AEE" w:rsidRPr="00300A48">
              <w:rPr>
                <w:rFonts w:cs="Times New Roman"/>
                <w:sz w:val="22"/>
                <w:szCs w:val="24"/>
              </w:rPr>
              <w:t>Reaching the performance criteria during the acquisition phase did not affect the trials completed within a session (main effect of GROUP, F</w:t>
            </w:r>
            <w:r w:rsidR="001D7AEE" w:rsidRPr="00300A48">
              <w:rPr>
                <w:rFonts w:cs="Times New Roman"/>
                <w:sz w:val="22"/>
                <w:szCs w:val="24"/>
                <w:vertAlign w:val="subscript"/>
              </w:rPr>
              <w:t>1</w:t>
            </w:r>
            <w:proofErr w:type="gramStart"/>
            <w:r w:rsidR="001D7AEE" w:rsidRPr="00300A48">
              <w:rPr>
                <w:rFonts w:cs="Times New Roman"/>
                <w:sz w:val="22"/>
                <w:szCs w:val="24"/>
                <w:vertAlign w:val="subscript"/>
              </w:rPr>
              <w:t>,42</w:t>
            </w:r>
            <w:proofErr w:type="gramEnd"/>
            <w:r w:rsidR="001D7AEE" w:rsidRPr="00300A48">
              <w:rPr>
                <w:rFonts w:cs="Times New Roman"/>
                <w:sz w:val="22"/>
                <w:szCs w:val="24"/>
              </w:rPr>
              <w:t>=1.99, p=0.17), and remained constant throughout this phase (b, main effect of SESSION, F</w:t>
            </w:r>
            <w:r w:rsidR="001D7AEE" w:rsidRPr="00300A48">
              <w:rPr>
                <w:rFonts w:cs="Times New Roman"/>
                <w:sz w:val="22"/>
                <w:szCs w:val="24"/>
                <w:vertAlign w:val="subscript"/>
              </w:rPr>
              <w:t>1,42</w:t>
            </w:r>
            <w:r w:rsidR="001D7AEE" w:rsidRPr="00300A48">
              <w:rPr>
                <w:rFonts w:cs="Times New Roman"/>
                <w:sz w:val="22"/>
                <w:szCs w:val="24"/>
              </w:rPr>
              <w:t>=1.54, p=0.22). Post-reversal, there were also no differences in the trials completed from the first to last session (main effect of SESSION, F</w:t>
            </w:r>
            <w:r w:rsidR="001D7AEE" w:rsidRPr="00300A48">
              <w:rPr>
                <w:rFonts w:cs="Times New Roman"/>
                <w:sz w:val="22"/>
                <w:szCs w:val="24"/>
                <w:vertAlign w:val="subscript"/>
              </w:rPr>
              <w:t>1</w:t>
            </w:r>
            <w:proofErr w:type="gramStart"/>
            <w:r w:rsidR="001D7AEE" w:rsidRPr="00300A48">
              <w:rPr>
                <w:rFonts w:cs="Times New Roman"/>
                <w:sz w:val="22"/>
                <w:szCs w:val="24"/>
                <w:vertAlign w:val="subscript"/>
              </w:rPr>
              <w:t>,3</w:t>
            </w:r>
            <w:r w:rsidR="000A1968" w:rsidRPr="00300A48">
              <w:rPr>
                <w:rFonts w:cs="Times New Roman"/>
                <w:sz w:val="22"/>
                <w:szCs w:val="24"/>
                <w:vertAlign w:val="subscript"/>
              </w:rPr>
              <w:t>3</w:t>
            </w:r>
            <w:proofErr w:type="gramEnd"/>
            <w:r w:rsidR="001D7AEE" w:rsidRPr="00300A48">
              <w:rPr>
                <w:rFonts w:cs="Times New Roman"/>
                <w:sz w:val="22"/>
                <w:szCs w:val="24"/>
              </w:rPr>
              <w:t>=1.35, p=0.25).</w:t>
            </w:r>
            <w:r w:rsidR="00CC0C2B" w:rsidRPr="00300A48">
              <w:rPr>
                <w:rFonts w:cs="Times New Roman"/>
                <w:sz w:val="22"/>
                <w:szCs w:val="24"/>
              </w:rPr>
              <w:t xml:space="preserve"> </w:t>
            </w:r>
            <w:r w:rsidR="001D7AEE" w:rsidRPr="00300A48">
              <w:rPr>
                <w:rFonts w:cs="Times New Roman"/>
                <w:sz w:val="22"/>
                <w:szCs w:val="24"/>
              </w:rPr>
              <w:t xml:space="preserve">There were no significant differences in latency to </w:t>
            </w:r>
            <w:r w:rsidR="00CC0C2B" w:rsidRPr="00300A48">
              <w:rPr>
                <w:rFonts w:cs="Times New Roman"/>
                <w:sz w:val="22"/>
                <w:szCs w:val="24"/>
              </w:rPr>
              <w:t>select</w:t>
            </w:r>
            <w:r w:rsidR="001D7AEE" w:rsidRPr="00300A48">
              <w:rPr>
                <w:rFonts w:cs="Times New Roman"/>
                <w:sz w:val="22"/>
                <w:szCs w:val="24"/>
              </w:rPr>
              <w:t xml:space="preserve"> either the fixed </w:t>
            </w:r>
            <w:r w:rsidR="00CC0C2B" w:rsidRPr="00300A48">
              <w:rPr>
                <w:rFonts w:cs="Times New Roman"/>
                <w:sz w:val="22"/>
                <w:szCs w:val="24"/>
              </w:rPr>
              <w:t>(c</w:t>
            </w:r>
            <w:r w:rsidR="001D7AEE" w:rsidRPr="00300A48">
              <w:rPr>
                <w:rFonts w:cs="Times New Roman"/>
                <w:sz w:val="22"/>
                <w:szCs w:val="24"/>
              </w:rPr>
              <w:t>, main effect of GROUP, F</w:t>
            </w:r>
            <w:r w:rsidR="001D7AEE" w:rsidRPr="00300A48">
              <w:rPr>
                <w:rFonts w:cs="Times New Roman"/>
                <w:sz w:val="22"/>
                <w:szCs w:val="24"/>
                <w:vertAlign w:val="subscript"/>
              </w:rPr>
              <w:t>1</w:t>
            </w:r>
            <w:proofErr w:type="gramStart"/>
            <w:r w:rsidR="001D7AEE" w:rsidRPr="00300A48">
              <w:rPr>
                <w:rFonts w:cs="Times New Roman"/>
                <w:sz w:val="22"/>
                <w:szCs w:val="24"/>
                <w:vertAlign w:val="subscript"/>
              </w:rPr>
              <w:t>,42</w:t>
            </w:r>
            <w:proofErr w:type="gramEnd"/>
            <w:r w:rsidR="00480223" w:rsidRPr="00300A48">
              <w:rPr>
                <w:rFonts w:cs="Times New Roman"/>
                <w:sz w:val="22"/>
                <w:szCs w:val="24"/>
              </w:rPr>
              <w:t>=0.46, p=0.51</w:t>
            </w:r>
            <w:r w:rsidR="001D7AEE" w:rsidRPr="00300A48">
              <w:rPr>
                <w:rFonts w:cs="Times New Roman"/>
                <w:sz w:val="22"/>
                <w:szCs w:val="24"/>
              </w:rPr>
              <w:t>) or vari</w:t>
            </w:r>
            <w:r w:rsidR="00CC0C2B" w:rsidRPr="00300A48">
              <w:rPr>
                <w:rFonts w:cs="Times New Roman"/>
                <w:sz w:val="22"/>
                <w:szCs w:val="24"/>
              </w:rPr>
              <w:t>able delay to reward choice (d</w:t>
            </w:r>
            <w:r w:rsidR="001D7AEE" w:rsidRPr="00300A48">
              <w:rPr>
                <w:rFonts w:cs="Times New Roman"/>
                <w:sz w:val="22"/>
                <w:szCs w:val="24"/>
              </w:rPr>
              <w:t>, main effect of GROUP, F</w:t>
            </w:r>
            <w:r w:rsidR="001D7AEE" w:rsidRPr="00300A48">
              <w:rPr>
                <w:rFonts w:cs="Times New Roman"/>
                <w:sz w:val="22"/>
                <w:szCs w:val="24"/>
                <w:vertAlign w:val="subscript"/>
              </w:rPr>
              <w:t>1,42</w:t>
            </w:r>
            <w:r w:rsidR="00480223" w:rsidRPr="00300A48">
              <w:rPr>
                <w:rFonts w:cs="Times New Roman"/>
                <w:sz w:val="22"/>
                <w:szCs w:val="24"/>
              </w:rPr>
              <w:t>=0.07, p=0.79</w:t>
            </w:r>
            <w:r w:rsidR="00CC0C2B" w:rsidRPr="00300A48">
              <w:rPr>
                <w:rFonts w:cs="Times New Roman"/>
                <w:sz w:val="22"/>
                <w:szCs w:val="24"/>
              </w:rPr>
              <w:t xml:space="preserve">) </w:t>
            </w:r>
            <w:r w:rsidR="001D7AEE" w:rsidRPr="00300A48">
              <w:rPr>
                <w:rFonts w:cs="Times New Roman"/>
                <w:sz w:val="22"/>
                <w:szCs w:val="24"/>
              </w:rPr>
              <w:t>between r</w:t>
            </w:r>
            <w:r w:rsidR="00CC0C2B" w:rsidRPr="00300A48">
              <w:rPr>
                <w:rFonts w:cs="Times New Roman"/>
                <w:sz w:val="22"/>
                <w:szCs w:val="24"/>
              </w:rPr>
              <w:t>eversing and non-reversing mice.  Al</w:t>
            </w:r>
            <w:r w:rsidR="001D7AEE" w:rsidRPr="00300A48">
              <w:rPr>
                <w:rFonts w:cs="Times New Roman"/>
                <w:sz w:val="22"/>
                <w:szCs w:val="24"/>
              </w:rPr>
              <w:t>l mice speeded their responding during initial acquisition (main effect of SESSION, F</w:t>
            </w:r>
            <w:r w:rsidR="001D7AEE" w:rsidRPr="00300A48">
              <w:rPr>
                <w:rFonts w:cs="Times New Roman"/>
                <w:sz w:val="22"/>
                <w:szCs w:val="24"/>
                <w:vertAlign w:val="subscript"/>
              </w:rPr>
              <w:t>1</w:t>
            </w:r>
            <w:proofErr w:type="gramStart"/>
            <w:r w:rsidR="001D7AEE" w:rsidRPr="00300A48">
              <w:rPr>
                <w:rFonts w:cs="Times New Roman"/>
                <w:sz w:val="22"/>
                <w:szCs w:val="24"/>
                <w:vertAlign w:val="subscript"/>
              </w:rPr>
              <w:t>,42</w:t>
            </w:r>
            <w:proofErr w:type="gramEnd"/>
            <w:r w:rsidR="00480223" w:rsidRPr="00300A48">
              <w:rPr>
                <w:rFonts w:cs="Times New Roman"/>
                <w:sz w:val="22"/>
                <w:szCs w:val="24"/>
              </w:rPr>
              <w:t>=11.19, p=0.002</w:t>
            </w:r>
            <w:r w:rsidR="001D7AEE" w:rsidRPr="00300A48">
              <w:rPr>
                <w:rFonts w:cs="Times New Roman"/>
                <w:sz w:val="22"/>
                <w:szCs w:val="24"/>
              </w:rPr>
              <w:t xml:space="preserve"> and F</w:t>
            </w:r>
            <w:r w:rsidR="001D7AEE" w:rsidRPr="00300A48">
              <w:rPr>
                <w:rFonts w:cs="Times New Roman"/>
                <w:sz w:val="22"/>
                <w:szCs w:val="24"/>
                <w:vertAlign w:val="subscript"/>
              </w:rPr>
              <w:t>1,42</w:t>
            </w:r>
            <w:r w:rsidR="00480223" w:rsidRPr="00300A48">
              <w:rPr>
                <w:rFonts w:cs="Times New Roman"/>
                <w:sz w:val="22"/>
                <w:szCs w:val="24"/>
              </w:rPr>
              <w:t>=15.77, p=0.0001,</w:t>
            </w:r>
            <w:r w:rsidR="001D7AEE" w:rsidRPr="00300A48">
              <w:rPr>
                <w:rFonts w:cs="Times New Roman"/>
                <w:sz w:val="22"/>
                <w:szCs w:val="24"/>
              </w:rPr>
              <w:t xml:space="preserve"> for fixed and variable choice latencies, respectively). </w:t>
            </w:r>
            <w:r w:rsidR="00CC0C2B" w:rsidRPr="00300A48">
              <w:rPr>
                <w:rFonts w:cs="Times New Roman"/>
                <w:sz w:val="22"/>
                <w:szCs w:val="24"/>
              </w:rPr>
              <w:t>Post-reversal, both response latencies remained consistent from the first to last session completed (main effect of SESSION, F</w:t>
            </w:r>
            <w:r w:rsidR="00CC0C2B" w:rsidRPr="00300A48">
              <w:rPr>
                <w:rFonts w:cs="Times New Roman"/>
                <w:sz w:val="22"/>
                <w:szCs w:val="24"/>
                <w:vertAlign w:val="subscript"/>
              </w:rPr>
              <w:t>1</w:t>
            </w:r>
            <w:proofErr w:type="gramStart"/>
            <w:r w:rsidR="00CC0C2B" w:rsidRPr="00300A48">
              <w:rPr>
                <w:rFonts w:cs="Times New Roman"/>
                <w:sz w:val="22"/>
                <w:szCs w:val="24"/>
                <w:vertAlign w:val="subscript"/>
              </w:rPr>
              <w:t>,33</w:t>
            </w:r>
            <w:proofErr w:type="gramEnd"/>
            <w:r w:rsidR="00CC0C2B" w:rsidRPr="00300A48">
              <w:rPr>
                <w:rFonts w:cs="Times New Roman"/>
                <w:sz w:val="22"/>
                <w:szCs w:val="24"/>
              </w:rPr>
              <w:t>=0.63, p=0.43</w:t>
            </w:r>
            <w:r w:rsidR="00886894" w:rsidRPr="00300A48">
              <w:rPr>
                <w:rFonts w:cs="Times New Roman"/>
                <w:sz w:val="22"/>
                <w:szCs w:val="24"/>
              </w:rPr>
              <w:t>,</w:t>
            </w:r>
            <w:r w:rsidR="00CC0C2B" w:rsidRPr="00300A48">
              <w:rPr>
                <w:rFonts w:cs="Times New Roman"/>
                <w:sz w:val="22"/>
                <w:szCs w:val="24"/>
              </w:rPr>
              <w:t xml:space="preserve"> and F</w:t>
            </w:r>
            <w:r w:rsidR="00CC0C2B" w:rsidRPr="00300A48">
              <w:rPr>
                <w:rFonts w:cs="Times New Roman"/>
                <w:sz w:val="22"/>
                <w:szCs w:val="24"/>
                <w:vertAlign w:val="subscript"/>
              </w:rPr>
              <w:t>1,</w:t>
            </w:r>
            <w:r w:rsidR="000A1968" w:rsidRPr="00300A48">
              <w:rPr>
                <w:rFonts w:cs="Times New Roman"/>
                <w:sz w:val="22"/>
                <w:szCs w:val="24"/>
                <w:vertAlign w:val="subscript"/>
              </w:rPr>
              <w:t>33</w:t>
            </w:r>
            <w:r w:rsidR="00CC0C2B" w:rsidRPr="00300A48">
              <w:rPr>
                <w:rFonts w:cs="Times New Roman"/>
                <w:sz w:val="22"/>
                <w:szCs w:val="24"/>
              </w:rPr>
              <w:t xml:space="preserve">=1.54, p=0.22,  for fixed </w:t>
            </w:r>
            <w:r w:rsidR="00466C13" w:rsidRPr="00300A48">
              <w:rPr>
                <w:rFonts w:cs="Times New Roman"/>
                <w:sz w:val="22"/>
                <w:szCs w:val="24"/>
              </w:rPr>
              <w:t xml:space="preserve">(c) </w:t>
            </w:r>
            <w:r w:rsidR="00CC0C2B" w:rsidRPr="00300A48">
              <w:rPr>
                <w:rFonts w:cs="Times New Roman"/>
                <w:sz w:val="22"/>
                <w:szCs w:val="24"/>
              </w:rPr>
              <w:t xml:space="preserve">and variable </w:t>
            </w:r>
            <w:r w:rsidR="00466C13" w:rsidRPr="00300A48">
              <w:rPr>
                <w:rFonts w:cs="Times New Roman"/>
                <w:sz w:val="22"/>
                <w:szCs w:val="24"/>
              </w:rPr>
              <w:t xml:space="preserve">(d) </w:t>
            </w:r>
            <w:r w:rsidR="00CC0C2B" w:rsidRPr="00300A48">
              <w:rPr>
                <w:rFonts w:cs="Times New Roman"/>
                <w:sz w:val="22"/>
                <w:szCs w:val="24"/>
              </w:rPr>
              <w:t>choice latencies, respectively).</w:t>
            </w:r>
            <w:r w:rsidR="00466C13" w:rsidRPr="00300A48">
              <w:rPr>
                <w:rFonts w:cs="Times New Roman"/>
                <w:sz w:val="22"/>
                <w:szCs w:val="24"/>
              </w:rPr>
              <w:t xml:space="preserve"> </w:t>
            </w:r>
            <w:r w:rsidR="0083570C" w:rsidRPr="00300A48">
              <w:rPr>
                <w:rFonts w:cs="Times New Roman"/>
                <w:sz w:val="22"/>
                <w:szCs w:val="24"/>
              </w:rPr>
              <w:t xml:space="preserve">As might be expected, the </w:t>
            </w:r>
            <w:r w:rsidR="0083570C" w:rsidRPr="00300A48">
              <w:rPr>
                <w:sz w:val="22"/>
              </w:rPr>
              <w:t>latencies to collect the reward varied dependent on the duration of the delay</w:t>
            </w:r>
            <w:r w:rsidR="0020056A" w:rsidRPr="00300A48">
              <w:rPr>
                <w:sz w:val="22"/>
              </w:rPr>
              <w:t xml:space="preserve"> (e to g)</w:t>
            </w:r>
            <w:r w:rsidR="0083570C" w:rsidRPr="00300A48">
              <w:rPr>
                <w:sz w:val="22"/>
              </w:rPr>
              <w:t xml:space="preserve">, with the </w:t>
            </w:r>
            <w:r w:rsidR="0020056A" w:rsidRPr="00300A48">
              <w:rPr>
                <w:sz w:val="22"/>
              </w:rPr>
              <w:t>smallest</w:t>
            </w:r>
            <w:r w:rsidR="0083570C" w:rsidRPr="00300A48">
              <w:rPr>
                <w:sz w:val="22"/>
              </w:rPr>
              <w:t xml:space="preserve"> latency following reward delivery with the shortest variable delay</w:t>
            </w:r>
            <w:r w:rsidR="0020056A" w:rsidRPr="00300A48">
              <w:rPr>
                <w:sz w:val="22"/>
              </w:rPr>
              <w:t xml:space="preserve"> </w:t>
            </w:r>
            <w:r w:rsidR="0083570C" w:rsidRPr="00300A48">
              <w:rPr>
                <w:sz w:val="22"/>
              </w:rPr>
              <w:t xml:space="preserve">(0s), and largest collection latency with the long variable delay (30s).  </w:t>
            </w:r>
            <w:r w:rsidR="0020056A" w:rsidRPr="00300A48">
              <w:rPr>
                <w:sz w:val="22"/>
              </w:rPr>
              <w:t>However, there were no differences during acquisition between those mice reversing and those that did not for any of the reward collection latencies (main effect of GROUP, F</w:t>
            </w:r>
            <w:r w:rsidR="0020056A" w:rsidRPr="00300A48">
              <w:rPr>
                <w:sz w:val="22"/>
                <w:vertAlign w:val="subscript"/>
              </w:rPr>
              <w:t>1</w:t>
            </w:r>
            <w:proofErr w:type="gramStart"/>
            <w:r w:rsidR="0020056A" w:rsidRPr="00300A48">
              <w:rPr>
                <w:sz w:val="22"/>
                <w:vertAlign w:val="subscript"/>
              </w:rPr>
              <w:t>,42</w:t>
            </w:r>
            <w:proofErr w:type="gramEnd"/>
            <w:r w:rsidR="00B178CE" w:rsidRPr="00300A48">
              <w:rPr>
                <w:sz w:val="22"/>
              </w:rPr>
              <w:t>=2.96</w:t>
            </w:r>
            <w:r w:rsidR="0020056A" w:rsidRPr="00300A48">
              <w:rPr>
                <w:sz w:val="22"/>
              </w:rPr>
              <w:t xml:space="preserve">, p=0.11, </w:t>
            </w:r>
            <w:r w:rsidR="008A47DE" w:rsidRPr="00300A48">
              <w:rPr>
                <w:sz w:val="22"/>
              </w:rPr>
              <w:t>F</w:t>
            </w:r>
            <w:r w:rsidR="008A47DE" w:rsidRPr="00300A48">
              <w:rPr>
                <w:sz w:val="22"/>
                <w:vertAlign w:val="subscript"/>
              </w:rPr>
              <w:t>1,42</w:t>
            </w:r>
            <w:r w:rsidR="008A47DE" w:rsidRPr="00300A48">
              <w:rPr>
                <w:sz w:val="22"/>
              </w:rPr>
              <w:t>=0.24, p=0.63</w:t>
            </w:r>
            <w:r w:rsidR="00886894" w:rsidRPr="00300A48">
              <w:rPr>
                <w:sz w:val="22"/>
              </w:rPr>
              <w:t xml:space="preserve"> </w:t>
            </w:r>
            <w:r w:rsidR="008A47DE" w:rsidRPr="00300A48">
              <w:rPr>
                <w:sz w:val="22"/>
              </w:rPr>
              <w:t>and F</w:t>
            </w:r>
            <w:r w:rsidR="008A47DE" w:rsidRPr="00300A48">
              <w:rPr>
                <w:sz w:val="22"/>
                <w:vertAlign w:val="subscript"/>
              </w:rPr>
              <w:t>1,42</w:t>
            </w:r>
            <w:r w:rsidR="008A47DE" w:rsidRPr="00300A48">
              <w:rPr>
                <w:sz w:val="22"/>
              </w:rPr>
              <w:t>=0.47, p=0..49, for fixed, short variable and long variable choice delays, respectively).  Furthermore, t</w:t>
            </w:r>
            <w:r w:rsidR="009B0B99" w:rsidRPr="00300A48">
              <w:rPr>
                <w:sz w:val="22"/>
              </w:rPr>
              <w:t>he latenc</w:t>
            </w:r>
            <w:r w:rsidR="008A47DE" w:rsidRPr="00300A48">
              <w:rPr>
                <w:sz w:val="22"/>
              </w:rPr>
              <w:t>ies</w:t>
            </w:r>
            <w:r w:rsidR="009B0B99" w:rsidRPr="00300A48">
              <w:rPr>
                <w:sz w:val="22"/>
              </w:rPr>
              <w:t xml:space="preserve"> to collect the reward remained constant </w:t>
            </w:r>
            <w:r w:rsidR="0083570C" w:rsidRPr="00300A48">
              <w:rPr>
                <w:sz w:val="22"/>
              </w:rPr>
              <w:t xml:space="preserve">from the initial to final sessions before and after reversal </w:t>
            </w:r>
            <w:r w:rsidR="002E1E53" w:rsidRPr="00300A48">
              <w:rPr>
                <w:sz w:val="22"/>
              </w:rPr>
              <w:t xml:space="preserve">for the shorter delays used </w:t>
            </w:r>
            <w:r w:rsidR="009B0B99" w:rsidRPr="00300A48">
              <w:rPr>
                <w:sz w:val="22"/>
              </w:rPr>
              <w:t>(main effect of SESSION, F</w:t>
            </w:r>
            <w:r w:rsidR="009B0B99" w:rsidRPr="00300A48">
              <w:rPr>
                <w:sz w:val="22"/>
                <w:vertAlign w:val="subscript"/>
              </w:rPr>
              <w:t>1</w:t>
            </w:r>
            <w:proofErr w:type="gramStart"/>
            <w:r w:rsidR="009B0B99" w:rsidRPr="00300A48">
              <w:rPr>
                <w:sz w:val="22"/>
                <w:vertAlign w:val="subscript"/>
              </w:rPr>
              <w:t>,42</w:t>
            </w:r>
            <w:proofErr w:type="gramEnd"/>
            <w:r w:rsidR="009B0B99" w:rsidRPr="00300A48">
              <w:rPr>
                <w:sz w:val="22"/>
              </w:rPr>
              <w:t>=</w:t>
            </w:r>
            <w:r w:rsidR="008A47DE" w:rsidRPr="00300A48">
              <w:rPr>
                <w:sz w:val="22"/>
              </w:rPr>
              <w:t>3.54</w:t>
            </w:r>
            <w:r w:rsidR="009B0B99" w:rsidRPr="00300A48">
              <w:rPr>
                <w:sz w:val="22"/>
              </w:rPr>
              <w:t>, p=0.</w:t>
            </w:r>
            <w:r w:rsidR="008A47DE" w:rsidRPr="00300A48">
              <w:rPr>
                <w:sz w:val="22"/>
              </w:rPr>
              <w:t>07</w:t>
            </w:r>
            <w:r w:rsidR="002E1E53" w:rsidRPr="00300A48">
              <w:rPr>
                <w:sz w:val="22"/>
              </w:rPr>
              <w:t xml:space="preserve"> and</w:t>
            </w:r>
            <w:r w:rsidR="008A47DE" w:rsidRPr="00300A48">
              <w:rPr>
                <w:sz w:val="22"/>
              </w:rPr>
              <w:t xml:space="preserve"> </w:t>
            </w:r>
            <w:r w:rsidR="009B0B99" w:rsidRPr="00300A48">
              <w:rPr>
                <w:sz w:val="22"/>
              </w:rPr>
              <w:t>F</w:t>
            </w:r>
            <w:r w:rsidR="009B0B99" w:rsidRPr="00300A48">
              <w:rPr>
                <w:sz w:val="22"/>
                <w:vertAlign w:val="subscript"/>
              </w:rPr>
              <w:t>1,</w:t>
            </w:r>
            <w:r w:rsidR="000A1968" w:rsidRPr="00300A48">
              <w:rPr>
                <w:sz w:val="22"/>
                <w:vertAlign w:val="subscript"/>
              </w:rPr>
              <w:t>4</w:t>
            </w:r>
            <w:r w:rsidR="009B0B99" w:rsidRPr="00300A48">
              <w:rPr>
                <w:sz w:val="22"/>
                <w:vertAlign w:val="subscript"/>
              </w:rPr>
              <w:t>2</w:t>
            </w:r>
            <w:r w:rsidR="009B0B99" w:rsidRPr="00300A48">
              <w:rPr>
                <w:sz w:val="22"/>
              </w:rPr>
              <w:t>=0.</w:t>
            </w:r>
            <w:r w:rsidR="008A47DE" w:rsidRPr="00300A48">
              <w:rPr>
                <w:sz w:val="22"/>
              </w:rPr>
              <w:t>33</w:t>
            </w:r>
            <w:r w:rsidR="009B0B99" w:rsidRPr="00300A48">
              <w:rPr>
                <w:sz w:val="22"/>
              </w:rPr>
              <w:t>, p=0.</w:t>
            </w:r>
            <w:r w:rsidR="008A47DE" w:rsidRPr="00300A48">
              <w:rPr>
                <w:sz w:val="22"/>
              </w:rPr>
              <w:t>86</w:t>
            </w:r>
            <w:r w:rsidR="009B0B99" w:rsidRPr="00300A48">
              <w:rPr>
                <w:sz w:val="22"/>
              </w:rPr>
              <w:t xml:space="preserve">, </w:t>
            </w:r>
            <w:r w:rsidR="000A1968" w:rsidRPr="00300A48">
              <w:rPr>
                <w:sz w:val="22"/>
              </w:rPr>
              <w:t>F</w:t>
            </w:r>
            <w:r w:rsidR="000A1968" w:rsidRPr="00300A48">
              <w:rPr>
                <w:sz w:val="22"/>
                <w:vertAlign w:val="subscript"/>
              </w:rPr>
              <w:t>1,33</w:t>
            </w:r>
            <w:r w:rsidR="000A1968" w:rsidRPr="00300A48">
              <w:rPr>
                <w:sz w:val="22"/>
              </w:rPr>
              <w:t>=3.93, p=0.07 and F</w:t>
            </w:r>
            <w:r w:rsidR="000A1968" w:rsidRPr="00300A48">
              <w:rPr>
                <w:sz w:val="22"/>
                <w:vertAlign w:val="subscript"/>
              </w:rPr>
              <w:t>1,33</w:t>
            </w:r>
            <w:r w:rsidR="000A1968" w:rsidRPr="00300A48">
              <w:rPr>
                <w:sz w:val="22"/>
              </w:rPr>
              <w:t>=0.</w:t>
            </w:r>
            <w:r w:rsidR="00410FC1" w:rsidRPr="00300A48">
              <w:rPr>
                <w:sz w:val="22"/>
              </w:rPr>
              <w:t>45</w:t>
            </w:r>
            <w:r w:rsidR="000A1968" w:rsidRPr="00300A48">
              <w:rPr>
                <w:sz w:val="22"/>
              </w:rPr>
              <w:t>, p=0.8</w:t>
            </w:r>
            <w:r w:rsidR="00410FC1" w:rsidRPr="00300A48">
              <w:rPr>
                <w:sz w:val="22"/>
              </w:rPr>
              <w:t>4</w:t>
            </w:r>
            <w:r w:rsidR="000A1968" w:rsidRPr="00300A48">
              <w:rPr>
                <w:sz w:val="22"/>
              </w:rPr>
              <w:t xml:space="preserve">, </w:t>
            </w:r>
            <w:r w:rsidR="00410FC1" w:rsidRPr="00300A48">
              <w:rPr>
                <w:sz w:val="22"/>
              </w:rPr>
              <w:t>for the fixed and short variable delays, for initial acquisition and reversal respectively</w:t>
            </w:r>
            <w:r w:rsidR="000A1968" w:rsidRPr="00300A48">
              <w:rPr>
                <w:sz w:val="22"/>
              </w:rPr>
              <w:t xml:space="preserve">). </w:t>
            </w:r>
            <w:r w:rsidR="002E1E53" w:rsidRPr="00300A48">
              <w:rPr>
                <w:sz w:val="22"/>
              </w:rPr>
              <w:t xml:space="preserve">All mice showed a decrease in their latency to collect the reward following the longest delay (g), between the first and last sessions during both initial acquisition </w:t>
            </w:r>
            <w:r w:rsidR="000A1968" w:rsidRPr="00300A48">
              <w:rPr>
                <w:sz w:val="22"/>
              </w:rPr>
              <w:t>(main effect of SESSION, F</w:t>
            </w:r>
            <w:r w:rsidR="000A1968" w:rsidRPr="00300A48">
              <w:rPr>
                <w:sz w:val="22"/>
                <w:vertAlign w:val="subscript"/>
              </w:rPr>
              <w:t>1</w:t>
            </w:r>
            <w:proofErr w:type="gramStart"/>
            <w:r w:rsidR="000A1968" w:rsidRPr="00300A48">
              <w:rPr>
                <w:sz w:val="22"/>
                <w:vertAlign w:val="subscript"/>
              </w:rPr>
              <w:t>,42</w:t>
            </w:r>
            <w:proofErr w:type="gramEnd"/>
            <w:r w:rsidR="000A1968" w:rsidRPr="00300A48">
              <w:rPr>
                <w:sz w:val="22"/>
              </w:rPr>
              <w:t>=11.12, p=0.002) and</w:t>
            </w:r>
            <w:r w:rsidR="002E1E53" w:rsidRPr="00300A48">
              <w:rPr>
                <w:sz w:val="22"/>
              </w:rPr>
              <w:t xml:space="preserve"> reversal</w:t>
            </w:r>
            <w:r w:rsidR="000A1968" w:rsidRPr="00300A48">
              <w:rPr>
                <w:sz w:val="22"/>
              </w:rPr>
              <w:t xml:space="preserve"> (main effect of SESSION, F</w:t>
            </w:r>
            <w:r w:rsidR="000A1968" w:rsidRPr="00300A48">
              <w:rPr>
                <w:sz w:val="22"/>
                <w:vertAlign w:val="subscript"/>
              </w:rPr>
              <w:t>1,33</w:t>
            </w:r>
            <w:r w:rsidR="000A1968" w:rsidRPr="00300A48">
              <w:rPr>
                <w:sz w:val="22"/>
              </w:rPr>
              <w:t>=4.23, p=0.049)</w:t>
            </w:r>
            <w:r w:rsidR="002E1E53" w:rsidRPr="00300A48">
              <w:rPr>
                <w:sz w:val="22"/>
              </w:rPr>
              <w:t>.</w:t>
            </w:r>
            <w:r w:rsidR="000A1968" w:rsidRPr="00300A48">
              <w:rPr>
                <w:rFonts w:cs="Times New Roman"/>
                <w:sz w:val="22"/>
                <w:szCs w:val="24"/>
              </w:rPr>
              <w:t xml:space="preserve"> </w:t>
            </w:r>
            <w:r w:rsidR="009B0B99" w:rsidRPr="00300A48">
              <w:rPr>
                <w:rFonts w:cs="Times New Roman"/>
                <w:sz w:val="22"/>
                <w:szCs w:val="24"/>
              </w:rPr>
              <w:t xml:space="preserve">Data shows </w:t>
            </w:r>
            <w:proofErr w:type="spellStart"/>
            <w:r w:rsidR="009B0B99" w:rsidRPr="00300A48">
              <w:rPr>
                <w:rFonts w:cs="Times New Roman"/>
                <w:sz w:val="22"/>
                <w:szCs w:val="24"/>
              </w:rPr>
              <w:t>mean±SE</w:t>
            </w:r>
            <w:proofErr w:type="spellEnd"/>
            <w:r w:rsidR="009B0B99" w:rsidRPr="00300A48">
              <w:rPr>
                <w:rFonts w:cs="Times New Roman"/>
                <w:sz w:val="22"/>
                <w:szCs w:val="24"/>
              </w:rPr>
              <w:t>.</w:t>
            </w:r>
            <w:r w:rsidR="00410FC1" w:rsidRPr="00300A48">
              <w:rPr>
                <w:rFonts w:cs="Times New Roman"/>
                <w:sz w:val="22"/>
                <w:szCs w:val="24"/>
              </w:rPr>
              <w:t xml:space="preserve"> N=44 for initial acquisition and N=34 for post-reversal.</w:t>
            </w:r>
          </w:p>
        </w:tc>
      </w:tr>
      <w:tr w:rsidR="003D21E5" w14:paraId="40DBBCB5" w14:textId="77777777" w:rsidTr="00A81A15">
        <w:trPr>
          <w:gridAfter w:val="1"/>
          <w:wAfter w:w="590" w:type="dxa"/>
        </w:trPr>
        <w:tc>
          <w:tcPr>
            <w:tcW w:w="9016" w:type="dxa"/>
          </w:tcPr>
          <w:p w14:paraId="27F6C476" w14:textId="0269B93E" w:rsidR="003D21E5" w:rsidRDefault="00E0172C" w:rsidP="00DC370D">
            <w:pPr>
              <w:jc w:val="center"/>
            </w:pPr>
            <w:r>
              <w:rPr>
                <w:noProof/>
                <w:lang w:eastAsia="en-GB"/>
              </w:rPr>
              <w:lastRenderedPageBreak/>
              <w:drawing>
                <wp:inline distT="0" distB="0" distL="0" distR="0" wp14:anchorId="2CF42CC8" wp14:editId="0318CD98">
                  <wp:extent cx="4619363" cy="434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1.JPG"/>
                          <pic:cNvPicPr/>
                        </pic:nvPicPr>
                        <pic:blipFill rotWithShape="1">
                          <a:blip r:embed="rId13">
                            <a:extLst>
                              <a:ext uri="{28A0092B-C50C-407E-A947-70E740481C1C}">
                                <a14:useLocalDpi xmlns:a14="http://schemas.microsoft.com/office/drawing/2010/main" val="0"/>
                              </a:ext>
                            </a:extLst>
                          </a:blip>
                          <a:srcRect l="11773" t="8354" r="15120"/>
                          <a:stretch/>
                        </pic:blipFill>
                        <pic:spPr bwMode="auto">
                          <a:xfrm>
                            <a:off x="0" y="0"/>
                            <a:ext cx="4619363" cy="4343400"/>
                          </a:xfrm>
                          <a:prstGeom prst="rect">
                            <a:avLst/>
                          </a:prstGeom>
                          <a:ln>
                            <a:noFill/>
                          </a:ln>
                          <a:extLst>
                            <a:ext uri="{53640926-AAD7-44D8-BBD7-CCE9431645EC}">
                              <a14:shadowObscured xmlns:a14="http://schemas.microsoft.com/office/drawing/2010/main"/>
                            </a:ext>
                          </a:extLst>
                        </pic:spPr>
                      </pic:pic>
                    </a:graphicData>
                  </a:graphic>
                </wp:inline>
              </w:drawing>
            </w:r>
          </w:p>
        </w:tc>
      </w:tr>
      <w:tr w:rsidR="003D21E5" w:rsidRPr="009E5CAB" w14:paraId="50B857FD" w14:textId="77777777" w:rsidTr="00A81A15">
        <w:trPr>
          <w:gridAfter w:val="1"/>
          <w:wAfter w:w="590" w:type="dxa"/>
        </w:trPr>
        <w:tc>
          <w:tcPr>
            <w:tcW w:w="9016" w:type="dxa"/>
          </w:tcPr>
          <w:p w14:paraId="48E33D6D" w14:textId="401FA5B7" w:rsidR="00FE347B" w:rsidRPr="009E5CAB" w:rsidRDefault="003D21E5" w:rsidP="00BD32BA">
            <w:pPr>
              <w:rPr>
                <w:sz w:val="22"/>
              </w:rPr>
            </w:pPr>
            <w:r w:rsidRPr="009E5CAB">
              <w:rPr>
                <w:b/>
                <w:sz w:val="22"/>
              </w:rPr>
              <w:t xml:space="preserve">Supplementary Results Figure </w:t>
            </w:r>
            <w:r w:rsidR="009956D0" w:rsidRPr="009E5CAB">
              <w:rPr>
                <w:b/>
                <w:sz w:val="22"/>
              </w:rPr>
              <w:t>4</w:t>
            </w:r>
            <w:r w:rsidRPr="009E5CAB">
              <w:rPr>
                <w:b/>
                <w:sz w:val="22"/>
              </w:rPr>
              <w:t xml:space="preserve">: </w:t>
            </w:r>
            <w:r w:rsidR="005A6742" w:rsidRPr="009E5CAB">
              <w:rPr>
                <w:b/>
                <w:sz w:val="22"/>
              </w:rPr>
              <w:t>Additional data for pharmacological manipulations.</w:t>
            </w:r>
            <w:r w:rsidR="005A6742" w:rsidRPr="009E5CAB">
              <w:rPr>
                <w:sz w:val="22"/>
              </w:rPr>
              <w:t xml:space="preserve">  </w:t>
            </w:r>
            <w:r w:rsidR="009E5CAB">
              <w:rPr>
                <w:sz w:val="22"/>
              </w:rPr>
              <w:t xml:space="preserve">Drug challenges were </w:t>
            </w:r>
            <w:r w:rsidR="00BD32BA">
              <w:rPr>
                <w:sz w:val="22"/>
              </w:rPr>
              <w:t>given</w:t>
            </w:r>
            <w:r w:rsidR="009E5CAB">
              <w:rPr>
                <w:sz w:val="22"/>
              </w:rPr>
              <w:t xml:space="preserve"> to mice using </w:t>
            </w:r>
            <w:r w:rsidR="009E5CAB" w:rsidRPr="009E5CAB">
              <w:rPr>
                <w:sz w:val="22"/>
              </w:rPr>
              <w:t xml:space="preserve">the </w:t>
            </w:r>
            <w:r w:rsidR="009E5CAB" w:rsidRPr="009E5CAB">
              <w:rPr>
                <w:rFonts w:cs="Times New Roman"/>
                <w:sz w:val="22"/>
                <w:szCs w:val="24"/>
              </w:rPr>
              <w:t>fixed vs. variable delay to reward food schedule task (FST-D)</w:t>
            </w:r>
            <w:r w:rsidR="009E5CAB" w:rsidRPr="009E5CAB">
              <w:rPr>
                <w:sz w:val="22"/>
              </w:rPr>
              <w:t xml:space="preserve"> task, with a single session/dose.</w:t>
            </w:r>
            <w:r w:rsidR="009E5CAB" w:rsidRPr="00300A48">
              <w:rPr>
                <w:sz w:val="22"/>
              </w:rPr>
              <w:t xml:space="preserve">  </w:t>
            </w:r>
            <w:r w:rsidR="009E5CAB">
              <w:rPr>
                <w:sz w:val="22"/>
              </w:rPr>
              <w:t xml:space="preserve">New stimuli were used in each session.  </w:t>
            </w:r>
            <w:r w:rsidR="00276B0D" w:rsidRPr="009E5CAB">
              <w:rPr>
                <w:rFonts w:cs="Times New Roman"/>
                <w:sz w:val="22"/>
                <w:szCs w:val="24"/>
              </w:rPr>
              <w:t xml:space="preserve">Data were analysed by ANOVA with within–subject factor of DOSE and additional factor of CHOICE (for the comparison between fixed and variable choices). </w:t>
            </w:r>
            <w:r w:rsidR="00C66341" w:rsidRPr="009E5CAB">
              <w:rPr>
                <w:sz w:val="22"/>
              </w:rPr>
              <w:t>The higher doses of SB242084 significantly increased the number of trials made by the mice (a, m</w:t>
            </w:r>
            <w:r w:rsidR="00026A23" w:rsidRPr="009E5CAB">
              <w:rPr>
                <w:sz w:val="22"/>
              </w:rPr>
              <w:t xml:space="preserve">ain effect of </w:t>
            </w:r>
            <w:r w:rsidR="00C66341" w:rsidRPr="009E5CAB">
              <w:rPr>
                <w:sz w:val="22"/>
              </w:rPr>
              <w:t>DOSE</w:t>
            </w:r>
            <w:r w:rsidR="00026A23" w:rsidRPr="009E5CAB">
              <w:rPr>
                <w:sz w:val="22"/>
              </w:rPr>
              <w:t>, F</w:t>
            </w:r>
            <w:r w:rsidR="00587111" w:rsidRPr="009E5CAB">
              <w:rPr>
                <w:sz w:val="22"/>
                <w:vertAlign w:val="subscript"/>
              </w:rPr>
              <w:t>3</w:t>
            </w:r>
            <w:proofErr w:type="gramStart"/>
            <w:r w:rsidR="00587111" w:rsidRPr="009E5CAB">
              <w:rPr>
                <w:sz w:val="22"/>
                <w:vertAlign w:val="subscript"/>
              </w:rPr>
              <w:t>,9</w:t>
            </w:r>
            <w:r w:rsidR="00F170B7" w:rsidRPr="009E5CAB">
              <w:rPr>
                <w:sz w:val="22"/>
                <w:vertAlign w:val="subscript"/>
              </w:rPr>
              <w:t>9</w:t>
            </w:r>
            <w:proofErr w:type="gramEnd"/>
            <w:r w:rsidR="00026A23" w:rsidRPr="009E5CAB">
              <w:rPr>
                <w:sz w:val="22"/>
              </w:rPr>
              <w:t>=</w:t>
            </w:r>
            <w:r w:rsidR="00F170B7" w:rsidRPr="009E5CAB">
              <w:rPr>
                <w:sz w:val="22"/>
              </w:rPr>
              <w:t>3.</w:t>
            </w:r>
            <w:r w:rsidR="00587111" w:rsidRPr="009E5CAB">
              <w:rPr>
                <w:sz w:val="22"/>
              </w:rPr>
              <w:t>17</w:t>
            </w:r>
            <w:r w:rsidR="00026A23" w:rsidRPr="009E5CAB">
              <w:rPr>
                <w:sz w:val="22"/>
              </w:rPr>
              <w:t>, p=0.0</w:t>
            </w:r>
            <w:r w:rsidR="00587111" w:rsidRPr="009E5CAB">
              <w:rPr>
                <w:sz w:val="22"/>
              </w:rPr>
              <w:t>3</w:t>
            </w:r>
            <w:r w:rsidR="00026A23" w:rsidRPr="009E5CAB">
              <w:rPr>
                <w:sz w:val="22"/>
              </w:rPr>
              <w:t>)</w:t>
            </w:r>
            <w:r w:rsidR="00C66341" w:rsidRPr="009E5CAB">
              <w:rPr>
                <w:sz w:val="22"/>
              </w:rPr>
              <w:t xml:space="preserve">, but did not alter either the latency to choose an option (b, main effect of </w:t>
            </w:r>
            <w:r w:rsidR="00587111" w:rsidRPr="009E5CAB">
              <w:rPr>
                <w:sz w:val="22"/>
              </w:rPr>
              <w:t>DOSE</w:t>
            </w:r>
            <w:r w:rsidR="00C66341" w:rsidRPr="009E5CAB">
              <w:rPr>
                <w:sz w:val="22"/>
              </w:rPr>
              <w:t>, F</w:t>
            </w:r>
            <w:r w:rsidR="00587111" w:rsidRPr="009E5CAB">
              <w:rPr>
                <w:sz w:val="22"/>
                <w:vertAlign w:val="subscript"/>
              </w:rPr>
              <w:t>3,9</w:t>
            </w:r>
            <w:r w:rsidR="00C66341" w:rsidRPr="009E5CAB">
              <w:rPr>
                <w:sz w:val="22"/>
                <w:vertAlign w:val="subscript"/>
              </w:rPr>
              <w:t>9</w:t>
            </w:r>
            <w:r w:rsidR="00C66341" w:rsidRPr="009E5CAB">
              <w:rPr>
                <w:sz w:val="22"/>
              </w:rPr>
              <w:t xml:space="preserve">=0.69, p=0.56) or collect the reward (c, main effect of </w:t>
            </w:r>
            <w:r w:rsidR="00587111" w:rsidRPr="009E5CAB">
              <w:rPr>
                <w:sz w:val="22"/>
              </w:rPr>
              <w:t>DOSE</w:t>
            </w:r>
            <w:r w:rsidR="00C66341" w:rsidRPr="009E5CAB">
              <w:rPr>
                <w:sz w:val="22"/>
              </w:rPr>
              <w:t>, F</w:t>
            </w:r>
            <w:r w:rsidR="00587111" w:rsidRPr="009E5CAB">
              <w:rPr>
                <w:sz w:val="22"/>
                <w:vertAlign w:val="subscript"/>
              </w:rPr>
              <w:t>3,9</w:t>
            </w:r>
            <w:r w:rsidR="00C66341" w:rsidRPr="009E5CAB">
              <w:rPr>
                <w:sz w:val="22"/>
                <w:vertAlign w:val="subscript"/>
              </w:rPr>
              <w:t>9</w:t>
            </w:r>
            <w:r w:rsidR="00C66341" w:rsidRPr="009E5CAB">
              <w:rPr>
                <w:sz w:val="22"/>
              </w:rPr>
              <w:t>=1.05, p=0.37).  There were no differences between the latencies to choose the fixed of variable delay to reward options (m</w:t>
            </w:r>
            <w:r w:rsidR="00026A23" w:rsidRPr="009E5CAB">
              <w:rPr>
                <w:sz w:val="22"/>
              </w:rPr>
              <w:t xml:space="preserve">ain effect of </w:t>
            </w:r>
            <w:r w:rsidR="00C66341" w:rsidRPr="009E5CAB">
              <w:rPr>
                <w:sz w:val="22"/>
              </w:rPr>
              <w:t>CHOIC</w:t>
            </w:r>
            <w:r w:rsidR="00026A23" w:rsidRPr="009E5CAB">
              <w:rPr>
                <w:sz w:val="22"/>
              </w:rPr>
              <w:t>E, F</w:t>
            </w:r>
            <w:r w:rsidR="00587111" w:rsidRPr="009E5CAB">
              <w:rPr>
                <w:sz w:val="22"/>
                <w:vertAlign w:val="subscript"/>
              </w:rPr>
              <w:t>1</w:t>
            </w:r>
            <w:proofErr w:type="gramStart"/>
            <w:r w:rsidR="00587111" w:rsidRPr="009E5CAB">
              <w:rPr>
                <w:sz w:val="22"/>
                <w:vertAlign w:val="subscript"/>
              </w:rPr>
              <w:t>,3</w:t>
            </w:r>
            <w:r w:rsidR="00026A23" w:rsidRPr="009E5CAB">
              <w:rPr>
                <w:sz w:val="22"/>
                <w:vertAlign w:val="subscript"/>
              </w:rPr>
              <w:t>3</w:t>
            </w:r>
            <w:proofErr w:type="gramEnd"/>
            <w:r w:rsidR="00026A23" w:rsidRPr="009E5CAB">
              <w:rPr>
                <w:sz w:val="22"/>
              </w:rPr>
              <w:t>=</w:t>
            </w:r>
            <w:r w:rsidR="00484EA6" w:rsidRPr="009E5CAB">
              <w:rPr>
                <w:sz w:val="22"/>
              </w:rPr>
              <w:t>0.80</w:t>
            </w:r>
            <w:r w:rsidR="00026A23" w:rsidRPr="009E5CAB">
              <w:rPr>
                <w:sz w:val="22"/>
              </w:rPr>
              <w:t>, p=0.</w:t>
            </w:r>
            <w:r w:rsidR="00484EA6" w:rsidRPr="009E5CAB">
              <w:rPr>
                <w:sz w:val="22"/>
              </w:rPr>
              <w:t>39</w:t>
            </w:r>
            <w:r w:rsidR="00026A23" w:rsidRPr="009E5CAB">
              <w:rPr>
                <w:sz w:val="22"/>
              </w:rPr>
              <w:t>)</w:t>
            </w:r>
            <w:r w:rsidR="00C66341" w:rsidRPr="009E5CAB">
              <w:rPr>
                <w:sz w:val="22"/>
              </w:rPr>
              <w:t>, but mice collected the variable delay to reward option more rapidly than the fixed contingency (m</w:t>
            </w:r>
            <w:r w:rsidR="00026A23" w:rsidRPr="009E5CAB">
              <w:rPr>
                <w:sz w:val="22"/>
              </w:rPr>
              <w:t>ain effect of TYPE, F</w:t>
            </w:r>
            <w:r w:rsidR="00026A23" w:rsidRPr="009E5CAB">
              <w:rPr>
                <w:sz w:val="22"/>
                <w:vertAlign w:val="subscript"/>
              </w:rPr>
              <w:t>1,</w:t>
            </w:r>
            <w:r w:rsidR="00587111" w:rsidRPr="009E5CAB">
              <w:rPr>
                <w:sz w:val="22"/>
                <w:vertAlign w:val="subscript"/>
              </w:rPr>
              <w:t>3</w:t>
            </w:r>
            <w:r w:rsidR="00026A23" w:rsidRPr="009E5CAB">
              <w:rPr>
                <w:sz w:val="22"/>
                <w:vertAlign w:val="subscript"/>
              </w:rPr>
              <w:t>3</w:t>
            </w:r>
            <w:r w:rsidR="00026A23" w:rsidRPr="009E5CAB">
              <w:rPr>
                <w:sz w:val="22"/>
              </w:rPr>
              <w:t>=</w:t>
            </w:r>
            <w:r w:rsidR="00F170B7" w:rsidRPr="009E5CAB">
              <w:rPr>
                <w:sz w:val="22"/>
              </w:rPr>
              <w:t>579.93</w:t>
            </w:r>
            <w:r w:rsidR="00026A23" w:rsidRPr="009E5CAB">
              <w:rPr>
                <w:sz w:val="22"/>
              </w:rPr>
              <w:t>, p=0.0001)</w:t>
            </w:r>
            <w:r w:rsidR="00C66341" w:rsidRPr="009E5CAB">
              <w:rPr>
                <w:sz w:val="22"/>
              </w:rPr>
              <w:t>.</w:t>
            </w:r>
            <w:r w:rsidR="00D02DA0" w:rsidRPr="009E5CAB">
              <w:rPr>
                <w:sz w:val="22"/>
              </w:rPr>
              <w:t xml:space="preserve"> Higher doses of WAY161503 decreased the number of trials completed/session (d, m</w:t>
            </w:r>
            <w:r w:rsidR="00026A23" w:rsidRPr="009E5CAB">
              <w:rPr>
                <w:sz w:val="22"/>
              </w:rPr>
              <w:t xml:space="preserve">ain effect of </w:t>
            </w:r>
            <w:r w:rsidR="00D02DA0" w:rsidRPr="009E5CAB">
              <w:rPr>
                <w:sz w:val="22"/>
              </w:rPr>
              <w:t>DOSE</w:t>
            </w:r>
            <w:r w:rsidR="00026A23" w:rsidRPr="009E5CAB">
              <w:rPr>
                <w:sz w:val="22"/>
              </w:rPr>
              <w:t>, F</w:t>
            </w:r>
            <w:r w:rsidR="00587111" w:rsidRPr="009E5CAB">
              <w:rPr>
                <w:sz w:val="22"/>
                <w:vertAlign w:val="subscript"/>
              </w:rPr>
              <w:t>3</w:t>
            </w:r>
            <w:proofErr w:type="gramStart"/>
            <w:r w:rsidR="00587111" w:rsidRPr="009E5CAB">
              <w:rPr>
                <w:sz w:val="22"/>
                <w:vertAlign w:val="subscript"/>
              </w:rPr>
              <w:t>,9</w:t>
            </w:r>
            <w:r w:rsidR="00F170B7" w:rsidRPr="009E5CAB">
              <w:rPr>
                <w:sz w:val="22"/>
                <w:vertAlign w:val="subscript"/>
              </w:rPr>
              <w:t>9</w:t>
            </w:r>
            <w:proofErr w:type="gramEnd"/>
            <w:r w:rsidR="00026A23" w:rsidRPr="009E5CAB">
              <w:rPr>
                <w:sz w:val="22"/>
              </w:rPr>
              <w:t>=</w:t>
            </w:r>
            <w:r w:rsidR="00F170B7" w:rsidRPr="009E5CAB">
              <w:rPr>
                <w:sz w:val="22"/>
              </w:rPr>
              <w:t>4.08</w:t>
            </w:r>
            <w:r w:rsidR="00026A23" w:rsidRPr="009E5CAB">
              <w:rPr>
                <w:sz w:val="22"/>
              </w:rPr>
              <w:t>, p=0.008)</w:t>
            </w:r>
            <w:r w:rsidR="00D02DA0" w:rsidRPr="009E5CAB">
              <w:rPr>
                <w:sz w:val="22"/>
              </w:rPr>
              <w:t>, and increased the latencies to make a choice (e, main effect of DOSE, F</w:t>
            </w:r>
            <w:r w:rsidR="00587111" w:rsidRPr="009E5CAB">
              <w:rPr>
                <w:sz w:val="22"/>
                <w:vertAlign w:val="subscript"/>
              </w:rPr>
              <w:t>3,9</w:t>
            </w:r>
            <w:r w:rsidR="00D02DA0" w:rsidRPr="009E5CAB">
              <w:rPr>
                <w:sz w:val="22"/>
                <w:vertAlign w:val="subscript"/>
              </w:rPr>
              <w:t>9</w:t>
            </w:r>
            <w:r w:rsidR="00D02DA0" w:rsidRPr="009E5CAB">
              <w:rPr>
                <w:sz w:val="22"/>
              </w:rPr>
              <w:t>=4.19, p=0.007) and collect the reward (f, main effect of DOSE, F</w:t>
            </w:r>
            <w:r w:rsidR="00587111" w:rsidRPr="009E5CAB">
              <w:rPr>
                <w:sz w:val="22"/>
                <w:vertAlign w:val="subscript"/>
              </w:rPr>
              <w:t>3,9</w:t>
            </w:r>
            <w:r w:rsidR="00D02DA0" w:rsidRPr="009E5CAB">
              <w:rPr>
                <w:sz w:val="22"/>
                <w:vertAlign w:val="subscript"/>
              </w:rPr>
              <w:t>9</w:t>
            </w:r>
            <w:r w:rsidR="00276B0D" w:rsidRPr="009E5CAB">
              <w:rPr>
                <w:sz w:val="22"/>
              </w:rPr>
              <w:t>=4.52 p=0.005</w:t>
            </w:r>
            <w:r w:rsidR="00D02DA0" w:rsidRPr="009E5CAB">
              <w:rPr>
                <w:sz w:val="22"/>
              </w:rPr>
              <w:t>).  There were also no differences between the latencies to choose the fixed of variable delay to reward options (main effect of CHOICE, F</w:t>
            </w:r>
            <w:r w:rsidR="00D02DA0" w:rsidRPr="009E5CAB">
              <w:rPr>
                <w:sz w:val="22"/>
                <w:vertAlign w:val="subscript"/>
              </w:rPr>
              <w:t>1</w:t>
            </w:r>
            <w:proofErr w:type="gramStart"/>
            <w:r w:rsidR="00D02DA0" w:rsidRPr="009E5CAB">
              <w:rPr>
                <w:sz w:val="22"/>
                <w:vertAlign w:val="subscript"/>
              </w:rPr>
              <w:t>,</w:t>
            </w:r>
            <w:r w:rsidR="00587111" w:rsidRPr="009E5CAB">
              <w:rPr>
                <w:sz w:val="22"/>
                <w:vertAlign w:val="subscript"/>
              </w:rPr>
              <w:t>3</w:t>
            </w:r>
            <w:r w:rsidR="00D02DA0" w:rsidRPr="009E5CAB">
              <w:rPr>
                <w:sz w:val="22"/>
                <w:vertAlign w:val="subscript"/>
              </w:rPr>
              <w:t>3</w:t>
            </w:r>
            <w:proofErr w:type="gramEnd"/>
            <w:r w:rsidR="00D02DA0" w:rsidRPr="009E5CAB">
              <w:rPr>
                <w:sz w:val="22"/>
              </w:rPr>
              <w:t>=0.05, p=0.82), but the latency to collect the reward on fixed delay trials was also greater than for variable delay trials (m</w:t>
            </w:r>
            <w:r w:rsidR="00026A23" w:rsidRPr="009E5CAB">
              <w:rPr>
                <w:sz w:val="22"/>
              </w:rPr>
              <w:t xml:space="preserve">ain effect of </w:t>
            </w:r>
            <w:r w:rsidR="00D02DA0" w:rsidRPr="009E5CAB">
              <w:rPr>
                <w:sz w:val="22"/>
              </w:rPr>
              <w:t>CHOIC</w:t>
            </w:r>
            <w:r w:rsidR="00026A23" w:rsidRPr="009E5CAB">
              <w:rPr>
                <w:sz w:val="22"/>
              </w:rPr>
              <w:t>E, F</w:t>
            </w:r>
            <w:r w:rsidR="00026A23" w:rsidRPr="009E5CAB">
              <w:rPr>
                <w:sz w:val="22"/>
                <w:vertAlign w:val="subscript"/>
              </w:rPr>
              <w:t>1,</w:t>
            </w:r>
            <w:r w:rsidR="00587111" w:rsidRPr="009E5CAB">
              <w:rPr>
                <w:sz w:val="22"/>
                <w:vertAlign w:val="subscript"/>
              </w:rPr>
              <w:t>3</w:t>
            </w:r>
            <w:r w:rsidR="00026A23" w:rsidRPr="009E5CAB">
              <w:rPr>
                <w:sz w:val="22"/>
                <w:vertAlign w:val="subscript"/>
              </w:rPr>
              <w:t>3</w:t>
            </w:r>
            <w:r w:rsidR="00026A23" w:rsidRPr="009E5CAB">
              <w:rPr>
                <w:sz w:val="22"/>
              </w:rPr>
              <w:t>=</w:t>
            </w:r>
            <w:r w:rsidR="00F170B7" w:rsidRPr="009E5CAB">
              <w:rPr>
                <w:sz w:val="22"/>
              </w:rPr>
              <w:t>384.78</w:t>
            </w:r>
            <w:r w:rsidR="00026A23" w:rsidRPr="009E5CAB">
              <w:rPr>
                <w:sz w:val="22"/>
              </w:rPr>
              <w:t>, p=0.0001)</w:t>
            </w:r>
            <w:r w:rsidR="00D02DA0" w:rsidRPr="009E5CAB">
              <w:rPr>
                <w:sz w:val="22"/>
              </w:rPr>
              <w:t xml:space="preserve">.  </w:t>
            </w:r>
            <w:r w:rsidR="00FE347B" w:rsidRPr="009E5CAB">
              <w:rPr>
                <w:rFonts w:cs="Times New Roman"/>
                <w:sz w:val="22"/>
                <w:szCs w:val="24"/>
              </w:rPr>
              <w:t xml:space="preserve">Data shows </w:t>
            </w:r>
            <w:proofErr w:type="spellStart"/>
            <w:r w:rsidR="00FE347B" w:rsidRPr="009E5CAB">
              <w:rPr>
                <w:rFonts w:cs="Times New Roman"/>
                <w:sz w:val="22"/>
                <w:szCs w:val="24"/>
              </w:rPr>
              <w:t>mean±SE</w:t>
            </w:r>
            <w:proofErr w:type="spellEnd"/>
            <w:r w:rsidR="00FE347B" w:rsidRPr="009E5CAB">
              <w:rPr>
                <w:rFonts w:cs="Times New Roman"/>
                <w:sz w:val="22"/>
                <w:szCs w:val="24"/>
              </w:rPr>
              <w:t>, N=</w:t>
            </w:r>
            <w:r w:rsidR="00587111" w:rsidRPr="009E5CAB">
              <w:rPr>
                <w:rFonts w:cs="Times New Roman"/>
                <w:sz w:val="22"/>
                <w:szCs w:val="24"/>
              </w:rPr>
              <w:t>3</w:t>
            </w:r>
            <w:r w:rsidR="00FE347B" w:rsidRPr="009E5CAB">
              <w:rPr>
                <w:rFonts w:cs="Times New Roman"/>
                <w:sz w:val="22"/>
                <w:szCs w:val="24"/>
              </w:rPr>
              <w:t xml:space="preserve">4. * </w:t>
            </w:r>
            <w:proofErr w:type="gramStart"/>
            <w:r w:rsidR="005A6742" w:rsidRPr="009E5CAB">
              <w:rPr>
                <w:rFonts w:cs="Times New Roman"/>
                <w:sz w:val="22"/>
                <w:szCs w:val="24"/>
              </w:rPr>
              <w:t>and</w:t>
            </w:r>
            <w:proofErr w:type="gramEnd"/>
            <w:r w:rsidR="005A6742" w:rsidRPr="009E5CAB">
              <w:rPr>
                <w:rFonts w:cs="Times New Roman"/>
                <w:sz w:val="22"/>
                <w:szCs w:val="24"/>
              </w:rPr>
              <w:t xml:space="preserve"> ** </w:t>
            </w:r>
            <w:r w:rsidR="00FE347B" w:rsidRPr="009E5CAB">
              <w:rPr>
                <w:rFonts w:cs="Times New Roman"/>
                <w:sz w:val="22"/>
                <w:szCs w:val="24"/>
              </w:rPr>
              <w:t>denotes p&lt;0.05</w:t>
            </w:r>
            <w:r w:rsidR="005A6742" w:rsidRPr="009E5CAB">
              <w:rPr>
                <w:rFonts w:cs="Times New Roman"/>
                <w:sz w:val="22"/>
                <w:szCs w:val="24"/>
              </w:rPr>
              <w:t xml:space="preserve"> and p&lt;0.01,</w:t>
            </w:r>
            <w:r w:rsidR="00FE347B" w:rsidRPr="009E5CAB">
              <w:rPr>
                <w:rFonts w:cs="Times New Roman"/>
                <w:sz w:val="22"/>
                <w:szCs w:val="24"/>
              </w:rPr>
              <w:t xml:space="preserve"> for comparison between </w:t>
            </w:r>
            <w:r w:rsidR="00D02DA0" w:rsidRPr="009E5CAB">
              <w:rPr>
                <w:rFonts w:cs="Times New Roman"/>
                <w:sz w:val="22"/>
                <w:szCs w:val="24"/>
              </w:rPr>
              <w:t xml:space="preserve">a particular </w:t>
            </w:r>
            <w:r w:rsidR="00587111" w:rsidRPr="009E5CAB">
              <w:rPr>
                <w:rFonts w:cs="Times New Roman"/>
                <w:sz w:val="22"/>
                <w:szCs w:val="24"/>
              </w:rPr>
              <w:t xml:space="preserve">drug </w:t>
            </w:r>
            <w:r w:rsidR="008D45DE" w:rsidRPr="009E5CAB">
              <w:rPr>
                <w:rFonts w:cs="Times New Roman"/>
                <w:sz w:val="22"/>
                <w:szCs w:val="24"/>
              </w:rPr>
              <w:t>dose</w:t>
            </w:r>
            <w:r w:rsidR="005A6742" w:rsidRPr="009E5CAB">
              <w:rPr>
                <w:rFonts w:cs="Times New Roman"/>
                <w:sz w:val="22"/>
                <w:szCs w:val="24"/>
              </w:rPr>
              <w:t xml:space="preserve"> and vehicle, respectively</w:t>
            </w:r>
            <w:r w:rsidR="008D45DE" w:rsidRPr="009E5CAB">
              <w:rPr>
                <w:rFonts w:cs="Times New Roman"/>
                <w:sz w:val="22"/>
                <w:szCs w:val="24"/>
              </w:rPr>
              <w:t>.</w:t>
            </w:r>
          </w:p>
        </w:tc>
      </w:tr>
    </w:tbl>
    <w:p w14:paraId="0B2BA602" w14:textId="03D725D5" w:rsidR="00A63D24" w:rsidRDefault="00A63D24" w:rsidP="00FE347B">
      <w:bookmarkStart w:id="0" w:name="_GoBack"/>
      <w:bookmarkEnd w:id="0"/>
    </w:p>
    <w:sectPr w:rsidR="00A63D24" w:rsidSect="007F0C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827"/>
    <w:multiLevelType w:val="hybridMultilevel"/>
    <w:tmpl w:val="208A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715660"/>
    <w:multiLevelType w:val="hybridMultilevel"/>
    <w:tmpl w:val="18609822"/>
    <w:lvl w:ilvl="0" w:tplc="D6ECB68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12F565E"/>
    <w:multiLevelType w:val="hybridMultilevel"/>
    <w:tmpl w:val="B09E2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D24"/>
    <w:rsid w:val="00026A23"/>
    <w:rsid w:val="00051D43"/>
    <w:rsid w:val="00077F3E"/>
    <w:rsid w:val="00080D2E"/>
    <w:rsid w:val="000A1968"/>
    <w:rsid w:val="000E6081"/>
    <w:rsid w:val="000F1B26"/>
    <w:rsid w:val="001022CC"/>
    <w:rsid w:val="0011680C"/>
    <w:rsid w:val="0013058A"/>
    <w:rsid w:val="00143C28"/>
    <w:rsid w:val="00150B86"/>
    <w:rsid w:val="00170911"/>
    <w:rsid w:val="00177888"/>
    <w:rsid w:val="00191127"/>
    <w:rsid w:val="00193CB9"/>
    <w:rsid w:val="001D3A02"/>
    <w:rsid w:val="001D7AEE"/>
    <w:rsid w:val="001E7255"/>
    <w:rsid w:val="001F3CEE"/>
    <w:rsid w:val="0020056A"/>
    <w:rsid w:val="00224C55"/>
    <w:rsid w:val="002450B3"/>
    <w:rsid w:val="00253257"/>
    <w:rsid w:val="00262054"/>
    <w:rsid w:val="00270332"/>
    <w:rsid w:val="00276B0D"/>
    <w:rsid w:val="002918EA"/>
    <w:rsid w:val="002A4547"/>
    <w:rsid w:val="002C465C"/>
    <w:rsid w:val="002E1E53"/>
    <w:rsid w:val="002E2E6F"/>
    <w:rsid w:val="00300A48"/>
    <w:rsid w:val="00326311"/>
    <w:rsid w:val="00367523"/>
    <w:rsid w:val="00380B2B"/>
    <w:rsid w:val="003C1C58"/>
    <w:rsid w:val="003C5019"/>
    <w:rsid w:val="003D138E"/>
    <w:rsid w:val="003D21E5"/>
    <w:rsid w:val="003F55AF"/>
    <w:rsid w:val="00410FC1"/>
    <w:rsid w:val="00420625"/>
    <w:rsid w:val="00421235"/>
    <w:rsid w:val="00447545"/>
    <w:rsid w:val="00453F84"/>
    <w:rsid w:val="00466C13"/>
    <w:rsid w:val="00471F39"/>
    <w:rsid w:val="00477034"/>
    <w:rsid w:val="00480223"/>
    <w:rsid w:val="00483650"/>
    <w:rsid w:val="00484EA6"/>
    <w:rsid w:val="00493BC5"/>
    <w:rsid w:val="004C56A4"/>
    <w:rsid w:val="004D2F58"/>
    <w:rsid w:val="005657B8"/>
    <w:rsid w:val="005843F6"/>
    <w:rsid w:val="00587111"/>
    <w:rsid w:val="0059523A"/>
    <w:rsid w:val="005A6742"/>
    <w:rsid w:val="005A7B56"/>
    <w:rsid w:val="005A7EB9"/>
    <w:rsid w:val="006342B8"/>
    <w:rsid w:val="00634968"/>
    <w:rsid w:val="00645489"/>
    <w:rsid w:val="00656CE7"/>
    <w:rsid w:val="0067046F"/>
    <w:rsid w:val="006F55BE"/>
    <w:rsid w:val="00741BD4"/>
    <w:rsid w:val="007A1CF9"/>
    <w:rsid w:val="007A54E0"/>
    <w:rsid w:val="007D1CA4"/>
    <w:rsid w:val="007E4B44"/>
    <w:rsid w:val="007F0C82"/>
    <w:rsid w:val="00806E2A"/>
    <w:rsid w:val="0083477F"/>
    <w:rsid w:val="0083570C"/>
    <w:rsid w:val="00836FAD"/>
    <w:rsid w:val="0088468E"/>
    <w:rsid w:val="00886894"/>
    <w:rsid w:val="008979F2"/>
    <w:rsid w:val="008A47DE"/>
    <w:rsid w:val="008B1BAC"/>
    <w:rsid w:val="008C210B"/>
    <w:rsid w:val="008D45DE"/>
    <w:rsid w:val="009956D0"/>
    <w:rsid w:val="009B0B99"/>
    <w:rsid w:val="009D1E22"/>
    <w:rsid w:val="009E27C1"/>
    <w:rsid w:val="009E5CAB"/>
    <w:rsid w:val="009F1C08"/>
    <w:rsid w:val="009F70CB"/>
    <w:rsid w:val="00A30682"/>
    <w:rsid w:val="00A317D8"/>
    <w:rsid w:val="00A41692"/>
    <w:rsid w:val="00A60AA6"/>
    <w:rsid w:val="00A63D24"/>
    <w:rsid w:val="00A74330"/>
    <w:rsid w:val="00A81A15"/>
    <w:rsid w:val="00A845EB"/>
    <w:rsid w:val="00AA6935"/>
    <w:rsid w:val="00AE71E6"/>
    <w:rsid w:val="00B056CE"/>
    <w:rsid w:val="00B178CE"/>
    <w:rsid w:val="00B21484"/>
    <w:rsid w:val="00B214FE"/>
    <w:rsid w:val="00B6199F"/>
    <w:rsid w:val="00B80B11"/>
    <w:rsid w:val="00BA2CF8"/>
    <w:rsid w:val="00BA6388"/>
    <w:rsid w:val="00BD04C4"/>
    <w:rsid w:val="00BD32BA"/>
    <w:rsid w:val="00BE3FFD"/>
    <w:rsid w:val="00C13326"/>
    <w:rsid w:val="00C171BF"/>
    <w:rsid w:val="00C25978"/>
    <w:rsid w:val="00C360EB"/>
    <w:rsid w:val="00C65D59"/>
    <w:rsid w:val="00C66341"/>
    <w:rsid w:val="00C77D4F"/>
    <w:rsid w:val="00C813B1"/>
    <w:rsid w:val="00C94A6D"/>
    <w:rsid w:val="00CB5C1F"/>
    <w:rsid w:val="00CC0C2B"/>
    <w:rsid w:val="00CD2139"/>
    <w:rsid w:val="00D02DA0"/>
    <w:rsid w:val="00D212F5"/>
    <w:rsid w:val="00D363B1"/>
    <w:rsid w:val="00D44512"/>
    <w:rsid w:val="00D5455F"/>
    <w:rsid w:val="00D721A2"/>
    <w:rsid w:val="00DA5EB0"/>
    <w:rsid w:val="00DB027F"/>
    <w:rsid w:val="00DC370D"/>
    <w:rsid w:val="00E0172C"/>
    <w:rsid w:val="00E021CF"/>
    <w:rsid w:val="00E12639"/>
    <w:rsid w:val="00E13C10"/>
    <w:rsid w:val="00E17F9A"/>
    <w:rsid w:val="00E2718D"/>
    <w:rsid w:val="00E36D2C"/>
    <w:rsid w:val="00E84590"/>
    <w:rsid w:val="00EA501D"/>
    <w:rsid w:val="00EB143F"/>
    <w:rsid w:val="00EB2F59"/>
    <w:rsid w:val="00ED009E"/>
    <w:rsid w:val="00ED58B1"/>
    <w:rsid w:val="00EF5C3B"/>
    <w:rsid w:val="00EF6574"/>
    <w:rsid w:val="00F13B7D"/>
    <w:rsid w:val="00F170B7"/>
    <w:rsid w:val="00F412EF"/>
    <w:rsid w:val="00F52080"/>
    <w:rsid w:val="00F5496A"/>
    <w:rsid w:val="00F549BE"/>
    <w:rsid w:val="00FA581E"/>
    <w:rsid w:val="00FB66BB"/>
    <w:rsid w:val="00FC3354"/>
    <w:rsid w:val="00FD344A"/>
    <w:rsid w:val="00FE3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2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D24"/>
    <w:pPr>
      <w:spacing w:after="200" w:line="276"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D24"/>
    <w:rPr>
      <w:color w:val="0000FF"/>
      <w:u w:val="single"/>
    </w:rPr>
  </w:style>
  <w:style w:type="character" w:customStyle="1" w:styleId="rphighlightallclass">
    <w:name w:val="rphighlightallclass"/>
    <w:basedOn w:val="DefaultParagraphFont"/>
    <w:rsid w:val="00A63D24"/>
  </w:style>
  <w:style w:type="table" w:styleId="TableGrid">
    <w:name w:val="Table Grid"/>
    <w:basedOn w:val="TableNormal"/>
    <w:uiPriority w:val="39"/>
    <w:rsid w:val="00A63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0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46F"/>
    <w:rPr>
      <w:rFonts w:ascii="Tahoma" w:hAnsi="Tahoma" w:cs="Tahoma"/>
      <w:sz w:val="16"/>
      <w:szCs w:val="16"/>
    </w:rPr>
  </w:style>
  <w:style w:type="paragraph" w:styleId="ListParagraph">
    <w:name w:val="List Paragraph"/>
    <w:basedOn w:val="Normal"/>
    <w:uiPriority w:val="34"/>
    <w:qFormat/>
    <w:rsid w:val="00A41692"/>
    <w:pPr>
      <w:ind w:left="720"/>
      <w:contextualSpacing/>
    </w:pPr>
  </w:style>
  <w:style w:type="paragraph" w:customStyle="1" w:styleId="Title1">
    <w:name w:val="Title1"/>
    <w:basedOn w:val="Normal"/>
    <w:rsid w:val="00DA5EB0"/>
    <w:pPr>
      <w:spacing w:before="100" w:beforeAutospacing="1" w:after="100" w:afterAutospacing="1" w:line="240" w:lineRule="auto"/>
      <w:jc w:val="left"/>
    </w:pPr>
    <w:rPr>
      <w:rFonts w:eastAsia="Times New Roman" w:cs="Times New Roman"/>
      <w:szCs w:val="24"/>
      <w:lang w:eastAsia="en-GB"/>
    </w:rPr>
  </w:style>
  <w:style w:type="paragraph" w:customStyle="1" w:styleId="desc">
    <w:name w:val="desc"/>
    <w:basedOn w:val="Normal"/>
    <w:rsid w:val="00DA5EB0"/>
    <w:pPr>
      <w:spacing w:before="100" w:beforeAutospacing="1" w:after="100" w:afterAutospacing="1" w:line="240" w:lineRule="auto"/>
      <w:jc w:val="left"/>
    </w:pPr>
    <w:rPr>
      <w:rFonts w:eastAsia="Times New Roman" w:cs="Times New Roman"/>
      <w:szCs w:val="24"/>
      <w:lang w:eastAsia="en-GB"/>
    </w:rPr>
  </w:style>
  <w:style w:type="paragraph" w:customStyle="1" w:styleId="details">
    <w:name w:val="details"/>
    <w:basedOn w:val="Normal"/>
    <w:rsid w:val="00DA5EB0"/>
    <w:pPr>
      <w:spacing w:before="100" w:beforeAutospacing="1" w:after="100" w:afterAutospacing="1" w:line="240" w:lineRule="auto"/>
      <w:jc w:val="left"/>
    </w:pPr>
    <w:rPr>
      <w:rFonts w:eastAsia="Times New Roman" w:cs="Times New Roman"/>
      <w:szCs w:val="24"/>
      <w:lang w:eastAsia="en-GB"/>
    </w:rPr>
  </w:style>
  <w:style w:type="character" w:customStyle="1" w:styleId="jrnl">
    <w:name w:val="jrnl"/>
    <w:basedOn w:val="DefaultParagraphFont"/>
    <w:rsid w:val="00DA5EB0"/>
  </w:style>
  <w:style w:type="character" w:styleId="LineNumber">
    <w:name w:val="line number"/>
    <w:basedOn w:val="DefaultParagraphFont"/>
    <w:uiPriority w:val="99"/>
    <w:semiHidden/>
    <w:unhideWhenUsed/>
    <w:rsid w:val="00EF5C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D24"/>
    <w:pPr>
      <w:spacing w:after="200" w:line="276"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D24"/>
    <w:rPr>
      <w:color w:val="0000FF"/>
      <w:u w:val="single"/>
    </w:rPr>
  </w:style>
  <w:style w:type="character" w:customStyle="1" w:styleId="rphighlightallclass">
    <w:name w:val="rphighlightallclass"/>
    <w:basedOn w:val="DefaultParagraphFont"/>
    <w:rsid w:val="00A63D24"/>
  </w:style>
  <w:style w:type="table" w:styleId="TableGrid">
    <w:name w:val="Table Grid"/>
    <w:basedOn w:val="TableNormal"/>
    <w:uiPriority w:val="39"/>
    <w:rsid w:val="00A63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0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46F"/>
    <w:rPr>
      <w:rFonts w:ascii="Tahoma" w:hAnsi="Tahoma" w:cs="Tahoma"/>
      <w:sz w:val="16"/>
      <w:szCs w:val="16"/>
    </w:rPr>
  </w:style>
  <w:style w:type="paragraph" w:styleId="ListParagraph">
    <w:name w:val="List Paragraph"/>
    <w:basedOn w:val="Normal"/>
    <w:uiPriority w:val="34"/>
    <w:qFormat/>
    <w:rsid w:val="00A41692"/>
    <w:pPr>
      <w:ind w:left="720"/>
      <w:contextualSpacing/>
    </w:pPr>
  </w:style>
  <w:style w:type="paragraph" w:customStyle="1" w:styleId="Title1">
    <w:name w:val="Title1"/>
    <w:basedOn w:val="Normal"/>
    <w:rsid w:val="00DA5EB0"/>
    <w:pPr>
      <w:spacing w:before="100" w:beforeAutospacing="1" w:after="100" w:afterAutospacing="1" w:line="240" w:lineRule="auto"/>
      <w:jc w:val="left"/>
    </w:pPr>
    <w:rPr>
      <w:rFonts w:eastAsia="Times New Roman" w:cs="Times New Roman"/>
      <w:szCs w:val="24"/>
      <w:lang w:eastAsia="en-GB"/>
    </w:rPr>
  </w:style>
  <w:style w:type="paragraph" w:customStyle="1" w:styleId="desc">
    <w:name w:val="desc"/>
    <w:basedOn w:val="Normal"/>
    <w:rsid w:val="00DA5EB0"/>
    <w:pPr>
      <w:spacing w:before="100" w:beforeAutospacing="1" w:after="100" w:afterAutospacing="1" w:line="240" w:lineRule="auto"/>
      <w:jc w:val="left"/>
    </w:pPr>
    <w:rPr>
      <w:rFonts w:eastAsia="Times New Roman" w:cs="Times New Roman"/>
      <w:szCs w:val="24"/>
      <w:lang w:eastAsia="en-GB"/>
    </w:rPr>
  </w:style>
  <w:style w:type="paragraph" w:customStyle="1" w:styleId="details">
    <w:name w:val="details"/>
    <w:basedOn w:val="Normal"/>
    <w:rsid w:val="00DA5EB0"/>
    <w:pPr>
      <w:spacing w:before="100" w:beforeAutospacing="1" w:after="100" w:afterAutospacing="1" w:line="240" w:lineRule="auto"/>
      <w:jc w:val="left"/>
    </w:pPr>
    <w:rPr>
      <w:rFonts w:eastAsia="Times New Roman" w:cs="Times New Roman"/>
      <w:szCs w:val="24"/>
      <w:lang w:eastAsia="en-GB"/>
    </w:rPr>
  </w:style>
  <w:style w:type="character" w:customStyle="1" w:styleId="jrnl">
    <w:name w:val="jrnl"/>
    <w:basedOn w:val="DefaultParagraphFont"/>
    <w:rsid w:val="00DA5EB0"/>
  </w:style>
  <w:style w:type="character" w:styleId="LineNumber">
    <w:name w:val="line number"/>
    <w:basedOn w:val="DefaultParagraphFont"/>
    <w:uiPriority w:val="99"/>
    <w:semiHidden/>
    <w:unhideWhenUsed/>
    <w:rsid w:val="00EF5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24068">
      <w:bodyDiv w:val="1"/>
      <w:marLeft w:val="0"/>
      <w:marRight w:val="0"/>
      <w:marTop w:val="0"/>
      <w:marBottom w:val="0"/>
      <w:divBdr>
        <w:top w:val="none" w:sz="0" w:space="0" w:color="auto"/>
        <w:left w:val="none" w:sz="0" w:space="0" w:color="auto"/>
        <w:bottom w:val="none" w:sz="0" w:space="0" w:color="auto"/>
        <w:right w:val="none" w:sz="0" w:space="0" w:color="auto"/>
      </w:divBdr>
      <w:divsChild>
        <w:div w:id="1987660435">
          <w:marLeft w:val="0"/>
          <w:marRight w:val="0"/>
          <w:marTop w:val="0"/>
          <w:marBottom w:val="0"/>
          <w:divBdr>
            <w:top w:val="none" w:sz="0" w:space="0" w:color="auto"/>
            <w:left w:val="none" w:sz="0" w:space="0" w:color="auto"/>
            <w:bottom w:val="none" w:sz="0" w:space="0" w:color="auto"/>
            <w:right w:val="none" w:sz="0" w:space="0" w:color="auto"/>
          </w:divBdr>
        </w:div>
      </w:divsChild>
    </w:div>
    <w:div w:id="956914230">
      <w:bodyDiv w:val="1"/>
      <w:marLeft w:val="0"/>
      <w:marRight w:val="0"/>
      <w:marTop w:val="0"/>
      <w:marBottom w:val="0"/>
      <w:divBdr>
        <w:top w:val="none" w:sz="0" w:space="0" w:color="auto"/>
        <w:left w:val="none" w:sz="0" w:space="0" w:color="auto"/>
        <w:bottom w:val="none" w:sz="0" w:space="0" w:color="auto"/>
        <w:right w:val="none" w:sz="0" w:space="0" w:color="auto"/>
      </w:divBdr>
    </w:div>
    <w:div w:id="1087726522">
      <w:bodyDiv w:val="1"/>
      <w:marLeft w:val="0"/>
      <w:marRight w:val="0"/>
      <w:marTop w:val="0"/>
      <w:marBottom w:val="0"/>
      <w:divBdr>
        <w:top w:val="none" w:sz="0" w:space="0" w:color="auto"/>
        <w:left w:val="none" w:sz="0" w:space="0" w:color="auto"/>
        <w:bottom w:val="none" w:sz="0" w:space="0" w:color="auto"/>
        <w:right w:val="none" w:sz="0" w:space="0" w:color="auto"/>
      </w:divBdr>
    </w:div>
    <w:div w:id="1325159938">
      <w:bodyDiv w:val="1"/>
      <w:marLeft w:val="0"/>
      <w:marRight w:val="0"/>
      <w:marTop w:val="0"/>
      <w:marBottom w:val="0"/>
      <w:divBdr>
        <w:top w:val="none" w:sz="0" w:space="0" w:color="auto"/>
        <w:left w:val="none" w:sz="0" w:space="0" w:color="auto"/>
        <w:bottom w:val="none" w:sz="0" w:space="0" w:color="auto"/>
        <w:right w:val="none" w:sz="0" w:space="0" w:color="auto"/>
      </w:divBdr>
      <w:divsChild>
        <w:div w:id="993724045">
          <w:marLeft w:val="0"/>
          <w:marRight w:val="0"/>
          <w:marTop w:val="0"/>
          <w:marBottom w:val="0"/>
          <w:divBdr>
            <w:top w:val="none" w:sz="0" w:space="0" w:color="auto"/>
            <w:left w:val="none" w:sz="0" w:space="0" w:color="auto"/>
            <w:bottom w:val="none" w:sz="0" w:space="0" w:color="auto"/>
            <w:right w:val="none" w:sz="0" w:space="0" w:color="auto"/>
          </w:divBdr>
        </w:div>
      </w:divsChild>
    </w:div>
    <w:div w:id="1331179960">
      <w:bodyDiv w:val="1"/>
      <w:marLeft w:val="0"/>
      <w:marRight w:val="0"/>
      <w:marTop w:val="0"/>
      <w:marBottom w:val="0"/>
      <w:divBdr>
        <w:top w:val="none" w:sz="0" w:space="0" w:color="auto"/>
        <w:left w:val="none" w:sz="0" w:space="0" w:color="auto"/>
        <w:bottom w:val="none" w:sz="0" w:space="0" w:color="auto"/>
        <w:right w:val="none" w:sz="0" w:space="0" w:color="auto"/>
      </w:divBdr>
    </w:div>
    <w:div w:id="1864973358">
      <w:bodyDiv w:val="1"/>
      <w:marLeft w:val="0"/>
      <w:marRight w:val="0"/>
      <w:marTop w:val="0"/>
      <w:marBottom w:val="0"/>
      <w:divBdr>
        <w:top w:val="none" w:sz="0" w:space="0" w:color="auto"/>
        <w:left w:val="none" w:sz="0" w:space="0" w:color="auto"/>
        <w:bottom w:val="none" w:sz="0" w:space="0" w:color="auto"/>
        <w:right w:val="none" w:sz="0" w:space="0" w:color="auto"/>
      </w:divBdr>
      <w:divsChild>
        <w:div w:id="433598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microsoft.com/office/2007/relationships/stylesWithEffects" Target="stylesWithEffects.xml"/><Relationship Id="rId7" Type="http://schemas.openxmlformats.org/officeDocument/2006/relationships/hyperlink" Target="mailto:wilkinsonL@cardiff.ac.uk" TargetMode="External"/><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mbyt@cardiff.ac.uk" TargetMode="Externa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6</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Humby</dc:creator>
  <cp:lastModifiedBy>Trevor Humby</cp:lastModifiedBy>
  <cp:revision>41</cp:revision>
  <cp:lastPrinted>2018-10-18T09:12:00Z</cp:lastPrinted>
  <dcterms:created xsi:type="dcterms:W3CDTF">2018-08-22T11:07:00Z</dcterms:created>
  <dcterms:modified xsi:type="dcterms:W3CDTF">2018-10-29T10:52:00Z</dcterms:modified>
</cp:coreProperties>
</file>