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5000" w:type="pct"/>
        <w:tblLayout w:type="fixed"/>
        <w:tblLook w:val="04A0" w:firstRow="1" w:lastRow="0" w:firstColumn="1" w:lastColumn="0" w:noHBand="0" w:noVBand="1"/>
      </w:tblPr>
      <w:tblGrid>
        <w:gridCol w:w="1073"/>
        <w:gridCol w:w="774"/>
        <w:gridCol w:w="848"/>
        <w:gridCol w:w="776"/>
        <w:gridCol w:w="918"/>
        <w:gridCol w:w="918"/>
        <w:gridCol w:w="995"/>
        <w:gridCol w:w="1072"/>
        <w:gridCol w:w="1072"/>
        <w:gridCol w:w="1072"/>
        <w:gridCol w:w="1072"/>
        <w:gridCol w:w="1072"/>
        <w:gridCol w:w="1072"/>
        <w:gridCol w:w="1072"/>
        <w:gridCol w:w="779"/>
        <w:gridCol w:w="813"/>
      </w:tblGrid>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r w:rsidRPr="00CF075F">
              <w:rPr>
                <w:rFonts w:ascii="Times New Roman" w:hAnsi="Times New Roman"/>
                <w:b/>
                <w:color w:val="000000"/>
              </w:rPr>
              <w:br w:type="page"/>
            </w:r>
            <w:bookmarkStart w:id="0" w:name="_GoBack"/>
            <w:bookmarkEnd w:id="0"/>
          </w:p>
        </w:tc>
        <w:tc>
          <w:tcPr>
            <w:tcW w:w="251"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RJF</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40-100CE</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100-300CE</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200-400CE</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650-850CE</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900-1250CE</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1220-1350CE</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1340-1500CE</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1480-1600CE</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1540-1650CE</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1630-1710CE</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1700-1800CE</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1800-1900CE</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Ross 308</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Cobb 500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N</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6.00</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29.00</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35.00</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24.00</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44.00</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126.00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59.00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44.00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50.00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25.00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23.00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12.00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15.00</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16.00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14.00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Min</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9.40</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9.50</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5.40</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9.50</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9.40</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5.00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9.00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9.20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9.20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10.20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10.40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10.80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11.10</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16.68</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17.10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Max</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10.90</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12.40</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55.00</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13.50</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13.20</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14.40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15.60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16.00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16.10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16.80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16.60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14.20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15.50</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19.88</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22.10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Mean</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10.37</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10.70</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11.77</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11.28</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10.80</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10.67</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10.79</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11.67</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12.42</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12.93</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12.59</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12.02</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12.39</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17.90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19.55</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Std. error</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0.22</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0.14</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1.30</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0.25</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0.12</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0.11</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0.15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0.24</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0.24</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0.31</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0.34</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0.34</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0.29</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0.22</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0.43</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Variance</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0.29</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0.54</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58.71</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1.47</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0.64</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1.43</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2.57</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2.76</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2.37</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2.71</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1.41</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1.22</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0.80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2.60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Stand. dev</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0.54</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0.74</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7.66</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1.21</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0.80</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1.19</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1.12</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1.60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1.66</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1.54</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1.65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1.19</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1.11</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0.89</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1.61</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Median</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10.50</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10.50</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10.50</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11.10</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10.70</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10.50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10.40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11.25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12.00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12.20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12.30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11.80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12.00</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17.83</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19.56</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 xml:space="preserve">25 </w:t>
            </w:r>
            <w:proofErr w:type="spellStart"/>
            <w:r w:rsidRPr="00CF075F">
              <w:rPr>
                <w:rFonts w:ascii="Times New Roman" w:eastAsia="Times New Roman" w:hAnsi="Times New Roman"/>
                <w:color w:val="000000"/>
                <w:sz w:val="18"/>
                <w:szCs w:val="18"/>
                <w:lang w:val="en-GB" w:eastAsia="en-GB"/>
              </w:rPr>
              <w:t>prcntil</w:t>
            </w:r>
            <w:proofErr w:type="spellEnd"/>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10.00</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10.10</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9.90</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10.08</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10.20</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10.10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10.20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10.50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11.15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12.00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11.30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10.88</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11.80</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17.12</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17.80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 xml:space="preserve">75 </w:t>
            </w:r>
            <w:proofErr w:type="spellStart"/>
            <w:r w:rsidRPr="00CF075F">
              <w:rPr>
                <w:rFonts w:ascii="Times New Roman" w:eastAsia="Times New Roman" w:hAnsi="Times New Roman"/>
                <w:color w:val="000000"/>
                <w:sz w:val="18"/>
                <w:szCs w:val="18"/>
                <w:lang w:val="en-GB" w:eastAsia="en-GB"/>
              </w:rPr>
              <w:t>prcntil</w:t>
            </w:r>
            <w:proofErr w:type="spellEnd"/>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10.75</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11.05</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11.50</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12.43</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11.28</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11.33</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11.10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12.58</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13.70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14.15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14.00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12.93</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13.20</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18.56</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20.55</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proofErr w:type="spellStart"/>
            <w:r w:rsidRPr="00CF075F">
              <w:rPr>
                <w:rFonts w:ascii="Times New Roman" w:eastAsia="Times New Roman" w:hAnsi="Times New Roman"/>
                <w:color w:val="000000"/>
                <w:sz w:val="18"/>
                <w:szCs w:val="18"/>
                <w:lang w:val="en-GB" w:eastAsia="en-GB"/>
              </w:rPr>
              <w:t>Coeff</w:t>
            </w:r>
            <w:proofErr w:type="spellEnd"/>
            <w:r w:rsidRPr="00CF075F">
              <w:rPr>
                <w:rFonts w:ascii="Times New Roman" w:eastAsia="Times New Roman" w:hAnsi="Times New Roman"/>
                <w:color w:val="000000"/>
                <w:sz w:val="18"/>
                <w:szCs w:val="18"/>
                <w:lang w:val="en-GB" w:eastAsia="en-GB"/>
              </w:rPr>
              <w:t>. var</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5.24</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6.87</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65.12</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10.75</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7.40</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11.20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10.36</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13.74</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13.39</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11.90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13.08</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9.87</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8.93</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5.00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8.24</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c>
          <w:tcPr>
            <w:tcW w:w="251"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275"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252"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29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29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323"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253"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264"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251"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sz w:val="18"/>
                <w:szCs w:val="18"/>
                <w:lang w:val="en-GB" w:eastAsia="en-GB"/>
              </w:rPr>
            </w:pP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67.5</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93.5</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44</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96.5</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324</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162.5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60.5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26</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3</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40-100CE</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0.4047</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481.5</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258.5</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601.5</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1812</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828</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393.5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242.5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82.5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56.5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32.5</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100-300CE</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0.6847</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0.7306</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314.5</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695</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2125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997.5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505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356.5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117</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138.5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85.5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80</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16</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14</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200-400CE</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0.1522</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0.1108</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0.1048</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419</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1160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548</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458</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357.5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128</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152</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96</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96</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650-850CE</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0.2947</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0.6844</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0.4616</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0.1632</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2577</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1177</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655.5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421</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94</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139</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98.5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60.5</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900-1250CE</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0.5584</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0.9469</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0.7427</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0.0712</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0.4873</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3695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1786</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1166</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302.5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421.5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276</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207</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1220-1350CE</w:t>
            </w:r>
          </w:p>
        </w:tc>
        <w:tc>
          <w:tcPr>
            <w:tcW w:w="251"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0.7503</w:t>
            </w:r>
          </w:p>
        </w:tc>
        <w:tc>
          <w:tcPr>
            <w:tcW w:w="275"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0.8102</w:t>
            </w:r>
          </w:p>
        </w:tc>
        <w:tc>
          <w:tcPr>
            <w:tcW w:w="252"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0.7870</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0.1081</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0.4189</w:t>
            </w:r>
          </w:p>
        </w:tc>
        <w:tc>
          <w:tcPr>
            <w:tcW w:w="32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0.9482</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814</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526.5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173.5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191.5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117.5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114</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1340-1500CE</w:t>
            </w:r>
          </w:p>
        </w:tc>
        <w:tc>
          <w:tcPr>
            <w:tcW w:w="251"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0.0338</w:t>
            </w:r>
          </w:p>
        </w:tc>
        <w:tc>
          <w:tcPr>
            <w:tcW w:w="275"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0.0059</w:t>
            </w:r>
          </w:p>
        </w:tc>
        <w:tc>
          <w:tcPr>
            <w:tcW w:w="252"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0.0090</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0.3719</w:t>
            </w:r>
          </w:p>
        </w:tc>
        <w:tc>
          <w:tcPr>
            <w:tcW w:w="29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0.0091</w:t>
            </w:r>
          </w:p>
        </w:tc>
        <w:tc>
          <w:tcPr>
            <w:tcW w:w="323"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0.0004</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0.0013</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809</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288.5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333</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215.5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206</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1480-1600CE</w:t>
            </w:r>
          </w:p>
        </w:tc>
        <w:tc>
          <w:tcPr>
            <w:tcW w:w="251"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0.0011</w:t>
            </w:r>
          </w:p>
        </w:tc>
        <w:tc>
          <w:tcPr>
            <w:tcW w:w="275"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52"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9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0.0052</w:t>
            </w:r>
          </w:p>
        </w:tc>
        <w:tc>
          <w:tcPr>
            <w:tcW w:w="29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23"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0.0276</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484</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537</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259.5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341.5</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1540-1650CE</w:t>
            </w:r>
          </w:p>
        </w:tc>
        <w:tc>
          <w:tcPr>
            <w:tcW w:w="251"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0.0005</w:t>
            </w:r>
          </w:p>
        </w:tc>
        <w:tc>
          <w:tcPr>
            <w:tcW w:w="275"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52"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9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0.0006</w:t>
            </w:r>
          </w:p>
        </w:tc>
        <w:tc>
          <w:tcPr>
            <w:tcW w:w="29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23"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0.0011</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0.1141</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248.5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93.5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135</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1630-1710CE</w:t>
            </w:r>
          </w:p>
        </w:tc>
        <w:tc>
          <w:tcPr>
            <w:tcW w:w="251"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0.0006</w:t>
            </w:r>
          </w:p>
        </w:tc>
        <w:tc>
          <w:tcPr>
            <w:tcW w:w="275"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52"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9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0.0085</w:t>
            </w:r>
          </w:p>
        </w:tc>
        <w:tc>
          <w:tcPr>
            <w:tcW w:w="29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23"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0.0226</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0.6558</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0.4262</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109.5</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170.5</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1700-1800CE</w:t>
            </w:r>
          </w:p>
        </w:tc>
        <w:tc>
          <w:tcPr>
            <w:tcW w:w="251"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0.0023</w:t>
            </w:r>
          </w:p>
        </w:tc>
        <w:tc>
          <w:tcPr>
            <w:tcW w:w="275"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0.0008</w:t>
            </w:r>
          </w:p>
        </w:tc>
        <w:tc>
          <w:tcPr>
            <w:tcW w:w="252"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0.0025</w:t>
            </w:r>
          </w:p>
        </w:tc>
        <w:tc>
          <w:tcPr>
            <w:tcW w:w="29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0.1101</w:t>
            </w:r>
          </w:p>
        </w:tc>
        <w:tc>
          <w:tcPr>
            <w:tcW w:w="29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0.0010</w:t>
            </w:r>
          </w:p>
        </w:tc>
        <w:tc>
          <w:tcPr>
            <w:tcW w:w="323"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0.0003</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0.0003</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0.3372</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0.4757</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0.0686</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0.3294</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69.5</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1800-1900CE</w:t>
            </w:r>
          </w:p>
        </w:tc>
        <w:tc>
          <w:tcPr>
            <w:tcW w:w="251"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0.0005</w:t>
            </w:r>
          </w:p>
        </w:tc>
        <w:tc>
          <w:tcPr>
            <w:tcW w:w="275"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52"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0.0001</w:t>
            </w:r>
          </w:p>
        </w:tc>
        <w:tc>
          <w:tcPr>
            <w:tcW w:w="29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0.0157</w:t>
            </w:r>
          </w:p>
        </w:tc>
        <w:tc>
          <w:tcPr>
            <w:tcW w:w="29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23"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0.0314</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0.6070</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0.1451</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0.9642</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0.3279</w:t>
            </w:r>
          </w:p>
        </w:tc>
        <w:tc>
          <w:tcPr>
            <w:tcW w:w="348"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Ross 308</w:t>
            </w:r>
          </w:p>
        </w:tc>
        <w:tc>
          <w:tcPr>
            <w:tcW w:w="251"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0.0005</w:t>
            </w:r>
          </w:p>
        </w:tc>
        <w:tc>
          <w:tcPr>
            <w:tcW w:w="275"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52"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9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9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23"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53"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44</w:t>
            </w:r>
          </w:p>
        </w:tc>
      </w:tr>
      <w:tr w:rsidR="00A72B13" w:rsidRPr="00CF075F" w:rsidTr="00EB4CD0">
        <w:trPr>
          <w:trHeight w:val="300"/>
        </w:trPr>
        <w:tc>
          <w:tcPr>
            <w:tcW w:w="348" w:type="pct"/>
            <w:tcBorders>
              <w:top w:val="nil"/>
              <w:left w:val="nil"/>
              <w:bottom w:val="nil"/>
              <w:right w:val="nil"/>
            </w:tcBorders>
            <w:shd w:val="clear" w:color="auto" w:fill="auto"/>
            <w:noWrap/>
            <w:vAlign w:val="bottom"/>
            <w:hideMark/>
          </w:tcPr>
          <w:p w:rsidR="00A72B13" w:rsidRPr="00CF075F" w:rsidRDefault="00A72B13" w:rsidP="00EB4CD0">
            <w:pPr>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Cobb 500</w:t>
            </w:r>
          </w:p>
        </w:tc>
        <w:tc>
          <w:tcPr>
            <w:tcW w:w="251"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0.0006</w:t>
            </w:r>
          </w:p>
        </w:tc>
        <w:tc>
          <w:tcPr>
            <w:tcW w:w="275"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52"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9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9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23"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348"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0.0000</w:t>
            </w:r>
          </w:p>
        </w:tc>
        <w:tc>
          <w:tcPr>
            <w:tcW w:w="253" w:type="pct"/>
            <w:tcBorders>
              <w:top w:val="nil"/>
              <w:left w:val="nil"/>
              <w:bottom w:val="nil"/>
              <w:right w:val="nil"/>
            </w:tcBorders>
            <w:shd w:val="clear" w:color="000000" w:fill="E7E6E6"/>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r w:rsidRPr="00CF075F">
              <w:rPr>
                <w:rFonts w:ascii="Times New Roman" w:eastAsia="Times New Roman" w:hAnsi="Times New Roman"/>
                <w:color w:val="000000"/>
                <w:sz w:val="18"/>
                <w:szCs w:val="18"/>
                <w:lang w:val="en-GB" w:eastAsia="en-GB"/>
              </w:rPr>
              <w:t>0.0050</w:t>
            </w:r>
          </w:p>
        </w:tc>
        <w:tc>
          <w:tcPr>
            <w:tcW w:w="264" w:type="pct"/>
            <w:tcBorders>
              <w:top w:val="nil"/>
              <w:left w:val="nil"/>
              <w:bottom w:val="nil"/>
              <w:right w:val="nil"/>
            </w:tcBorders>
            <w:shd w:val="clear" w:color="auto" w:fill="auto"/>
            <w:noWrap/>
            <w:vAlign w:val="bottom"/>
            <w:hideMark/>
          </w:tcPr>
          <w:p w:rsidR="00A72B13" w:rsidRPr="00CF075F" w:rsidRDefault="00A72B13" w:rsidP="00EB4CD0">
            <w:pPr>
              <w:jc w:val="right"/>
              <w:rPr>
                <w:rFonts w:ascii="Times New Roman" w:eastAsia="Times New Roman" w:hAnsi="Times New Roman"/>
                <w:color w:val="000000"/>
                <w:sz w:val="18"/>
                <w:szCs w:val="18"/>
                <w:lang w:val="en-GB" w:eastAsia="en-GB"/>
              </w:rPr>
            </w:pPr>
          </w:p>
        </w:tc>
      </w:tr>
    </w:tbl>
    <w:p w:rsidR="00A72B13" w:rsidRPr="00CF075F" w:rsidRDefault="00A72B13" w:rsidP="00A72B13">
      <w:pPr>
        <w:spacing w:after="120"/>
        <w:rPr>
          <w:rFonts w:ascii="Times New Roman" w:hAnsi="Times New Roman"/>
          <w:color w:val="000000"/>
        </w:rPr>
      </w:pPr>
    </w:p>
    <w:p w:rsidR="00D97299" w:rsidRDefault="00A72B13" w:rsidP="00A72B13">
      <w:r w:rsidRPr="00CF075F">
        <w:rPr>
          <w:rFonts w:ascii="Times New Roman" w:hAnsi="Times New Roman"/>
          <w:color w:val="000000"/>
        </w:rPr>
        <w:lastRenderedPageBreak/>
        <w:t>Table 1. Statistical analysis of tibiotarsus distal breadth measurements shown in Figure 3. Measurements are in mm. Univariate statistics are presented in the upper register of the table. The test (U) statistics (top right of the lower register) and p-values (bottom left of the lower register) of a non-parametric Mann-Whitney pairwise comparison are presented. Mann-Whitney analysis is commonly used in zooarchaeological studies to test temporal changes to animal bone measurements</w:t>
      </w:r>
      <w:r w:rsidRPr="00CF075F">
        <w:rPr>
          <w:rFonts w:ascii="Times New Roman" w:hAnsi="Times New Roman"/>
          <w:color w:val="000000"/>
          <w:vertAlign w:val="superscript"/>
        </w:rPr>
        <w:t>77, 78</w:t>
      </w:r>
      <w:r w:rsidRPr="00CF075F">
        <w:rPr>
          <w:rFonts w:ascii="Times New Roman" w:hAnsi="Times New Roman"/>
          <w:color w:val="000000"/>
        </w:rPr>
        <w:t>. Statistically-significant p-values are highlighted in grey. The null hypothesis, that there is no difference in median tibiotarsus distal breadth measurements over time, can be rejected for chicken bones younger than 1340-1450C.E. Modern broiler tibiotarsi are significantly larger than those from all other periods.</w:t>
      </w:r>
    </w:p>
    <w:sectPr w:rsidR="00D97299" w:rsidSect="00A72B13">
      <w:footerReference w:type="default" r:id="rId4"/>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411928676"/>
      <w:docPartObj>
        <w:docPartGallery w:val="Page Numbers (Bottom of Page)"/>
        <w:docPartUnique/>
      </w:docPartObj>
    </w:sdtPr>
    <w:sdtEndPr>
      <w:rPr>
        <w:noProof/>
      </w:rPr>
    </w:sdtEndPr>
    <w:sdtContent>
      <w:p w:rsidR="00C3035E" w:rsidRDefault="00A72B1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rsidR="00C3035E" w:rsidRDefault="00A72B13">
    <w:pPr>
      <w:pStyle w:val="Foote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B13"/>
    <w:rsid w:val="00A72B13"/>
    <w:rsid w:val="00D972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132F55-93F5-4703-AB41-745C3968D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72B13"/>
    <w:pPr>
      <w:spacing w:after="0" w:line="240" w:lineRule="auto"/>
    </w:pPr>
    <w:rPr>
      <w:rFonts w:ascii="Cambria" w:eastAsia="MS Mincho" w:hAnsi="Cambria"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A72B13"/>
    <w:pPr>
      <w:tabs>
        <w:tab w:val="center" w:pos="4320"/>
        <w:tab w:val="right" w:pos="8640"/>
      </w:tabs>
    </w:pPr>
  </w:style>
  <w:style w:type="character" w:customStyle="1" w:styleId="FooterChar">
    <w:name w:val="Footer Char"/>
    <w:basedOn w:val="DefaultParagraphFont"/>
    <w:link w:val="Footer"/>
    <w:uiPriority w:val="99"/>
    <w:rsid w:val="00A72B13"/>
    <w:rPr>
      <w:rFonts w:ascii="Cambria" w:eastAsia="MS Mincho" w:hAnsi="Cambria" w:cs="Times New Roman"/>
      <w:sz w:val="24"/>
      <w:szCs w:val="24"/>
      <w:lang w:val="en-US"/>
    </w:rPr>
  </w:style>
  <w:style w:type="character" w:styleId="LineNumber">
    <w:name w:val="line number"/>
    <w:basedOn w:val="DefaultParagraphFont"/>
    <w:uiPriority w:val="99"/>
    <w:semiHidden/>
    <w:unhideWhenUsed/>
    <w:rsid w:val="00A72B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Carys Bennett</dc:creator>
  <cp:keywords/>
  <dc:description/>
  <cp:lastModifiedBy>Carys Bennett</cp:lastModifiedBy>
  <cp:revision>1</cp:revision>
  <dcterms:created xsi:type="dcterms:W3CDTF">2018-10-16T18:38:00Z</dcterms:created>
  <dcterms:modified xsi:type="dcterms:W3CDTF">2018-10-16T18:39:00Z</dcterms:modified>
</cp:coreProperties>
</file>